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color:#00BCD4;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a:link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 visited link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a:visited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color: blue;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 mouse over link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a:hover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text-decoration: underline;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color: violet;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 selected link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a:active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color: pink;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h1{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font-size: 60px;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color: #00BCD4;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text-align:center;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text-shadow: 3px 3px black;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background-color: pink;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background-repeat:no-repeat;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background-size: cover;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color: #00BCD4;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font-size: 35px;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text-align:center;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font-family:'Tangerine'; serif;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background-image:url('pexels-abdulkadir-keski-n-1643204428-34321168 (1).jpg');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&lt;title&gt;Page Title&lt;/title&gt;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&lt;marquee width="100%"  direction="down" height="500px" scrollamount="2"&gt;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&lt;h1&gt;Dont judge each day by the harvest you reap but by the seeds that you plant.&lt;/h1&gt;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&lt;/marquee&gt;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&lt;p&gt;&lt;em&gt;Robert Louis Stevenson&lt;/em&gt;&lt;/p&gt;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&lt;p&gt;&lt;a href="https://www.goodgoodgood.co/articles/good-day-quotes"&gt;Source&lt;/a&gt;&lt;/p&gt;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