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55DA" w14:textId="29EBA847" w:rsidR="00C75E96" w:rsidRDefault="00000000">
      <w:pPr>
        <w:pStyle w:val="Title"/>
      </w:pPr>
      <w:r>
        <w:t>Data and methods outline</w:t>
      </w:r>
    </w:p>
    <w:p w14:paraId="7A948474" w14:textId="77777777" w:rsidR="00C75E96" w:rsidRDefault="00000000">
      <w:pPr>
        <w:spacing w:after="120"/>
      </w:pPr>
      <w:r>
        <w:t>Esk catchment plantation canopy loss after Cyclone Gabrielle. FORE448 group project, 29 Sep 2026. Five blocks matching the workflow figure (define, map, check, estimate, explain). Numbers are from provenance/s17_final_estimate.json; the full outline (V3_Methods_Outline_for_Report.docx) holds the supporting detail.</w:t>
      </w:r>
    </w:p>
    <w:p w14:paraId="2EAA4470" w14:textId="77777777" w:rsidR="00C75E96" w:rsidRDefault="00000000">
      <w:pPr>
        <w:pStyle w:val="Heading1"/>
      </w:pPr>
      <w:r>
        <w:t>1. Study area and data</w:t>
      </w:r>
    </w:p>
    <w:p w14:paraId="55103E8C" w14:textId="77777777" w:rsidR="00C75E96" w:rsidRDefault="00000000">
      <w:pPr>
        <w:pStyle w:val="ListParagraph"/>
        <w:numPr>
          <w:ilvl w:val="0"/>
          <w:numId w:val="2"/>
        </w:numPr>
        <w:spacing w:after="60"/>
      </w:pPr>
      <w:r>
        <w:t>Esk catchment, Hawke's Bay (268 km²), steep hill country; Cyclone Gabrielle made landfall 13–14 Feb 2023.</w:t>
      </w:r>
    </w:p>
    <w:p w14:paraId="6B3C7419" w14:textId="77777777" w:rsidR="00C75E96" w:rsidRDefault="00000000">
      <w:pPr>
        <w:pStyle w:val="ListParagraph"/>
        <w:numPr>
          <w:ilvl w:val="0"/>
          <w:numId w:val="2"/>
        </w:numPr>
        <w:spacing w:after="60"/>
      </w:pPr>
      <w:r>
        <w:rPr>
          <w:b/>
          <w:bCs/>
        </w:rPr>
        <w:t>Target:</w:t>
      </w:r>
      <w:r>
        <w:t xml:space="preserve"> area of plantation canopy standing just before the storm that was removed, flattened or buried by 20–21 Feb 2023, for mature stands, young stands and recent cutover, and in total, and how loss varied with slope and distance to stream.</w:t>
      </w:r>
    </w:p>
    <w:p w14:paraId="093ECADD" w14:textId="77777777" w:rsidR="00C75E96" w:rsidRDefault="00000000">
      <w:pPr>
        <w:pStyle w:val="ListParagraph"/>
        <w:numPr>
          <w:ilvl w:val="0"/>
          <w:numId w:val="2"/>
        </w:numPr>
        <w:spacing w:after="60"/>
      </w:pPr>
      <w:r>
        <w:rPr>
          <w:b/>
          <w:bCs/>
        </w:rPr>
        <w:t>Approach:</w:t>
      </w:r>
      <w:r>
        <w:t xml:space="preserve"> a wall-to-wall Sentinel-2 map shows where loss occurred; a blind stratified sample on high-resolution imagery corrects how much (Olofsson et al., 2014). All data are open; everything is on one 10 m NZTM2000 grid.</w:t>
      </w:r>
    </w:p>
    <w:p w14:paraId="289B93F2" w14:textId="77777777" w:rsidR="00A64E70" w:rsidRDefault="00A64E70" w:rsidP="00A64E7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4"/>
        <w:gridCol w:w="2578"/>
        <w:gridCol w:w="2764"/>
      </w:tblGrid>
      <w:tr w:rsidR="00C75E96" w14:paraId="72384A34" w14:textId="77777777">
        <w:tblPrEx>
          <w:tblCellMar>
            <w:top w:w="0" w:type="dxa"/>
            <w:bottom w:w="0" w:type="dxa"/>
          </w:tblCellMar>
        </w:tblPrEx>
        <w:trPr>
          <w:tblHeader/>
        </w:trPr>
        <w:tc>
          <w:tcPr>
            <w:tcW w:w="3684"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48F9236D" w14:textId="77777777" w:rsidR="00C75E96" w:rsidRDefault="00000000">
            <w:r>
              <w:rPr>
                <w:b/>
                <w:bCs/>
                <w:sz w:val="18"/>
                <w:szCs w:val="18"/>
              </w:rPr>
              <w:t>Data</w:t>
            </w:r>
          </w:p>
        </w:tc>
        <w:tc>
          <w:tcPr>
            <w:tcW w:w="2578"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18D0EDB5" w14:textId="77777777" w:rsidR="00C75E96" w:rsidRDefault="00000000">
            <w:r>
              <w:rPr>
                <w:b/>
                <w:bCs/>
                <w:sz w:val="18"/>
                <w:szCs w:val="18"/>
              </w:rPr>
              <w:t>Date</w:t>
            </w:r>
          </w:p>
        </w:tc>
        <w:tc>
          <w:tcPr>
            <w:tcW w:w="2764"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223BFBD1" w14:textId="77777777" w:rsidR="00C75E96" w:rsidRDefault="00000000">
            <w:r>
              <w:rPr>
                <w:b/>
                <w:bCs/>
                <w:sz w:val="18"/>
                <w:szCs w:val="18"/>
              </w:rPr>
              <w:t>Use</w:t>
            </w:r>
          </w:p>
        </w:tc>
      </w:tr>
      <w:tr w:rsidR="00C75E96" w14:paraId="5CCAA200" w14:textId="77777777">
        <w:tblPrEx>
          <w:tblCellMar>
            <w:top w:w="0" w:type="dxa"/>
            <w:bottom w:w="0" w:type="dxa"/>
          </w:tblCellMar>
        </w:tblPrEx>
        <w:tc>
          <w:tcPr>
            <w:tcW w:w="3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39F74" w14:textId="77777777" w:rsidR="00C75E96" w:rsidRDefault="00000000">
            <w:r>
              <w:t>Sentinel-2 L2A (10–20 m)</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91B00" w14:textId="77777777" w:rsidR="00C75E96" w:rsidRDefault="00000000">
            <w:r>
              <w:t>5 scenes 16 Jan–10 Feb; 20 Feb 2023</w:t>
            </w:r>
          </w:p>
        </w:tc>
        <w:tc>
          <w:tcPr>
            <w:tcW w:w="2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DC490" w14:textId="77777777" w:rsidR="00C75E96" w:rsidRDefault="00000000">
            <w:r>
              <w:t>NDVI/NBR, stand condition, loss map</w:t>
            </w:r>
          </w:p>
        </w:tc>
      </w:tr>
      <w:tr w:rsidR="00C75E96" w14:paraId="5C1EB2CC" w14:textId="77777777">
        <w:tblPrEx>
          <w:tblCellMar>
            <w:top w:w="0" w:type="dxa"/>
            <w:bottom w:w="0" w:type="dxa"/>
          </w:tblCellMar>
        </w:tblPrEx>
        <w:tc>
          <w:tcPr>
            <w:tcW w:w="3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5C419" w14:textId="77777777" w:rsidR="00C75E96" w:rsidRDefault="00000000">
            <w:r>
              <w:t>AlphaEarth embeddings; Forestry Catchment Planner; LCDB v6.0; Hansen GFC v1.13</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0D4B7" w14:textId="77777777" w:rsidR="00C75E96" w:rsidRDefault="00000000">
            <w:r>
              <w:t>2018–2022</w:t>
            </w:r>
          </w:p>
        </w:tc>
        <w:tc>
          <w:tcPr>
            <w:tcW w:w="2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D3DF4" w14:textId="77777777" w:rsidR="00C75E96" w:rsidRDefault="00000000">
            <w:r>
              <w:t>Plantation estate, harvest dating, independent check</w:t>
            </w:r>
          </w:p>
        </w:tc>
      </w:tr>
      <w:tr w:rsidR="00C75E96" w14:paraId="2A20DB5C" w14:textId="77777777">
        <w:tblPrEx>
          <w:tblCellMar>
            <w:top w:w="0" w:type="dxa"/>
            <w:bottom w:w="0" w:type="dxa"/>
          </w:tblCellMar>
        </w:tblPrEx>
        <w:tc>
          <w:tcPr>
            <w:tcW w:w="3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E314D" w14:textId="77777777" w:rsidR="00C75E96" w:rsidRDefault="00000000">
            <w:r>
              <w:t>Hawke's Bay LiDAR DEM (1 m)</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60DBF" w14:textId="77777777" w:rsidR="00C75E96" w:rsidRDefault="00000000">
            <w:r>
              <w:t>2020–21</w:t>
            </w:r>
          </w:p>
        </w:tc>
        <w:tc>
          <w:tcPr>
            <w:tcW w:w="2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A29C2" w14:textId="77777777" w:rsidR="00C75E96" w:rsidRDefault="00000000">
            <w:r>
              <w:t>Slope, streams</w:t>
            </w:r>
          </w:p>
        </w:tc>
      </w:tr>
      <w:tr w:rsidR="00C75E96" w14:paraId="1C278446" w14:textId="77777777">
        <w:tblPrEx>
          <w:tblCellMar>
            <w:top w:w="0" w:type="dxa"/>
            <w:bottom w:w="0" w:type="dxa"/>
          </w:tblCellMar>
        </w:tblPrEx>
        <w:tc>
          <w:tcPr>
            <w:tcW w:w="3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C10C5" w14:textId="77777777" w:rsidR="00C75E96" w:rsidRDefault="00000000">
            <w:r>
              <w:t>Aerial 0.3 m; satellite 0.5 m; aerial 0.1 m (partial)</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C1FD3" w14:textId="77777777" w:rsidR="00C75E96" w:rsidRDefault="00000000">
            <w:r>
              <w:t>2021–22; 21 Feb 2023; 17–20 Feb 2023</w:t>
            </w:r>
          </w:p>
        </w:tc>
        <w:tc>
          <w:tcPr>
            <w:tcW w:w="2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D955A" w14:textId="77777777" w:rsidR="00C75E96" w:rsidRDefault="00000000">
            <w:r>
              <w:t>Reference imagery (before / after)</w:t>
            </w:r>
          </w:p>
        </w:tc>
      </w:tr>
      <w:tr w:rsidR="00C75E96" w14:paraId="72140946" w14:textId="77777777">
        <w:tblPrEx>
          <w:tblCellMar>
            <w:top w:w="0" w:type="dxa"/>
            <w:bottom w:w="0" w:type="dxa"/>
          </w:tblCellMar>
        </w:tblPrEx>
        <w:tc>
          <w:tcPr>
            <w:tcW w:w="3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A3E75" w14:textId="77777777" w:rsidR="00C75E96" w:rsidRDefault="00000000">
            <w:r>
              <w:t>Sentinel-1 GRD</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ADDDB" w14:textId="77777777" w:rsidR="00C75E96" w:rsidRDefault="00000000">
            <w:r>
              <w:t>Dec 2022–Mar 2023</w:t>
            </w:r>
          </w:p>
        </w:tc>
        <w:tc>
          <w:tcPr>
            <w:tcW w:w="2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DDBBF" w14:textId="77777777" w:rsidR="00C75E96" w:rsidRDefault="00000000">
            <w:r>
              <w:t>Sensor comparison only</w:t>
            </w:r>
          </w:p>
        </w:tc>
      </w:tr>
    </w:tbl>
    <w:p w14:paraId="05B4A8EF" w14:textId="77777777" w:rsidR="00C75E96" w:rsidRDefault="00C75E96">
      <w:pPr>
        <w:spacing w:after="120"/>
      </w:pPr>
    </w:p>
    <w:p w14:paraId="7EC19EE1" w14:textId="77777777" w:rsidR="00C75E96" w:rsidRDefault="00000000">
      <w:pPr>
        <w:pStyle w:val="Heading1"/>
      </w:pPr>
      <w:r>
        <w:t>2. Define the plantation estate</w:t>
      </w:r>
    </w:p>
    <w:p w14:paraId="64F91792" w14:textId="399733DC" w:rsidR="00C75E96" w:rsidRDefault="00000000">
      <w:pPr>
        <w:pStyle w:val="ListParagraph"/>
        <w:numPr>
          <w:ilvl w:val="0"/>
          <w:numId w:val="2"/>
        </w:numPr>
        <w:spacing w:after="60"/>
      </w:pPr>
      <w:r>
        <w:t>A random forest on 2022 AlphaEarth embeddings (Brown et al., 2025; Earth Engine; labels drawn from FCP, HBRC biodiversity sites</w:t>
      </w:r>
      <w:r w:rsidR="00A64E70">
        <w:t>, and Hansen tree cover, Hansen et al., 2013) classified plantation, native,</w:t>
      </w:r>
      <w:r>
        <w:t xml:space="preserve"> and other land. Estate = classifier plantation plus FCP stands not classed as native: </w:t>
      </w:r>
      <w:r>
        <w:rPr>
          <w:b/>
          <w:bCs/>
        </w:rPr>
        <w:t>9,525 ha</w:t>
      </w:r>
      <w:r>
        <w:t>.</w:t>
      </w:r>
    </w:p>
    <w:p w14:paraId="430A235E" w14:textId="77777777" w:rsidR="00C75E96" w:rsidRDefault="00000000">
      <w:pPr>
        <w:pStyle w:val="ListParagraph"/>
        <w:numPr>
          <w:ilvl w:val="0"/>
          <w:numId w:val="2"/>
        </w:numPr>
        <w:spacing w:after="60"/>
      </w:pPr>
      <w:r>
        <w:t>Checked against LCDB v6.0 (Law, 2025) 2018/19 exotic plus harvested forest: the two agree on 8,674 ha. The extra area is mostly edge pixels, so 9,525 ha is an upper bound. The LCDB forest class alone would have missed about 1,200 ha of recently harvested land that was young stands by the storm.</w:t>
      </w:r>
    </w:p>
    <w:p w14:paraId="76FB9321" w14:textId="77777777" w:rsidR="00C75E96" w:rsidRDefault="00000000">
      <w:pPr>
        <w:pStyle w:val="ListParagraph"/>
        <w:numPr>
          <w:ilvl w:val="0"/>
          <w:numId w:val="2"/>
        </w:numPr>
        <w:spacing w:after="60"/>
      </w:pPr>
      <w:r>
        <w:rPr>
          <w:b/>
          <w:bCs/>
        </w:rPr>
        <w:t>Stand condition</w:t>
      </w:r>
      <w:r>
        <w:t xml:space="preserve"> from pre-storm Sentinel-2 and Hansen loss year: mature (NDVI ≥ 0.69, NBR ≥ 0.53, not harvested 2017–22) 5,550 ha; young (NDVI ≥ 0.50) 3,185 ha; open cutover (NDVI &lt; 0.50, no canopy to lose) 712 ha.</w:t>
      </w:r>
    </w:p>
    <w:p w14:paraId="2C484BDB" w14:textId="77777777" w:rsidR="00C75E96" w:rsidRDefault="00000000">
      <w:pPr>
        <w:pStyle w:val="Heading1"/>
      </w:pPr>
      <w:r>
        <w:t>3. Map canopy loss</w:t>
      </w:r>
    </w:p>
    <w:p w14:paraId="6C92D591" w14:textId="77777777" w:rsidR="00C75E96" w:rsidRDefault="00000000">
      <w:pPr>
        <w:pStyle w:val="ListParagraph"/>
        <w:numPr>
          <w:ilvl w:val="0"/>
          <w:numId w:val="2"/>
        </w:numPr>
        <w:spacing w:after="60"/>
      </w:pPr>
      <w:r>
        <w:t>ΔNDVI = post (20 Feb) − pre (median of the five pre-storm scenes), after cloud masking. A pixel is lost if ΔNDVI falls below the median − 3 × MAD of its condition class (mature −0.07, young −0.22), with a 0.04 ha minimum patch.</w:t>
      </w:r>
    </w:p>
    <w:p w14:paraId="581800AE" w14:textId="77777777" w:rsidR="00C75E96" w:rsidRDefault="00000000">
      <w:pPr>
        <w:pStyle w:val="ListParagraph"/>
        <w:numPr>
          <w:ilvl w:val="0"/>
          <w:numId w:val="2"/>
        </w:numPr>
        <w:spacing w:after="60"/>
      </w:pPr>
      <w:r>
        <w:t>The threshold used no reference labels, so the sample (block 4) is an independent check. The post image is six days after landfall, so post-storm harvest cannot be confused with storm damage.</w:t>
      </w:r>
    </w:p>
    <w:p w14:paraId="2BDEE75B" w14:textId="77777777" w:rsidR="00C75E96" w:rsidRDefault="00000000">
      <w:pPr>
        <w:pStyle w:val="ListParagraph"/>
        <w:numPr>
          <w:ilvl w:val="0"/>
          <w:numId w:val="2"/>
        </w:numPr>
        <w:spacing w:after="60"/>
      </w:pPr>
      <w:r>
        <w:lastRenderedPageBreak/>
        <w:t xml:space="preserve">Mapped loss: </w:t>
      </w:r>
      <w:r>
        <w:rPr>
          <w:b/>
          <w:bCs/>
        </w:rPr>
        <w:t>823 ha</w:t>
      </w:r>
      <w:r>
        <w:t xml:space="preserve"> (mature 532, young 291).</w:t>
      </w:r>
    </w:p>
    <w:p w14:paraId="215E673A" w14:textId="77777777" w:rsidR="00C75E96" w:rsidRDefault="00000000">
      <w:pPr>
        <w:pStyle w:val="Heading1"/>
      </w:pPr>
      <w:r>
        <w:t>4. Check the map: blind block sample</w:t>
      </w:r>
    </w:p>
    <w:p w14:paraId="3DAAD564" w14:textId="77777777" w:rsidR="00C75E96" w:rsidRDefault="00000000">
      <w:pPr>
        <w:pStyle w:val="ListParagraph"/>
        <w:numPr>
          <w:ilvl w:val="0"/>
          <w:numId w:val="2"/>
        </w:numPr>
        <w:spacing w:after="60"/>
      </w:pPr>
      <w:r>
        <w:rPr>
          <w:b/>
          <w:bCs/>
        </w:rPr>
        <w:t>Design</w:t>
      </w:r>
      <w:r>
        <w:t xml:space="preserve"> (protocol approved before sampling): 30 × 30 m blocks (3 × 3 pixels), stratified by condition (mature, young) × mapped loss (none, some, most); 130 blocks by stratified random sampling. Blocks rather than single pixels because the reference imagery sat a median </w:t>
      </w:r>
      <w:r>
        <w:rPr>
          <w:b/>
          <w:bCs/>
        </w:rPr>
        <w:t>8.7 m</w:t>
      </w:r>
      <w:r>
        <w:t xml:space="preserve"> off the Sentinel-2 grid (measured by phase correlation and corrected on the chips).</w:t>
      </w:r>
    </w:p>
    <w:p w14:paraId="5DC93571" w14:textId="77777777" w:rsidR="00C75E96" w:rsidRDefault="00000000">
      <w:pPr>
        <w:pStyle w:val="ListParagraph"/>
        <w:numPr>
          <w:ilvl w:val="0"/>
          <w:numId w:val="2"/>
        </w:numPr>
        <w:spacing w:after="60"/>
      </w:pPr>
      <w:r>
        <w:rPr>
          <w:b/>
          <w:bCs/>
        </w:rPr>
        <w:t>Labelling:</w:t>
      </w:r>
      <w:r>
        <w:t xml:space="preserve"> each block was shown as before/after chips (0.3 m aerial 2021–22; 0.5 m satellite 21 Feb 2023; 0.1 m aerial where available) with 16 dots. Each dot was marked plantation canopy, lost (removed, flattened or buried) or no canopy, without seeing the map. 117 blocks were usable (13 'can't tell').</w:t>
      </w:r>
    </w:p>
    <w:p w14:paraId="0B142145" w14:textId="77777777" w:rsidR="00C75E96" w:rsidRDefault="00000000">
      <w:pPr>
        <w:pStyle w:val="ListParagraph"/>
        <w:numPr>
          <w:ilvl w:val="0"/>
          <w:numId w:val="2"/>
        </w:numPr>
        <w:spacing w:after="60"/>
      </w:pPr>
      <w:r>
        <w:rPr>
          <w:b/>
          <w:bCs/>
        </w:rPr>
        <w:t>Consistency:</w:t>
      </w:r>
      <w:r>
        <w:t xml:space="preserve"> a second group member independently labelled 30 blocks; lost fractions differed by 0.047 on average (kappa 0.55 for any loss).</w:t>
      </w:r>
    </w:p>
    <w:p w14:paraId="1E4D1927" w14:textId="77777777" w:rsidR="00C75E96" w:rsidRDefault="00000000">
      <w:pPr>
        <w:pStyle w:val="Heading1"/>
      </w:pPr>
      <w:r>
        <w:t>5. Estimate area and explain the pattern</w:t>
      </w:r>
    </w:p>
    <w:p w14:paraId="0ECAB2C8" w14:textId="77777777" w:rsidR="00C75E96" w:rsidRDefault="00000000">
      <w:pPr>
        <w:pStyle w:val="ListParagraph"/>
        <w:numPr>
          <w:ilvl w:val="0"/>
          <w:numId w:val="2"/>
        </w:numPr>
        <w:spacing w:after="60"/>
      </w:pPr>
      <w:r>
        <w:rPr>
          <w:b/>
          <w:bCs/>
        </w:rPr>
        <w:t>Stratified estimator</w:t>
      </w:r>
      <w:r>
        <w:t xml:space="preserve"> (Olofsson et al., 2014): loss per block = lost dots/16 × 0.09 ha; total = Σ </w:t>
      </w:r>
      <w:proofErr w:type="spellStart"/>
      <w:r>
        <w:t>N_h</w:t>
      </w:r>
      <w:proofErr w:type="spellEnd"/>
      <w:r>
        <w:t xml:space="preserve"> </w:t>
      </w:r>
      <w:proofErr w:type="spellStart"/>
      <w:r>
        <w:t>ȳ_h</w:t>
      </w:r>
      <w:proofErr w:type="spellEnd"/>
      <w:r>
        <w:t xml:space="preserve"> with 95% normal CIs. The share of canopy lost is a ratio of totals, with bootstrap CIs.</w:t>
      </w:r>
    </w:p>
    <w:p w14:paraId="11394C52" w14:textId="77777777" w:rsidR="00C75E96" w:rsidRDefault="00000000">
      <w:pPr>
        <w:pStyle w:val="ListParagraph"/>
        <w:numPr>
          <w:ilvl w:val="0"/>
          <w:numId w:val="2"/>
        </w:numPr>
        <w:spacing w:after="60"/>
      </w:pPr>
      <w:r>
        <w:rPr>
          <w:b/>
          <w:bCs/>
        </w:rPr>
        <w:t>Recent harvest:</w:t>
      </w:r>
      <w:r>
        <w:t xml:space="preserve"> the 2021–22 'before' photo predates 2022 harvesting, so dots on Hansen 2022 loss pixels are treated as no canopy before. This rule was chosen after the results were seen and is disclosed; the alternatives are reported as bounds.</w:t>
      </w:r>
    </w:p>
    <w:p w14:paraId="23793D47" w14:textId="77777777" w:rsidR="00A64E70" w:rsidRDefault="00A64E70" w:rsidP="00A64E7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1"/>
        <w:gridCol w:w="3008"/>
        <w:gridCol w:w="2007"/>
      </w:tblGrid>
      <w:tr w:rsidR="00C75E96" w14:paraId="62BD191E" w14:textId="77777777">
        <w:tblPrEx>
          <w:tblCellMar>
            <w:top w:w="0" w:type="dxa"/>
            <w:bottom w:w="0" w:type="dxa"/>
          </w:tblCellMar>
        </w:tblPrEx>
        <w:trPr>
          <w:tblHeader/>
        </w:trPr>
        <w:tc>
          <w:tcPr>
            <w:tcW w:w="4011"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5E3198F7" w14:textId="77777777" w:rsidR="00C75E96" w:rsidRDefault="00C75E96"/>
        </w:tc>
        <w:tc>
          <w:tcPr>
            <w:tcW w:w="3008"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2FC617E5" w14:textId="77777777" w:rsidR="00C75E96" w:rsidRDefault="00000000">
            <w:r>
              <w:rPr>
                <w:b/>
                <w:bCs/>
                <w:sz w:val="18"/>
                <w:szCs w:val="18"/>
              </w:rPr>
              <w:t>Loss (ha, 95% CI)</w:t>
            </w:r>
          </w:p>
        </w:tc>
        <w:tc>
          <w:tcPr>
            <w:tcW w:w="2007"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5D8F6FB3" w14:textId="77777777" w:rsidR="00C75E96" w:rsidRDefault="00000000">
            <w:r>
              <w:rPr>
                <w:b/>
                <w:bCs/>
                <w:sz w:val="18"/>
                <w:szCs w:val="18"/>
              </w:rPr>
              <w:t>Share of canopy</w:t>
            </w:r>
          </w:p>
        </w:tc>
      </w:tr>
      <w:tr w:rsidR="00C75E96" w14:paraId="3C0F084B" w14:textId="77777777">
        <w:tblPrEx>
          <w:tblCellMar>
            <w:top w:w="0" w:type="dxa"/>
            <w:bottom w:w="0" w:type="dxa"/>
          </w:tblCellMar>
        </w:tblPrEx>
        <w:tc>
          <w:tcPr>
            <w:tcW w:w="4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96DBE" w14:textId="77777777" w:rsidR="00C75E96" w:rsidRDefault="00000000">
            <w:r>
              <w:t>Mature</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3BD55" w14:textId="77777777" w:rsidR="00C75E96" w:rsidRDefault="00000000">
            <w:r>
              <w:t>194 (82–306)</w:t>
            </w:r>
          </w:p>
        </w:tc>
        <w:tc>
          <w:tcPr>
            <w:tcW w:w="20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33F46" w14:textId="77777777" w:rsidR="00C75E96" w:rsidRDefault="00000000">
            <w:r>
              <w:t>4.3%</w:t>
            </w:r>
          </w:p>
        </w:tc>
      </w:tr>
      <w:tr w:rsidR="00C75E96" w14:paraId="674380E8" w14:textId="77777777">
        <w:tblPrEx>
          <w:tblCellMar>
            <w:top w:w="0" w:type="dxa"/>
            <w:bottom w:w="0" w:type="dxa"/>
          </w:tblCellMar>
        </w:tblPrEx>
        <w:tc>
          <w:tcPr>
            <w:tcW w:w="4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DF100" w14:textId="77777777" w:rsidR="00C75E96" w:rsidRDefault="00000000">
            <w:r>
              <w:t>Young stands and recent cutover</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358FA" w14:textId="77777777" w:rsidR="00C75E96" w:rsidRDefault="00000000">
            <w:r>
              <w:t>272 (120–423)</w:t>
            </w:r>
          </w:p>
        </w:tc>
        <w:tc>
          <w:tcPr>
            <w:tcW w:w="20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94FB5" w14:textId="77777777" w:rsidR="00C75E96" w:rsidRDefault="00000000">
            <w:r>
              <w:t>15.2%</w:t>
            </w:r>
          </w:p>
        </w:tc>
      </w:tr>
      <w:tr w:rsidR="00C75E96" w14:paraId="2FBAE6BE" w14:textId="77777777">
        <w:tblPrEx>
          <w:tblCellMar>
            <w:top w:w="0" w:type="dxa"/>
            <w:bottom w:w="0" w:type="dxa"/>
          </w:tblCellMar>
        </w:tblPrEx>
        <w:tc>
          <w:tcPr>
            <w:tcW w:w="4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5404A" w14:textId="77777777" w:rsidR="00C75E96" w:rsidRDefault="00000000">
            <w:r>
              <w:rPr>
                <w:b/>
                <w:bCs/>
              </w:rPr>
              <w:t>Total</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021F5" w14:textId="77777777" w:rsidR="00C75E96" w:rsidRDefault="00000000">
            <w:r>
              <w:rPr>
                <w:b/>
                <w:bCs/>
              </w:rPr>
              <w:t>466 (277–654)</w:t>
            </w:r>
          </w:p>
        </w:tc>
        <w:tc>
          <w:tcPr>
            <w:tcW w:w="20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3B45C" w14:textId="77777777" w:rsidR="00C75E96" w:rsidRDefault="00000000">
            <w:r>
              <w:rPr>
                <w:b/>
                <w:bCs/>
              </w:rPr>
              <w:t>7.4%</w:t>
            </w:r>
          </w:p>
        </w:tc>
      </w:tr>
      <w:tr w:rsidR="00C75E96" w14:paraId="6D241340" w14:textId="77777777">
        <w:tblPrEx>
          <w:tblCellMar>
            <w:top w:w="0" w:type="dxa"/>
            <w:bottom w:w="0" w:type="dxa"/>
          </w:tblCellMar>
        </w:tblPrEx>
        <w:tc>
          <w:tcPr>
            <w:tcW w:w="4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2DF24" w14:textId="77777777" w:rsidR="00C75E96" w:rsidRDefault="00000000">
            <w:r>
              <w:t>Bounds: 2022 harvest counted / 2021–22 excluded</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732EF" w14:textId="77777777" w:rsidR="00C75E96" w:rsidRDefault="00000000">
            <w:r>
              <w:t>638 / 399</w:t>
            </w:r>
          </w:p>
        </w:tc>
        <w:tc>
          <w:tcPr>
            <w:tcW w:w="20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9BFE8" w14:textId="77777777" w:rsidR="00C75E96" w:rsidRDefault="00C75E96"/>
        </w:tc>
      </w:tr>
    </w:tbl>
    <w:p w14:paraId="1C0374B7" w14:textId="77777777" w:rsidR="00C75E96" w:rsidRDefault="00C75E96">
      <w:pPr>
        <w:spacing w:after="120"/>
      </w:pPr>
    </w:p>
    <w:p w14:paraId="4BA14AB3" w14:textId="77777777" w:rsidR="00C75E96" w:rsidRDefault="00000000">
      <w:pPr>
        <w:pStyle w:val="ListParagraph"/>
        <w:numPr>
          <w:ilvl w:val="0"/>
          <w:numId w:val="2"/>
        </w:numPr>
        <w:spacing w:after="60"/>
      </w:pPr>
      <w:r>
        <w:rPr>
          <w:b/>
          <w:bCs/>
        </w:rPr>
        <w:t>Terrain:</w:t>
      </w:r>
      <w:r>
        <w:t xml:space="preserve"> map-based loss rates by slope class (&lt; 15° to &gt; 35°) and distance to stream (0–20 m to &gt; 200 m; streams from priority-flood filling (Barnes et al., 2014) and D8 flow accumulation ≥ 5 ha on the LiDAR DEM).</w:t>
      </w:r>
    </w:p>
    <w:p w14:paraId="05BB940A" w14:textId="77777777" w:rsidR="00C75E96" w:rsidRDefault="00000000">
      <w:pPr>
        <w:pStyle w:val="ListParagraph"/>
        <w:numPr>
          <w:ilvl w:val="0"/>
          <w:numId w:val="2"/>
        </w:numPr>
        <w:spacing w:after="60"/>
      </w:pPr>
      <w:r>
        <w:rPr>
          <w:b/>
          <w:bCs/>
        </w:rPr>
        <w:t>Sensor comparison (secondary):</w:t>
      </w:r>
      <w:r>
        <w:t xml:space="preserve"> separation (AUC) between verified loss and intact points from the earlier pixel sample: Sentinel-2 NDVI 0.90, NBR 0.86, AlphaEarth change 0.75, Sentinel-1 VH/VV 0.69.</w:t>
      </w:r>
    </w:p>
    <w:p w14:paraId="082B0367" w14:textId="77777777" w:rsidR="00C75E96" w:rsidRDefault="00000000">
      <w:pPr>
        <w:pStyle w:val="ListParagraph"/>
        <w:numPr>
          <w:ilvl w:val="0"/>
          <w:numId w:val="2"/>
        </w:numPr>
        <w:spacing w:after="60"/>
      </w:pPr>
      <w:r>
        <w:rPr>
          <w:b/>
          <w:bCs/>
        </w:rPr>
        <w:t>Context:</w:t>
      </w:r>
      <w:r>
        <w:t xml:space="preserve"> compared with bare-ground estimates (McMillan et al., 2023: 166 ha of scars; Notti, 2026: 249 ha), which </w:t>
      </w:r>
      <w:proofErr w:type="spellStart"/>
      <w:r>
        <w:t>count less</w:t>
      </w:r>
      <w:proofErr w:type="spellEnd"/>
      <w:r>
        <w:t xml:space="preserve"> of each slip by definition.</w:t>
      </w:r>
    </w:p>
    <w:p w14:paraId="752E29A2" w14:textId="77777777" w:rsidR="00C75E96" w:rsidRDefault="00000000">
      <w:pPr>
        <w:pStyle w:val="ListParagraph"/>
        <w:numPr>
          <w:ilvl w:val="0"/>
          <w:numId w:val="2"/>
        </w:numPr>
        <w:spacing w:after="60"/>
      </w:pPr>
      <w:r>
        <w:t>Software: Python (</w:t>
      </w:r>
      <w:proofErr w:type="spellStart"/>
      <w:r>
        <w:t>rasterio</w:t>
      </w:r>
      <w:proofErr w:type="spellEnd"/>
      <w:r>
        <w:t xml:space="preserve">, </w:t>
      </w:r>
      <w:proofErr w:type="spellStart"/>
      <w:r>
        <w:t>xarray</w:t>
      </w:r>
      <w:proofErr w:type="spellEnd"/>
      <w:r>
        <w:t>, scikit-learn), Google Earth Engine and QGIS; fixed random seeds; every number is written to a provenance file. Claude (Anthropic) assisted with code and figures.</w:t>
      </w:r>
    </w:p>
    <w:p w14:paraId="34DE991F" w14:textId="77777777" w:rsidR="00A64E70" w:rsidRDefault="00A64E70">
      <w:pPr>
        <w:pStyle w:val="Heading1"/>
      </w:pPr>
    </w:p>
    <w:p w14:paraId="0B48AC61" w14:textId="77777777" w:rsidR="00A64E70" w:rsidRDefault="00A64E70">
      <w:pPr>
        <w:pStyle w:val="Heading1"/>
      </w:pPr>
    </w:p>
    <w:p w14:paraId="5484A739" w14:textId="77777777" w:rsidR="00A64E70" w:rsidRDefault="00A64E70">
      <w:pPr>
        <w:pStyle w:val="Heading1"/>
      </w:pPr>
    </w:p>
    <w:p w14:paraId="042E3428" w14:textId="77777777" w:rsidR="00A64E70" w:rsidRDefault="00A64E70">
      <w:pPr>
        <w:pStyle w:val="Heading1"/>
      </w:pPr>
    </w:p>
    <w:p w14:paraId="654288D5" w14:textId="77777777" w:rsidR="00A64E70" w:rsidRDefault="00A64E70">
      <w:pPr>
        <w:pStyle w:val="Heading1"/>
      </w:pPr>
    </w:p>
    <w:p w14:paraId="656128F1" w14:textId="7B93842C" w:rsidR="00C75E96" w:rsidRDefault="00000000">
      <w:pPr>
        <w:pStyle w:val="Heading1"/>
      </w:pPr>
      <w:r>
        <w:t>References</w:t>
      </w:r>
    </w:p>
    <w:p w14:paraId="5B6C9079" w14:textId="77777777" w:rsidR="00C75E96" w:rsidRDefault="00000000">
      <w:pPr>
        <w:spacing w:after="80"/>
        <w:ind w:left="360" w:hanging="360"/>
      </w:pPr>
      <w:r>
        <w:t>Barnes, R., Lehman, C., &amp; Mulla, D. (2014). Priority-flood: An optimal depression-filling and watershed-labeling algorithm for digital elevation models. Computers &amp; Geosciences, 62, 117–127. https://doi.org/10.1016/j.cageo.2013.04.024</w:t>
      </w:r>
    </w:p>
    <w:p w14:paraId="6EEF5383" w14:textId="77777777" w:rsidR="00C75E96" w:rsidRDefault="00000000">
      <w:pPr>
        <w:spacing w:after="80"/>
        <w:ind w:left="360" w:hanging="360"/>
      </w:pPr>
      <w:r>
        <w:t xml:space="preserve">Brown, C. F., Kazmierski, M. R., Pasquarella, V. J., Rucklidge, W. J., </w:t>
      </w:r>
      <w:proofErr w:type="spellStart"/>
      <w:r>
        <w:t>Samsikova</w:t>
      </w:r>
      <w:proofErr w:type="spellEnd"/>
      <w:r>
        <w:t xml:space="preserve">, M., Zhang, C., Shelhamer, E., Lahera, E., Wiles, O., Ilyushchenko, S., Gorelick, N., Zhang, L. L., </w:t>
      </w:r>
      <w:proofErr w:type="spellStart"/>
      <w:r>
        <w:t>Alj</w:t>
      </w:r>
      <w:proofErr w:type="spellEnd"/>
      <w:r>
        <w:t xml:space="preserve">, S., Schechter, E., </w:t>
      </w:r>
      <w:proofErr w:type="spellStart"/>
      <w:r>
        <w:t>Askay</w:t>
      </w:r>
      <w:proofErr w:type="spellEnd"/>
      <w:r>
        <w:t xml:space="preserve">, S., Guinan, O., Moore, R., Boukouvalas, A., &amp; Kohli, P. (2025). AlphaEarth Foundations: An embedding field model for accurate and efficient global mapping from sparse label data (Version 2). </w:t>
      </w:r>
      <w:proofErr w:type="spellStart"/>
      <w:r>
        <w:t>arXiv</w:t>
      </w:r>
      <w:proofErr w:type="spellEnd"/>
      <w:r>
        <w:t>. https://doi.org/10.48550/arXiv.2507.22291</w:t>
      </w:r>
    </w:p>
    <w:p w14:paraId="6E63B575" w14:textId="77777777" w:rsidR="00C75E96" w:rsidRDefault="00000000">
      <w:pPr>
        <w:spacing w:after="80"/>
        <w:ind w:left="360" w:hanging="360"/>
      </w:pPr>
      <w:r>
        <w:t xml:space="preserve">Hansen, M. C., Potapov, P. V., Moore, R., Hancher, M., </w:t>
      </w:r>
      <w:proofErr w:type="spellStart"/>
      <w:r>
        <w:t>Turubanova</w:t>
      </w:r>
      <w:proofErr w:type="spellEnd"/>
      <w:r>
        <w:t xml:space="preserve">, S. A., </w:t>
      </w:r>
      <w:proofErr w:type="spellStart"/>
      <w:r>
        <w:t>Tyukavina</w:t>
      </w:r>
      <w:proofErr w:type="spellEnd"/>
      <w:r>
        <w:t>, A., Thau, D., Stehman, S. V., Goetz, S. J., Loveland, T. R., Kommareddy, A., Egorov, A., Chini, L., Justice, C. O., &amp; Townshend, J. R. G. (2013). High-resolution global maps of 21st-century forest cover change. Science, 342(6160), 850–853. https://doi.org/10.1126/science.1244693</w:t>
      </w:r>
    </w:p>
    <w:p w14:paraId="023546DD" w14:textId="77777777" w:rsidR="00C75E96" w:rsidRDefault="00000000">
      <w:pPr>
        <w:spacing w:after="80"/>
        <w:ind w:left="360" w:hanging="360"/>
      </w:pPr>
      <w:r>
        <w:t>Law, R. (2025). LCDB v6.0 – Land Cover Database version 6.0, Mainland, New Zealand [Data set]. Manaaki Whenua – Landcare Research. https://doi.org/10.26060/WM99-RY32</w:t>
      </w:r>
    </w:p>
    <w:p w14:paraId="50EC3B6A" w14:textId="77777777" w:rsidR="00C75E96" w:rsidRDefault="00000000">
      <w:pPr>
        <w:spacing w:after="80"/>
        <w:ind w:left="360" w:hanging="360"/>
      </w:pPr>
      <w:r>
        <w:t>McMillan, A., Dymond, J., Jolly, B., Shepherd, J., &amp; Sutherland, A. (2023). Rapid assessment of land damage – Cyclone Gabrielle (Contract Report LC4292). Manaaki Whenua – Landcare Research, prepared for the Ministry for the Environment. https://environment.govt.nz/assets/Rapid-assessment-of-land-damage-Cyclone-Gabrielle-Manaaki-Whenua-Landcare-Research-report.pdf</w:t>
      </w:r>
    </w:p>
    <w:p w14:paraId="11B03505" w14:textId="77777777" w:rsidR="00C75E96" w:rsidRDefault="00000000">
      <w:pPr>
        <w:spacing w:after="80"/>
        <w:ind w:left="360" w:hanging="360"/>
      </w:pPr>
      <w:r>
        <w:t xml:space="preserve">Notti, D. (2026). Potential Shallow Landslides (PL) inventory based on Sentinel-2 imagery for the 2024 Noto Earthquake (Japan) and 2023 Cyclone Gabrielle (New Zealand) (Version 1.0) [Data set]. </w:t>
      </w:r>
      <w:proofErr w:type="spellStart"/>
      <w:r>
        <w:t>Zenodo</w:t>
      </w:r>
      <w:proofErr w:type="spellEnd"/>
      <w:r>
        <w:t>. https://doi.org/10.5281/zenodo.22661524</w:t>
      </w:r>
    </w:p>
    <w:p w14:paraId="2FEEAD53" w14:textId="77777777" w:rsidR="00C75E96" w:rsidRDefault="00000000">
      <w:pPr>
        <w:spacing w:after="80"/>
        <w:ind w:left="360" w:hanging="360"/>
      </w:pPr>
      <w:r>
        <w:t xml:space="preserve">Olofsson, P., Foody, G. M., Herold, M., Stehman, S. V., Woodcock, C. E., &amp; </w:t>
      </w:r>
      <w:proofErr w:type="spellStart"/>
      <w:r>
        <w:t>Wulder</w:t>
      </w:r>
      <w:proofErr w:type="spellEnd"/>
      <w:r>
        <w:t>, M. A. (2014). Good practices for estimating area and assessing accuracy of land change. Remote Sensing of Environment, 148, 42–57. https://doi.org/10.1016/j.rse.2014.02.015</w:t>
      </w:r>
    </w:p>
    <w:p w14:paraId="727C1EF1" w14:textId="77777777" w:rsidR="00C75E96" w:rsidRDefault="00000000">
      <w:pPr>
        <w:spacing w:after="120"/>
      </w:pPr>
      <w:r>
        <w:rPr>
          <w:b/>
          <w:bCs/>
        </w:rPr>
        <w:t>Data credits:</w:t>
      </w:r>
      <w:r>
        <w:t xml:space="preserve"> Copernicus Sentinel-2 and Sentinel-1 (ESA); AlphaEarth Satellite Embedding V1 annual (GOOGLE/SATELLITE_EMBEDDING/V1/ANNUAL, Google Earth Engine); LiDAR DEM and aerial and satellite imagery from LINZ and HBRC (CC BY 4.0); Forestry Catchment Planner; HBRC Biodiversity priority sites.</w:t>
      </w:r>
    </w:p>
    <w:sectPr w:rsidR="00C75E9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79977" w14:textId="77777777" w:rsidR="004D089A" w:rsidRDefault="004D089A">
      <w:r>
        <w:separator/>
      </w:r>
    </w:p>
  </w:endnote>
  <w:endnote w:type="continuationSeparator" w:id="0">
    <w:p w14:paraId="287E8E63" w14:textId="77777777" w:rsidR="004D089A" w:rsidRDefault="004D0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F8AF" w14:textId="77777777" w:rsidR="00C75E96" w:rsidRDefault="00000000">
    <w:pPr>
      <w:jc w:val="right"/>
    </w:pPr>
    <w:r>
      <w:rPr>
        <w:color w:val="888888"/>
        <w:sz w:val="16"/>
        <w:szCs w:val="16"/>
      </w:rPr>
      <w:t xml:space="preserve">Methods outline (condensed)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64E7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71FBC" w14:textId="77777777" w:rsidR="004D089A" w:rsidRDefault="004D089A">
      <w:r>
        <w:separator/>
      </w:r>
    </w:p>
  </w:footnote>
  <w:footnote w:type="continuationSeparator" w:id="0">
    <w:p w14:paraId="0917D79B" w14:textId="77777777" w:rsidR="004D089A" w:rsidRDefault="004D0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20953"/>
    <w:multiLevelType w:val="hybridMultilevel"/>
    <w:tmpl w:val="AD7A8F6E"/>
    <w:lvl w:ilvl="0" w:tplc="DF927AE4">
      <w:start w:val="1"/>
      <w:numFmt w:val="bullet"/>
      <w:lvlText w:val="•"/>
      <w:lvlJc w:val="left"/>
      <w:pPr>
        <w:ind w:left="360" w:hanging="260"/>
      </w:pPr>
    </w:lvl>
    <w:lvl w:ilvl="1" w:tplc="0F904B12" w:tentative="1">
      <w:start w:val="1"/>
      <w:numFmt w:val="bullet"/>
      <w:lvlText w:val="–"/>
      <w:lvlJc w:val="left"/>
      <w:pPr>
        <w:ind w:left="900" w:hanging="260"/>
      </w:pPr>
    </w:lvl>
    <w:lvl w:ilvl="2" w:tplc="5BBEE678">
      <w:numFmt w:val="decimal"/>
      <w:lvlText w:val=""/>
      <w:lvlJc w:val="left"/>
    </w:lvl>
    <w:lvl w:ilvl="3" w:tplc="22DA4BFA">
      <w:numFmt w:val="decimal"/>
      <w:lvlText w:val=""/>
      <w:lvlJc w:val="left"/>
    </w:lvl>
    <w:lvl w:ilvl="4" w:tplc="31609034">
      <w:numFmt w:val="decimal"/>
      <w:lvlText w:val=""/>
      <w:lvlJc w:val="left"/>
    </w:lvl>
    <w:lvl w:ilvl="5" w:tplc="85E4E52E">
      <w:numFmt w:val="decimal"/>
      <w:lvlText w:val=""/>
      <w:lvlJc w:val="left"/>
    </w:lvl>
    <w:lvl w:ilvl="6" w:tplc="C822592C">
      <w:numFmt w:val="decimal"/>
      <w:lvlText w:val=""/>
      <w:lvlJc w:val="left"/>
    </w:lvl>
    <w:lvl w:ilvl="7" w:tplc="834C9244">
      <w:numFmt w:val="decimal"/>
      <w:lvlText w:val=""/>
      <w:lvlJc w:val="left"/>
    </w:lvl>
    <w:lvl w:ilvl="8" w:tplc="B6B0F06E">
      <w:numFmt w:val="decimal"/>
      <w:lvlText w:val=""/>
      <w:lvlJc w:val="left"/>
    </w:lvl>
  </w:abstractNum>
  <w:abstractNum w:abstractNumId="1" w15:restartNumberingAfterBreak="0">
    <w:nsid w:val="24BE4BD3"/>
    <w:multiLevelType w:val="hybridMultilevel"/>
    <w:tmpl w:val="394476E0"/>
    <w:lvl w:ilvl="0" w:tplc="F0FA3BD2" w:tentative="1">
      <w:start w:val="1"/>
      <w:numFmt w:val="bullet"/>
      <w:lvlText w:val="●"/>
      <w:lvlJc w:val="left"/>
      <w:pPr>
        <w:ind w:left="720" w:hanging="360"/>
      </w:pPr>
    </w:lvl>
    <w:lvl w:ilvl="1" w:tplc="370ACD32" w:tentative="1">
      <w:start w:val="1"/>
      <w:numFmt w:val="bullet"/>
      <w:lvlText w:val="○"/>
      <w:lvlJc w:val="left"/>
      <w:pPr>
        <w:ind w:left="1440" w:hanging="360"/>
      </w:pPr>
    </w:lvl>
    <w:lvl w:ilvl="2" w:tplc="7C46187C" w:tentative="1">
      <w:start w:val="1"/>
      <w:numFmt w:val="bullet"/>
      <w:lvlText w:val="■"/>
      <w:lvlJc w:val="left"/>
      <w:pPr>
        <w:ind w:left="2160" w:hanging="360"/>
      </w:pPr>
    </w:lvl>
    <w:lvl w:ilvl="3" w:tplc="C5FA7B6E" w:tentative="1">
      <w:start w:val="1"/>
      <w:numFmt w:val="bullet"/>
      <w:lvlText w:val="●"/>
      <w:lvlJc w:val="left"/>
      <w:pPr>
        <w:ind w:left="2880" w:hanging="360"/>
      </w:pPr>
    </w:lvl>
    <w:lvl w:ilvl="4" w:tplc="B2C609BC" w:tentative="1">
      <w:start w:val="1"/>
      <w:numFmt w:val="bullet"/>
      <w:lvlText w:val="○"/>
      <w:lvlJc w:val="left"/>
      <w:pPr>
        <w:ind w:left="3600" w:hanging="360"/>
      </w:pPr>
    </w:lvl>
    <w:lvl w:ilvl="5" w:tplc="C2409D34" w:tentative="1">
      <w:start w:val="1"/>
      <w:numFmt w:val="bullet"/>
      <w:lvlText w:val="■"/>
      <w:lvlJc w:val="left"/>
      <w:pPr>
        <w:ind w:left="4320" w:hanging="360"/>
      </w:pPr>
    </w:lvl>
    <w:lvl w:ilvl="6" w:tplc="51C45B58" w:tentative="1">
      <w:start w:val="1"/>
      <w:numFmt w:val="bullet"/>
      <w:lvlText w:val="●"/>
      <w:lvlJc w:val="left"/>
      <w:pPr>
        <w:ind w:left="5040" w:hanging="360"/>
      </w:pPr>
    </w:lvl>
    <w:lvl w:ilvl="7" w:tplc="CC963432" w:tentative="1">
      <w:start w:val="1"/>
      <w:numFmt w:val="bullet"/>
      <w:lvlText w:val="●"/>
      <w:lvlJc w:val="left"/>
      <w:pPr>
        <w:ind w:left="5760" w:hanging="360"/>
      </w:pPr>
    </w:lvl>
    <w:lvl w:ilvl="8" w:tplc="CCA21674" w:tentative="1">
      <w:start w:val="1"/>
      <w:numFmt w:val="bullet"/>
      <w:lvlText w:val="●"/>
      <w:lvlJc w:val="left"/>
      <w:pPr>
        <w:ind w:left="6480" w:hanging="360"/>
      </w:pPr>
    </w:lvl>
  </w:abstractNum>
  <w:num w:numId="1" w16cid:durableId="1892225624">
    <w:abstractNumId w:val="1"/>
    <w:lvlOverride w:ilvl="0">
      <w:startOverride w:val="1"/>
    </w:lvlOverride>
  </w:num>
  <w:num w:numId="2" w16cid:durableId="681129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E96"/>
    <w:rsid w:val="0027667D"/>
    <w:rsid w:val="004D089A"/>
    <w:rsid w:val="00A64E70"/>
    <w:rsid w:val="00C75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D7F75"/>
  <w15:docId w15:val="{A5157002-FD27-49E5-AFD9-BCC87160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20"/>
      <w:outlineLvl w:val="0"/>
    </w:pPr>
    <w:rPr>
      <w:b/>
      <w:bCs/>
      <w:color w:val="1F3864"/>
      <w:sz w:val="26"/>
      <w:szCs w:val="26"/>
    </w:rPr>
  </w:style>
  <w:style w:type="paragraph" w:styleId="Heading2">
    <w:name w:val="heading 2"/>
    <w:basedOn w:val="Normal"/>
    <w:next w:val="Normal"/>
    <w:uiPriority w:val="9"/>
    <w:semiHidden/>
    <w:unhideWhenUsed/>
    <w:qFormat/>
    <w:pPr>
      <w:spacing w:before="180" w:after="80"/>
      <w:outlineLvl w:val="1"/>
    </w:pPr>
    <w:rPr>
      <w:b/>
      <w:bCs/>
      <w:color w:val="2E5597"/>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60"/>
    </w:pPr>
    <w:rPr>
      <w:b/>
      <w:bCs/>
      <w:color w:val="1F3864"/>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1110</Words>
  <Characters>6327</Characters>
  <Application>Microsoft Office Word</Application>
  <DocSecurity>0</DocSecurity>
  <Lines>52</Lines>
  <Paragraphs>14</Paragraphs>
  <ScaleCrop>false</ScaleCrop>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and methods outline (condensed)</dc:title>
  <dc:creator>FORE448 group</dc:creator>
  <cp:lastModifiedBy>Steven Cooper</cp:lastModifiedBy>
  <cp:revision>2</cp:revision>
  <dcterms:created xsi:type="dcterms:W3CDTF">2026-09-29T04:20:00Z</dcterms:created>
  <dcterms:modified xsi:type="dcterms:W3CDTF">2026-09-29T04:28:00Z</dcterms:modified>
</cp:coreProperties>
</file>