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Methods outline: plantation canopy loss in the Esk catchment after Cyclone Gabrielle</w:t>
      </w:r>
    </w:p>
    <w:p>
      <w:pPr>
        <w:spacing w:after="120"/>
      </w:pPr>
      <w:r>
        <w:t xml:space="preserve">FORE448 group project (V3 pipeline). Brief for the report writer, prepared 29 Sep 2026 from the scripts, the provenance files and the methods log.</w:t>
      </w:r>
    </w:p>
    <w:p>
      <w:pPr>
        <w:spacing w:after="120"/>
      </w:pPr>
      <w:r>
        <w:rPr>
          <w:b/>
          <w:bCs/>
        </w:rPr>
        <w:t xml:space="preserve">How to use this.</w:t>
      </w:r>
      <w:r>
        <w:t xml:space="preserve"> Each numbered section maps to a methods subsection. The bullets are facts to write up as prose. Every number comes from a file in provenance/; the file is named under each section so it can be checked. The final numbers are in provenance/s17_final_estimate.json. Section 15 lists items the writer needs to decide or check before submitting.</w:t>
      </w:r>
    </w:p>
    <w:p>
      <w:pPr>
        <w:pStyle w:val="Heading1"/>
      </w:pPr>
      <w:r>
        <w:t xml:space="preserve">1. Study area, question and overall design</w:t>
      </w:r>
    </w:p>
    <w:p>
      <w:pPr>
        <w:pStyle w:val="ListParagraph"/>
        <w:numPr>
          <w:ilvl w:val="0"/>
          <w:numId w:val="2"/>
        </w:numPr>
        <w:spacing w:after="60"/>
      </w:pPr>
      <w:r>
        <w:rPr>
          <w:b/>
          <w:bCs/>
        </w:rPr>
        <w:t xml:space="preserve">Study area:</w:t>
      </w:r>
      <w:r>
        <w:t xml:space="preserve"> Esk catchment, Hawke's Bay, 268 km² north of Napier. Steep hill country. The plantation estate (section 4) is 9,525 ha, about 36% of the catchment; its median slope is 18°, and 28% of it is steeper than 25°.</w:t>
      </w:r>
    </w:p>
    <w:p>
      <w:pPr>
        <w:pStyle w:val="ListParagraph"/>
        <w:numPr>
          <w:ilvl w:val="0"/>
          <w:numId w:val="2"/>
        </w:numPr>
        <w:spacing w:after="60"/>
      </w:pPr>
      <w:r>
        <w:rPr>
          <w:b/>
          <w:bCs/>
        </w:rPr>
        <w:t xml:space="preserve">Event:</w:t>
      </w:r>
      <w:r>
        <w:t xml:space="preserve"> Cyclone Gabrielle, landfall 13–14 February 2023.</w:t>
      </w:r>
    </w:p>
    <w:p>
      <w:pPr>
        <w:pStyle w:val="ListParagraph"/>
        <w:numPr>
          <w:ilvl w:val="0"/>
          <w:numId w:val="2"/>
        </w:numPr>
        <w:spacing w:after="60"/>
      </w:pPr>
      <w:r>
        <w:rPr>
          <w:b/>
          <w:bCs/>
        </w:rPr>
        <w:t xml:space="preserve">Target quantity:</w:t>
      </w:r>
      <w:r>
        <w:t xml:space="preserve"> the area (ha) of plantation canopy standing just before 13 Feb 2023 that was removed, flattened or buried by 20–21 Feb 2023. Reported for mature stands, young stands and recent cutover, and in total.</w:t>
      </w:r>
    </w:p>
    <w:p>
      <w:pPr>
        <w:pStyle w:val="ListParagraph"/>
        <w:numPr>
          <w:ilvl w:val="0"/>
          <w:numId w:val="2"/>
        </w:numPr>
        <w:spacing w:after="60"/>
      </w:pPr>
      <w:r>
        <w:rPr>
          <w:b/>
          <w:bCs/>
        </w:rPr>
        <w:t xml:space="preserve">Second question:</w:t>
      </w:r>
      <w:r>
        <w:t xml:space="preserve"> was loss concentrated on steep slopes and near streams?</w:t>
      </w:r>
    </w:p>
    <w:p>
      <w:pPr>
        <w:pStyle w:val="ListParagraph"/>
        <w:numPr>
          <w:ilvl w:val="0"/>
          <w:numId w:val="2"/>
        </w:numPr>
        <w:spacing w:after="60"/>
      </w:pPr>
      <w:r>
        <w:rPr>
          <w:b/>
          <w:bCs/>
        </w:rPr>
        <w:t xml:space="preserve">Design logic (key framing for the paper):</w:t>
      </w:r>
      <w:r>
        <w:t xml:space="preserve"> a wall-to-wall Sentinel-2 map shows </w:t>
      </w:r>
      <w:r>
        <w:rPr>
          <w:b/>
          <w:bCs/>
        </w:rPr>
        <w:t xml:space="preserve">where</w:t>
      </w:r>
      <w:r>
        <w:t xml:space="preserve"> loss occurred. A blind, stratified random sample interpreted on high-resolution imagery corrects </w:t>
      </w:r>
      <w:r>
        <w:rPr>
          <w:b/>
          <w:bCs/>
        </w:rPr>
        <w:t xml:space="preserve">how much</w:t>
      </w:r>
      <w:r>
        <w:t xml:space="preserve"> (design-based estimation; Olofsson et al., 2014). The map threshold was set without any reference labels, so the map is calibrated by the sample, not trained on it, and the sample stays an independent check.</w:t>
      </w:r>
    </w:p>
    <w:p>
      <w:pPr>
        <w:pStyle w:val="ListParagraph"/>
        <w:numPr>
          <w:ilvl w:val="0"/>
          <w:numId w:val="2"/>
        </w:numPr>
        <w:spacing w:after="60"/>
      </w:pPr>
      <w:r>
        <w:rPr>
          <w:b/>
          <w:bCs/>
        </w:rPr>
        <w:t xml:space="preserve">Deliberate scope limits:</w:t>
      </w:r>
      <w:r>
        <w:t xml:space="preserve"> no field data, no InSAR, no deep learning, and no biomass or carbon estimates (NDVI saturates in closed radiata canopy, and there is no pre-event biomass layer).</w:t>
      </w:r>
    </w:p>
    <w:p>
      <w:pPr>
        <w:pStyle w:val="ListParagraph"/>
        <w:numPr>
          <w:ilvl w:val="0"/>
          <w:numId w:val="2"/>
        </w:numPr>
        <w:spacing w:after="60"/>
      </w:pPr>
      <w:r>
        <w:rPr>
          <w:b/>
          <w:bCs/>
        </w:rPr>
        <w:t xml:space="preserve">Coordinate system:</w:t>
      </w:r>
      <w:r>
        <w:t xml:space="preserve"> NZTM2000 (EPSG:2193) throughout.</w:t>
      </w:r>
    </w:p>
    <w:p>
      <w:pPr>
        <w:pStyle w:val="Heading1"/>
      </w:pPr>
      <w:r>
        <w:t xml:space="preserve">2. Data</w:t>
      </w:r>
    </w:p>
    <w:p>
      <w:pPr>
        <w:spacing w:after="120"/>
      </w:pPr>
      <w:r>
        <w:t xml:space="preserve">All data are open or publicly accessible. Suggested Table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24"/>
        <w:gridCol w:w="2554"/>
        <w:gridCol w:w="1192"/>
        <w:gridCol w:w="2556"/>
      </w:tblGrid>
      <w:tr>
        <w:trPr>
          <w:tblHeader/>
        </w:trPr>
        <w:tc>
          <w:tcPr>
            <w:tcW w:type="dxa" w:w="2724"/>
            <w:tcBorders>
              <w:top w:val="single" w:color="BFBFBF" w:sz="4"/>
              <w:left w:val="single" w:color="BFBFBF" w:sz="4"/>
              <w:bottom w:val="single" w:color="BFBFBF" w:sz="4"/>
              <w:right w:val="single" w:color="BFBFBF" w:sz="4"/>
            </w:tcBorders>
            <w:shd w:fill="DCE6F0" w:val="clear"/>
            <w:tcMar>
              <w:top w:type="dxa" w:w="60"/>
              <w:left w:type="dxa" w:w="100"/>
              <w:bottom w:type="dxa" w:w="60"/>
              <w:right w:type="dxa" w:w="100"/>
            </w:tcMar>
          </w:tcPr>
          <w:p>
            <w:r>
              <w:rPr>
                <w:b/>
                <w:bCs/>
                <w:sz w:val="18"/>
                <w:szCs w:val="18"/>
              </w:rPr>
              <w:t xml:space="preserve">Dataset</w:t>
            </w:r>
          </w:p>
        </w:tc>
        <w:tc>
          <w:tcPr>
            <w:tcW w:type="dxa" w:w="2554"/>
            <w:tcBorders>
              <w:top w:val="single" w:color="BFBFBF" w:sz="4"/>
              <w:left w:val="single" w:color="BFBFBF" w:sz="4"/>
              <w:bottom w:val="single" w:color="BFBFBF" w:sz="4"/>
              <w:right w:val="single" w:color="BFBFBF" w:sz="4"/>
            </w:tcBorders>
            <w:shd w:fill="DCE6F0" w:val="clear"/>
            <w:tcMar>
              <w:top w:type="dxa" w:w="60"/>
              <w:left w:type="dxa" w:w="100"/>
              <w:bottom w:type="dxa" w:w="60"/>
              <w:right w:type="dxa" w:w="100"/>
            </w:tcMar>
          </w:tcPr>
          <w:p>
            <w:r>
              <w:rPr>
                <w:b/>
                <w:bCs/>
                <w:sz w:val="18"/>
                <w:szCs w:val="18"/>
              </w:rPr>
              <w:t xml:space="preserve">Date(s)</w:t>
            </w:r>
          </w:p>
        </w:tc>
        <w:tc>
          <w:tcPr>
            <w:tcW w:type="dxa" w:w="1192"/>
            <w:tcBorders>
              <w:top w:val="single" w:color="BFBFBF" w:sz="4"/>
              <w:left w:val="single" w:color="BFBFBF" w:sz="4"/>
              <w:bottom w:val="single" w:color="BFBFBF" w:sz="4"/>
              <w:right w:val="single" w:color="BFBFBF" w:sz="4"/>
            </w:tcBorders>
            <w:shd w:fill="DCE6F0" w:val="clear"/>
            <w:tcMar>
              <w:top w:type="dxa" w:w="60"/>
              <w:left w:type="dxa" w:w="100"/>
              <w:bottom w:type="dxa" w:w="60"/>
              <w:right w:type="dxa" w:w="100"/>
            </w:tcMar>
          </w:tcPr>
          <w:p>
            <w:r>
              <w:rPr>
                <w:b/>
                <w:bCs/>
                <w:sz w:val="18"/>
                <w:szCs w:val="18"/>
              </w:rPr>
              <w:t xml:space="preserve">Resolution</w:t>
            </w:r>
          </w:p>
        </w:tc>
        <w:tc>
          <w:tcPr>
            <w:tcW w:type="dxa" w:w="2556"/>
            <w:tcBorders>
              <w:top w:val="single" w:color="BFBFBF" w:sz="4"/>
              <w:left w:val="single" w:color="BFBFBF" w:sz="4"/>
              <w:bottom w:val="single" w:color="BFBFBF" w:sz="4"/>
              <w:right w:val="single" w:color="BFBFBF" w:sz="4"/>
            </w:tcBorders>
            <w:shd w:fill="DCE6F0" w:val="clear"/>
            <w:tcMar>
              <w:top w:type="dxa" w:w="60"/>
              <w:left w:type="dxa" w:w="100"/>
              <w:bottom w:type="dxa" w:w="60"/>
              <w:right w:type="dxa" w:w="100"/>
            </w:tcMar>
          </w:tcPr>
          <w:p>
            <w:r>
              <w:rPr>
                <w:b/>
                <w:bCs/>
                <w:sz w:val="18"/>
                <w:szCs w:val="18"/>
              </w:rPr>
              <w:t xml:space="preserve">Role</w:t>
            </w:r>
          </w:p>
        </w:tc>
      </w:tr>
      <w:tr>
        <w:tc>
          <w:tcPr>
            <w:tcW w:type="dxa" w:w="272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Sentinel-2 L2A (B02, B03, B04, B08, SCL), tile 60HVB</w:t>
            </w:r>
          </w:p>
        </w:tc>
        <w:tc>
          <w:tcPr>
            <w:tcW w:type="dxa" w:w="255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Pre: 16, 21, 26 Jan, 5, 10 Feb 2023; post: 20 Feb 2023 (NZ dates)</w:t>
            </w:r>
          </w:p>
        </w:tc>
        <w:tc>
          <w:tcPr>
            <w:tcW w:type="dxa" w:w="119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 m</w:t>
            </w:r>
          </w:p>
        </w:tc>
        <w:tc>
          <w:tcPr>
            <w:tcW w:type="dxa" w:w="255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NDVI, stand condition, loss map</w:t>
            </w:r>
          </w:p>
        </w:tc>
      </w:tr>
      <w:tr>
        <w:tc>
          <w:tcPr>
            <w:tcW w:type="dxa" w:w="272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Sentinel-2 NBR (B8/B12)</w:t>
            </w:r>
          </w:p>
        </w:tc>
        <w:tc>
          <w:tcPr>
            <w:tcW w:type="dxa" w:w="255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Same scenes</w:t>
            </w:r>
          </w:p>
        </w:tc>
        <w:tc>
          <w:tcPr>
            <w:tcW w:type="dxa" w:w="119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 m</w:t>
            </w:r>
          </w:p>
        </w:tc>
        <w:tc>
          <w:tcPr>
            <w:tcW w:type="dxa" w:w="255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Canopy test for mature stands</w:t>
            </w:r>
          </w:p>
        </w:tc>
      </w:tr>
      <w:tr>
        <w:tc>
          <w:tcPr>
            <w:tcW w:type="dxa" w:w="272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Hawke's Bay LiDAR DEM (LINZ/HBRC)</w:t>
            </w:r>
          </w:p>
        </w:tc>
        <w:tc>
          <w:tcPr>
            <w:tcW w:type="dxa" w:w="255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Nov 2020 – Jan 2021</w:t>
            </w:r>
          </w:p>
        </w:tc>
        <w:tc>
          <w:tcPr>
            <w:tcW w:type="dxa" w:w="119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 m → 10 m</w:t>
            </w:r>
          </w:p>
        </w:tc>
        <w:tc>
          <w:tcPr>
            <w:tcW w:type="dxa" w:w="255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Slope, stream network, distance to stream</w:t>
            </w:r>
          </w:p>
        </w:tc>
      </w:tr>
      <w:tr>
        <w:tc>
          <w:tcPr>
            <w:tcW w:type="dxa" w:w="272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AlphaEarth Foundations annual embeddings (Brown et al., 2025)</w:t>
            </w:r>
          </w:p>
        </w:tc>
        <w:tc>
          <w:tcPr>
            <w:tcW w:type="dxa" w:w="255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2022 (2021, 2023, 2024 for comparison)</w:t>
            </w:r>
          </w:p>
        </w:tc>
        <w:tc>
          <w:tcPr>
            <w:tcW w:type="dxa" w:w="119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 m, 64 bands</w:t>
            </w:r>
          </w:p>
        </w:tc>
        <w:tc>
          <w:tcPr>
            <w:tcW w:type="dxa" w:w="255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Pre-event land-use classifier; change indicator</w:t>
            </w:r>
          </w:p>
        </w:tc>
      </w:tr>
      <w:tr>
        <w:tc>
          <w:tcPr>
            <w:tcW w:type="dxa" w:w="272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Forestry Catchment Planner (FCP) plantation polygons</w:t>
            </w:r>
          </w:p>
        </w:tc>
        <w:tc>
          <w:tcPr>
            <w:tcW w:type="dxa" w:w="255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Planting years to 2024</w:t>
            </w:r>
          </w:p>
        </w:tc>
        <w:tc>
          <w:tcPr>
            <w:tcW w:type="dxa" w:w="119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Vector</w:t>
            </w:r>
          </w:p>
        </w:tc>
        <w:tc>
          <w:tcPr>
            <w:tcW w:type="dxa" w:w="255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Plantation estate; training labels</w:t>
            </w:r>
          </w:p>
        </w:tc>
      </w:tr>
      <w:tr>
        <w:tc>
          <w:tcPr>
            <w:tcW w:type="dxa" w:w="272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LCDB v6.0 (Law, 2025; Manaaki Whenua)</w:t>
            </w:r>
          </w:p>
        </w:tc>
        <w:tc>
          <w:tcPr>
            <w:tcW w:type="dxa" w:w="255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2018/19; 2023/24</w:t>
            </w:r>
          </w:p>
        </w:tc>
        <w:tc>
          <w:tcPr>
            <w:tcW w:type="dxa" w:w="119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Vector (1 ha MMU)</w:t>
            </w:r>
          </w:p>
        </w:tc>
        <w:tc>
          <w:tcPr>
            <w:tcW w:type="dxa" w:w="255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Independent check of the estate; post-event context</w:t>
            </w:r>
          </w:p>
        </w:tc>
      </w:tr>
      <w:tr>
        <w:tc>
          <w:tcPr>
            <w:tcW w:type="dxa" w:w="272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Hansen Global Forest Change v1.13 (Hansen et al., 2013)</w:t>
            </w:r>
          </w:p>
        </w:tc>
        <w:tc>
          <w:tcPr>
            <w:tcW w:type="dxa" w:w="255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Loss year 2001–2024; tree cover 2000</w:t>
            </w:r>
          </w:p>
        </w:tc>
        <w:tc>
          <w:tcPr>
            <w:tcW w:type="dxa" w:w="119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30 m</w:t>
            </w:r>
          </w:p>
        </w:tc>
        <w:tc>
          <w:tcPr>
            <w:tcW w:type="dxa" w:w="255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Harvest dating (condition, recent-harvest rule); training labels</w:t>
            </w:r>
          </w:p>
        </w:tc>
      </w:tr>
      <w:tr>
        <w:tc>
          <w:tcPr>
            <w:tcW w:type="dxa" w:w="272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HBRC Biodiversity priority sites</w:t>
            </w:r>
          </w:p>
        </w:tc>
        <w:tc>
          <w:tcPr>
            <w:tcW w:type="dxa" w:w="255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Current layer</w:t>
            </w:r>
          </w:p>
        </w:tc>
        <w:tc>
          <w:tcPr>
            <w:tcW w:type="dxa" w:w="119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Vector</w:t>
            </w:r>
          </w:p>
        </w:tc>
        <w:tc>
          <w:tcPr>
            <w:tcW w:type="dxa" w:w="255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Native-forest training labels</w:t>
            </w:r>
          </w:p>
        </w:tc>
      </w:tr>
      <w:tr>
        <w:tc>
          <w:tcPr>
            <w:tcW w:type="dxa" w:w="272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HBRC aerial imagery (LINZ)</w:t>
            </w:r>
          </w:p>
        </w:tc>
        <w:tc>
          <w:tcPr>
            <w:tcW w:type="dxa" w:w="255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2021–22</w:t>
            </w:r>
          </w:p>
        </w:tc>
        <w:tc>
          <w:tcPr>
            <w:tcW w:type="dxa" w:w="119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0.3 m</w:t>
            </w:r>
          </w:p>
        </w:tc>
        <w:tc>
          <w:tcPr>
            <w:tcW w:type="dxa" w:w="255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Reference: before</w:t>
            </w:r>
          </w:p>
        </w:tc>
      </w:tr>
      <w:tr>
        <w:tc>
          <w:tcPr>
            <w:tcW w:type="dxa" w:w="272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Chang Guang Jilin-1 satellite imagery (LINZ)</w:t>
            </w:r>
          </w:p>
        </w:tc>
        <w:tc>
          <w:tcPr>
            <w:tcW w:type="dxa" w:w="255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21 Feb 2023</w:t>
            </w:r>
          </w:p>
        </w:tc>
        <w:tc>
          <w:tcPr>
            <w:tcW w:type="dxa" w:w="119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0.5 m</w:t>
            </w:r>
          </w:p>
        </w:tc>
        <w:tc>
          <w:tcPr>
            <w:tcW w:type="dxa" w:w="255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Reference: after</w:t>
            </w:r>
          </w:p>
        </w:tc>
      </w:tr>
      <w:tr>
        <w:tc>
          <w:tcPr>
            <w:tcW w:type="dxa" w:w="272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Cyclone Gabrielle aerial imagery (LINZ)</w:t>
            </w:r>
          </w:p>
        </w:tc>
        <w:tc>
          <w:tcPr>
            <w:tcW w:type="dxa" w:w="255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17–20 Feb 2023 (covers ~12% of plantation)</w:t>
            </w:r>
          </w:p>
        </w:tc>
        <w:tc>
          <w:tcPr>
            <w:tcW w:type="dxa" w:w="119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0.1 m</w:t>
            </w:r>
          </w:p>
        </w:tc>
        <w:tc>
          <w:tcPr>
            <w:tcW w:type="dxa" w:w="255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Reference: after, where available</w:t>
            </w:r>
          </w:p>
        </w:tc>
      </w:tr>
      <w:tr>
        <w:tc>
          <w:tcPr>
            <w:tcW w:type="dxa" w:w="272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Sentinel-1 GRD, VV and VH</w:t>
            </w:r>
          </w:p>
        </w:tc>
        <w:tc>
          <w:tcPr>
            <w:tcW w:type="dxa" w:w="255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16 Dec 2022 – 13 Feb 2023; 14 Feb – 17 Mar 2023</w:t>
            </w:r>
          </w:p>
        </w:tc>
        <w:tc>
          <w:tcPr>
            <w:tcW w:type="dxa" w:w="119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 m</w:t>
            </w:r>
          </w:p>
        </w:tc>
        <w:tc>
          <w:tcPr>
            <w:tcW w:type="dxa" w:w="255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Sensor comparison only</w:t>
            </w:r>
          </w:p>
        </w:tc>
      </w:tr>
    </w:tbl>
    <w:p>
      <w:pPr>
        <w:spacing w:after="120"/>
      </w:pPr>
    </w:p>
    <w:p>
      <w:pPr>
        <w:pStyle w:val="ListParagraph"/>
        <w:numPr>
          <w:ilvl w:val="0"/>
          <w:numId w:val="2"/>
        </w:numPr>
        <w:spacing w:after="60"/>
      </w:pPr>
      <w:r>
        <w:t xml:space="preserve">Cloud screening used the Sentinel-2 scene classification (SCL) per scene plus a Cloud Score+ valid-pixel mask carried over from an earlier project phase. 78 ha of the estate had no valid optical data and are excluded.</w:t>
      </w:r>
    </w:p>
    <w:p>
      <w:pPr>
        <w:pStyle w:val="ListParagraph"/>
        <w:numPr>
          <w:ilvl w:val="0"/>
          <w:numId w:val="2"/>
        </w:numPr>
        <w:spacing w:after="60"/>
      </w:pPr>
      <w:r>
        <w:t xml:space="preserve">Considered and not used: the LINZ '10 m Cyclone Gabrielle satellite imagery' is the same 20 Feb Sentinel-2 acquisition, but as 8-bit display RGB with no NIR, so it cannot give NDVI.</w:t>
      </w:r>
    </w:p>
    <w:p>
      <w:pPr>
        <w:pStyle w:val="ListParagraph"/>
        <w:numPr>
          <w:ilvl w:val="0"/>
          <w:numId w:val="2"/>
        </w:numPr>
        <w:spacing w:after="60"/>
      </w:pPr>
      <w:r>
        <w:t xml:space="preserve">External comparators (section 12): McMillan et al. (2023), Manaaki Whenua rapid landslide assessment for MfE; Notti (2026), PANDA Sentinel-2 shallow-landslide inventory (Zenodo 22661524).</w:t>
      </w:r>
    </w:p>
    <w:p>
      <w:pPr>
        <w:spacing w:after="160"/>
      </w:pPr>
      <w:r>
        <w:rPr>
          <w:i/>
          <w:iCs/>
          <w:color w:val="666666"/>
          <w:sz w:val="18"/>
          <w:szCs w:val="18"/>
        </w:rPr>
        <w:t xml:space="preserve">Source: provenance/s2_10m_sources.json, s12_sources.json, s14_lcdb6_clip.json; README data table.</w:t>
      </w:r>
    </w:p>
    <w:p>
      <w:pPr>
        <w:pStyle w:val="Heading1"/>
      </w:pPr>
      <w:r>
        <w:t xml:space="preserve">3. Pre-processing and analysis grid</w:t>
      </w:r>
    </w:p>
    <w:p>
      <w:pPr>
        <w:pStyle w:val="ListParagraph"/>
        <w:numPr>
          <w:ilvl w:val="0"/>
          <w:numId w:val="2"/>
        </w:numPr>
        <w:spacing w:after="60"/>
      </w:pPr>
      <w:r>
        <w:rPr>
          <w:b/>
          <w:bCs/>
        </w:rPr>
        <w:t xml:space="preserve">Common grid:</w:t>
      </w:r>
      <w:r>
        <w:t xml:space="preserve"> every layer is resampled to one 10 m NZTM grid of 1,676 × 3,166 pixels (origin 1,917,880 E, 5,661,380 N), clipped to the catchment.</w:t>
      </w:r>
    </w:p>
    <w:p>
      <w:pPr>
        <w:pStyle w:val="ListParagraph"/>
        <w:numPr>
          <w:ilvl w:val="0"/>
          <w:numId w:val="2"/>
        </w:numPr>
        <w:spacing w:after="60"/>
      </w:pPr>
      <w:r>
        <w:rPr>
          <w:b/>
          <w:bCs/>
        </w:rPr>
        <w:t xml:space="preserve">Sentinel-2:</w:t>
      </w:r>
      <w:r>
        <w:t xml:space="preserve"> Level-2A surface reflectance from Earth Search (AWS open data). Pixels in SCL classes 0, 1, 3, 8, 9, 10 and 11 (no data, saturated, cloud shadow, cloud, cirrus, snow) are excluded. Reflectance = DN × 0.0001; Earth Search already applies the BOA offset. NDVI is computed per scene. Pre-event NDVI is the per-pixel median of the five January–February scenes, and post-event NDVI comes from the single 20 Feb scene, six days after landfall. ΔNDVI = post − pre.</w:t>
      </w:r>
    </w:p>
    <w:p>
      <w:pPr>
        <w:pStyle w:val="ListParagraph"/>
        <w:numPr>
          <w:ilvl w:val="0"/>
          <w:numId w:val="2"/>
        </w:numPr>
        <w:spacing w:after="60"/>
      </w:pPr>
      <w:r>
        <w:rPr>
          <w:b/>
          <w:bCs/>
        </w:rPr>
        <w:t xml:space="preserve">Why 10 m:</w:t>
      </w:r>
      <w:r>
        <w:t xml:space="preserve"> the NDVI bands are native 10 m. A first run at 20 m inflated loss through mixed pixels at slip edges (623 ha at 20 m against 543 ha at 10 m on the same frame).</w:t>
      </w:r>
    </w:p>
    <w:p>
      <w:pPr>
        <w:pStyle w:val="ListParagraph"/>
        <w:numPr>
          <w:ilvl w:val="0"/>
          <w:numId w:val="2"/>
        </w:numPr>
        <w:spacing w:after="60"/>
      </w:pPr>
      <w:r>
        <w:rPr>
          <w:b/>
          <w:bCs/>
        </w:rPr>
        <w:t xml:space="preserve">Terrain:</w:t>
      </w:r>
      <w:r>
        <w:t xml:space="preserve"> the 1 m DEM is averaged to 10 m, and slope is computed from it. Streams: priority-flood depression filling (Barnes et al., 2014), D8 flow accumulation, and streams where the contributing area is at least 5 ha. Distance to stream is the Euclidean distance to the nearest stream cell.</w:t>
      </w:r>
    </w:p>
    <w:p>
      <w:pPr>
        <w:spacing w:after="160"/>
      </w:pPr>
      <w:r>
        <w:rPr>
          <w:i/>
          <w:iCs/>
          <w:color w:val="666666"/>
          <w:sz w:val="18"/>
          <w:szCs w:val="18"/>
        </w:rPr>
        <w:t xml:space="preserve">Source: scripts/s01a_s2_10m.py, s01b_stack_10m.py, s03_streams.py.</w:t>
      </w:r>
    </w:p>
    <w:p>
      <w:pPr>
        <w:pStyle w:val="Heading1"/>
      </w:pPr>
      <w:r>
        <w:t xml:space="preserve">4. Defining the pre-event plantation estate</w:t>
      </w:r>
    </w:p>
    <w:p>
      <w:pPr>
        <w:spacing w:after="120"/>
      </w:pPr>
      <w:r>
        <w:t xml:space="preserve">Why this step exists: LCDB 'exotic forest' (class 71) alone misses harvested and replanted land. In 2018/19, LCDB mapped about 1,270 ha of the Esk as 'Forest – Harvested' (class 64), and by the storm most of it was young stands, the most slip-prone age class. The estate was therefore rebuilt from several sources.</w:t>
      </w:r>
    </w:p>
    <w:p>
      <w:pPr>
        <w:pStyle w:val="Heading2"/>
      </w:pPr>
      <w:r>
        <w:t xml:space="preserve">4.1 Land-use classifier (AlphaEarth 2022)</w:t>
      </w:r>
    </w:p>
    <w:p>
      <w:pPr>
        <w:pStyle w:val="ListParagraph"/>
        <w:numPr>
          <w:ilvl w:val="0"/>
          <w:numId w:val="2"/>
        </w:numPr>
        <w:spacing w:after="60"/>
      </w:pPr>
      <w:r>
        <w:t xml:space="preserve">Random forest (150 trees) on the 64-band 2022 AlphaEarth annual embedding, run in Google Earth Engine. Three classes: plantation, native forest/scrub, other (pasture/open).</w:t>
      </w:r>
    </w:p>
    <w:p>
      <w:pPr>
        <w:pStyle w:val="ListParagraph"/>
        <w:numPr>
          <w:ilvl w:val="0"/>
          <w:numId w:val="2"/>
        </w:numPr>
        <w:spacing w:after="60"/>
      </w:pPr>
      <w:r>
        <w:t xml:space="preserve">Training labels drawn automatically from existing layers, 1,500 points per class:</w:t>
      </w:r>
    </w:p>
    <w:p>
      <w:pPr>
        <w:pStyle w:val="ListParagraph"/>
        <w:numPr>
          <w:ilvl w:val="1"/>
          <w:numId w:val="2"/>
        </w:numPr>
        <w:spacing w:after="60"/>
      </w:pPr>
      <w:r>
        <w:t xml:space="preserve">Plantation: FCP polygon interiors (≥ 30 m from the edge), half planted in or before 2012 and half in 2013–2021, so young stands are represented.</w:t>
      </w:r>
    </w:p>
    <w:p>
      <w:pPr>
        <w:pStyle w:val="ListParagraph"/>
        <w:numPr>
          <w:ilvl w:val="1"/>
          <w:numId w:val="2"/>
        </w:numPr>
        <w:spacing w:after="60"/>
      </w:pPr>
      <w:r>
        <w:t xml:space="preserve">Native: HBRC biodiversity-site interiors (≥ 20 m), plus persistent tree cover (Hansen 2000 tree cover ≥ 60%, no loss 2001–22) at least 100 m from FCP and LCDB plantation.</w:t>
      </w:r>
    </w:p>
    <w:p>
      <w:pPr>
        <w:pStyle w:val="ListParagraph"/>
        <w:numPr>
          <w:ilvl w:val="1"/>
          <w:numId w:val="2"/>
        </w:numPr>
        <w:spacing w:after="60"/>
      </w:pPr>
      <w:r>
        <w:t xml:space="preserve">Other: at least 100 m from all of the above, with Hansen 2000 tree cover &lt; 10%.</w:t>
      </w:r>
    </w:p>
    <w:p>
      <w:pPr>
        <w:pStyle w:val="ListParagraph"/>
        <w:numPr>
          <w:ilvl w:val="0"/>
          <w:numId w:val="2"/>
        </w:numPr>
        <w:spacing w:after="60"/>
      </w:pPr>
      <w:r>
        <w:t xml:space="preserve">30% of the points held out: overall accuracy 90%, kappa 0.85. The labels are automatic and noisy, so report this as internal consistency, not as independent map accuracy.</w:t>
      </w:r>
    </w:p>
    <w:p>
      <w:pPr>
        <w:pStyle w:val="ListParagraph"/>
        <w:numPr>
          <w:ilvl w:val="0"/>
          <w:numId w:val="2"/>
        </w:numPr>
        <w:spacing w:after="60"/>
      </w:pPr>
      <w:r>
        <w:t xml:space="preserve">Post-processing: 5 × 5 majority filter and a 0.5 ha minimum patch.</w:t>
      </w:r>
    </w:p>
    <w:p>
      <w:pPr>
        <w:pStyle w:val="Heading2"/>
      </w:pPr>
      <w:r>
        <w:t xml:space="preserve">4.2 Estate rule</w:t>
      </w:r>
    </w:p>
    <w:p>
      <w:pPr>
        <w:pStyle w:val="ListParagraph"/>
        <w:numPr>
          <w:ilvl w:val="0"/>
          <w:numId w:val="2"/>
        </w:numPr>
        <w:spacing w:after="60"/>
      </w:pPr>
      <w:r>
        <w:rPr>
          <w:b/>
          <w:bCs/>
        </w:rPr>
        <w:t xml:space="preserve">Estate = classifier plantation ∪ (FCP polygons where the classifier does not say native).</w:t>
      </w:r>
      <w:r>
        <w:t xml:space="preserve"> The FCP term keeps 2022 cutover that is still in plantation land use.</w:t>
      </w:r>
    </w:p>
    <w:p>
      <w:pPr>
        <w:pStyle w:val="ListParagraph"/>
        <w:numPr>
          <w:ilvl w:val="0"/>
          <w:numId w:val="2"/>
        </w:numPr>
        <w:spacing w:after="60"/>
      </w:pPr>
      <w:r>
        <w:t xml:space="preserve">Result: </w:t>
      </w:r>
      <w:r>
        <w:rPr>
          <w:b/>
          <w:bCs/>
        </w:rPr>
        <w:t xml:space="preserve">9,525 ha</w:t>
      </w:r>
      <w:r>
        <w:t xml:space="preserve">. Number of sources agreeing (classifier, FCP, LCDB v6 2018/19 exotic + harvested): all three 8,261 ha, two 424 ha, one 840 ha.</w:t>
      </w:r>
    </w:p>
    <w:p>
      <w:pPr>
        <w:pStyle w:val="Heading2"/>
      </w:pPr>
      <w:r>
        <w:t xml:space="preserve">4.3 Independent check against LCDB v6.0</w:t>
      </w:r>
    </w:p>
    <w:p>
      <w:pPr>
        <w:pStyle w:val="ListParagraph"/>
        <w:numPr>
          <w:ilvl w:val="0"/>
          <w:numId w:val="2"/>
        </w:numPr>
        <w:spacing w:after="60"/>
      </w:pPr>
      <w:r>
        <w:t xml:space="preserve">Compared with LCDB v6.0 2018/19 exotic forest plus harvested forest (classes 71 and 64, 9,216 ha): kept 8,674 ha, added 851 ha, removed 542 ha.</w:t>
      </w:r>
    </w:p>
    <w:p>
      <w:pPr>
        <w:pStyle w:val="ListParagraph"/>
        <w:numPr>
          <w:ilvl w:val="0"/>
          <w:numId w:val="2"/>
        </w:numPr>
        <w:spacing w:after="60"/>
      </w:pPr>
      <w:r>
        <w:t xml:space="preserve">Most of the 851 ha 'added' is a classifier edge effect. 836 ha comes from the classifier alone, and 589 ha lies within 20 m of a forest edge: 10 m edge pixels mix canopy with roads, verges and riparian scrub, and the majority filter absorbs narrow gaps. Only about 160 ha (blocks of 5 ha or more on 2018/19 grassland) looks like new planting.</w:t>
      </w:r>
    </w:p>
    <w:p>
      <w:pPr>
        <w:pStyle w:val="ListParagraph"/>
        <w:numPr>
          <w:ilvl w:val="0"/>
          <w:numId w:val="2"/>
        </w:numPr>
        <w:spacing w:after="60"/>
      </w:pPr>
      <w:r>
        <w:rPr>
          <w:b/>
          <w:bCs/>
        </w:rPr>
        <w:t xml:space="preserve">Consequence to state:</w:t>
      </w:r>
      <w:r>
        <w:t xml:space="preserve"> treat 9,525 ha as an upper bound on plantation land. The headline loss estimate is unaffected, because interpreters judged every sample dot as plantation or not (section 7).</w:t>
      </w:r>
    </w:p>
    <w:p>
      <w:pPr>
        <w:pStyle w:val="ListParagraph"/>
        <w:numPr>
          <w:ilvl w:val="0"/>
          <w:numId w:val="2"/>
        </w:numPr>
        <w:spacing w:after="60"/>
      </w:pPr>
      <w:r>
        <w:t xml:space="preserve">LCDB v6 2023/24 is used as context only. It records slip damage, salvage and routine harvest together as 'Forest – Harvested' about a year after the event, so it cannot isolate cyclone loss.</w:t>
      </w:r>
    </w:p>
    <w:p>
      <w:pPr>
        <w:spacing w:after="160"/>
      </w:pPr>
      <w:r>
        <w:rPr>
          <w:i/>
          <w:iCs/>
          <w:color w:val="666666"/>
          <w:sz w:val="18"/>
          <w:szCs w:val="18"/>
        </w:rPr>
        <w:t xml:space="preserve">Source: scripts/s08_gee_landuse.py, s14_lcdb6_clip.py, s09_estate_condition.py, s15_baseline_lcdb6.py; provenance/s08_landuse_2022.json, s09_estate_condition.json, baseline_change_areas.json; methods log §6g, §6k.</w:t>
      </w:r>
    </w:p>
    <w:p>
      <w:pPr>
        <w:pStyle w:val="Heading1"/>
      </w:pPr>
      <w:r>
        <w:t xml:space="preserve">5. Stand condition at the event</w:t>
      </w:r>
    </w:p>
    <w:p>
      <w:pPr>
        <w:spacing w:after="120"/>
      </w:pPr>
      <w:r>
        <w:t xml:space="preserve">Each estate pixel with valid optical data is assigned one condition from the pre-event (January–February 2023) Sentinel-2 composite and the Hansen loss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63"/>
        <w:gridCol w:w="5372"/>
        <w:gridCol w:w="1291"/>
      </w:tblGrid>
      <w:tr>
        <w:trPr>
          <w:tblHeader/>
        </w:trPr>
        <w:tc>
          <w:tcPr>
            <w:tcW w:type="dxa" w:w="2363"/>
            <w:tcBorders>
              <w:top w:val="single" w:color="BFBFBF" w:sz="4"/>
              <w:left w:val="single" w:color="BFBFBF" w:sz="4"/>
              <w:bottom w:val="single" w:color="BFBFBF" w:sz="4"/>
              <w:right w:val="single" w:color="BFBFBF" w:sz="4"/>
            </w:tcBorders>
            <w:shd w:fill="DCE6F0" w:val="clear"/>
            <w:tcMar>
              <w:top w:type="dxa" w:w="60"/>
              <w:left w:type="dxa" w:w="100"/>
              <w:bottom w:type="dxa" w:w="60"/>
              <w:right w:type="dxa" w:w="100"/>
            </w:tcMar>
          </w:tcPr>
          <w:p>
            <w:r>
              <w:rPr>
                <w:b/>
                <w:bCs/>
                <w:sz w:val="18"/>
                <w:szCs w:val="18"/>
              </w:rPr>
              <w:t xml:space="preserve">Condition</w:t>
            </w:r>
          </w:p>
        </w:tc>
        <w:tc>
          <w:tcPr>
            <w:tcW w:type="dxa" w:w="5372"/>
            <w:tcBorders>
              <w:top w:val="single" w:color="BFBFBF" w:sz="4"/>
              <w:left w:val="single" w:color="BFBFBF" w:sz="4"/>
              <w:bottom w:val="single" w:color="BFBFBF" w:sz="4"/>
              <w:right w:val="single" w:color="BFBFBF" w:sz="4"/>
            </w:tcBorders>
            <w:shd w:fill="DCE6F0" w:val="clear"/>
            <w:tcMar>
              <w:top w:type="dxa" w:w="60"/>
              <w:left w:type="dxa" w:w="100"/>
              <w:bottom w:type="dxa" w:w="60"/>
              <w:right w:type="dxa" w:w="100"/>
            </w:tcMar>
          </w:tcPr>
          <w:p>
            <w:r>
              <w:rPr>
                <w:b/>
                <w:bCs/>
                <w:sz w:val="18"/>
                <w:szCs w:val="18"/>
              </w:rPr>
              <w:t xml:space="preserve">Rule</w:t>
            </w:r>
          </w:p>
        </w:tc>
        <w:tc>
          <w:tcPr>
            <w:tcW w:type="dxa" w:w="1291"/>
            <w:tcBorders>
              <w:top w:val="single" w:color="BFBFBF" w:sz="4"/>
              <w:left w:val="single" w:color="BFBFBF" w:sz="4"/>
              <w:bottom w:val="single" w:color="BFBFBF" w:sz="4"/>
              <w:right w:val="single" w:color="BFBFBF" w:sz="4"/>
            </w:tcBorders>
            <w:shd w:fill="DCE6F0" w:val="clear"/>
            <w:tcMar>
              <w:top w:type="dxa" w:w="60"/>
              <w:left w:type="dxa" w:w="100"/>
              <w:bottom w:type="dxa" w:w="60"/>
              <w:right w:type="dxa" w:w="100"/>
            </w:tcMar>
          </w:tcPr>
          <w:p>
            <w:r>
              <w:rPr>
                <w:b/>
                <w:bCs/>
                <w:sz w:val="18"/>
                <w:szCs w:val="18"/>
              </w:rPr>
              <w:t xml:space="preserve">Area</w:t>
            </w:r>
          </w:p>
        </w:tc>
      </w:tr>
      <w:tr>
        <w:tc>
          <w:tcPr>
            <w:tcW w:type="dxa" w:w="236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Mature</w:t>
            </w:r>
          </w:p>
        </w:tc>
        <w:tc>
          <w:tcPr>
            <w:tcW w:type="dxa" w:w="53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Pre NDVI ≥ 0.69 and pre NBR ≥ 0.53 (Otsu thresholds) and no Hansen loss 2017–2022</w:t>
            </w:r>
          </w:p>
        </w:tc>
        <w:tc>
          <w:tcPr>
            <w:tcW w:type="dxa" w:w="129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5,550 ha</w:t>
            </w:r>
          </w:p>
        </w:tc>
      </w:tr>
      <w:tr>
        <w:tc>
          <w:tcPr>
            <w:tcW w:type="dxa" w:w="236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Young (young stands and recent cutover with regrowth)</w:t>
            </w:r>
          </w:p>
        </w:tc>
        <w:tc>
          <w:tcPr>
            <w:tcW w:type="dxa" w:w="53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 mature and pre NDVI ≥ 0.50</w:t>
            </w:r>
          </w:p>
        </w:tc>
        <w:tc>
          <w:tcPr>
            <w:tcW w:type="dxa" w:w="129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3,185 ha</w:t>
            </w:r>
          </w:p>
        </w:tc>
      </w:tr>
      <w:tr>
        <w:tc>
          <w:tcPr>
            <w:tcW w:type="dxa" w:w="236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Open</w:t>
            </w:r>
          </w:p>
        </w:tc>
        <w:tc>
          <w:tcPr>
            <w:tcW w:type="dxa" w:w="53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Pre NDVI &lt; 0.50 (bare cutover); no canopy to lose, excluded from loss</w:t>
            </w:r>
          </w:p>
        </w:tc>
        <w:tc>
          <w:tcPr>
            <w:tcW w:type="dxa" w:w="129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712 ha</w:t>
            </w:r>
          </w:p>
        </w:tc>
      </w:tr>
      <w:tr>
        <w:tc>
          <w:tcPr>
            <w:tcW w:type="dxa" w:w="236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optical data</w:t>
            </w:r>
          </w:p>
        </w:tc>
        <w:tc>
          <w:tcPr>
            <w:tcW w:type="dxa" w:w="53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Cloud-masked</w:t>
            </w:r>
          </w:p>
        </w:tc>
        <w:tc>
          <w:tcPr>
            <w:tcW w:type="dxa" w:w="129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78 ha</w:t>
            </w:r>
          </w:p>
        </w:tc>
      </w:tr>
    </w:tbl>
    <w:p>
      <w:pPr>
        <w:spacing w:after="120"/>
      </w:pPr>
    </w:p>
    <w:p>
      <w:pPr>
        <w:pStyle w:val="ListParagraph"/>
        <w:numPr>
          <w:ilvl w:val="0"/>
          <w:numId w:val="2"/>
        </w:numPr>
        <w:spacing w:after="60"/>
      </w:pPr>
      <w:r>
        <w:t xml:space="preserve">Native forest outside the estate (classifier 'native') is mapped the same way, but for context only; it is not part of the estimate.</w:t>
      </w:r>
    </w:p>
    <w:p>
      <w:pPr>
        <w:spacing w:after="160"/>
      </w:pPr>
      <w:r>
        <w:rPr>
          <w:i/>
          <w:iCs/>
          <w:color w:val="666666"/>
          <w:sz w:val="18"/>
          <w:szCs w:val="18"/>
        </w:rPr>
        <w:t xml:space="preserve">Source: scripts/s09_estate_condition.py; provenance/s09_estate_condition.json, s02_summary_10m.json.</w:t>
      </w:r>
    </w:p>
    <w:p>
      <w:pPr>
        <w:pStyle w:val="Heading1"/>
      </w:pPr>
      <w:r>
        <w:t xml:space="preserve">6. Canopy-loss map</w:t>
      </w:r>
    </w:p>
    <w:p>
      <w:pPr>
        <w:pStyle w:val="ListParagraph"/>
        <w:numPr>
          <w:ilvl w:val="0"/>
          <w:numId w:val="2"/>
        </w:numPr>
        <w:spacing w:after="60"/>
      </w:pPr>
      <w:r>
        <w:rPr>
          <w:b/>
          <w:bCs/>
        </w:rPr>
        <w:t xml:space="preserve">Rule:</w:t>
      </w:r>
      <w:r>
        <w:t xml:space="preserve"> a pixel is lost if ΔNDVI &lt; median − 3 × MAD, where the MAD is scaled by 1.4826 to match a standard deviation and both are computed within each condition class of the estate. Minimum patch 4 pixels (0.04 ha), 8-connected.</w:t>
      </w:r>
    </w:p>
    <w:p>
      <w:pPr>
        <w:pStyle w:val="ListParagraph"/>
        <w:numPr>
          <w:ilvl w:val="0"/>
          <w:numId w:val="2"/>
        </w:numPr>
        <w:spacing w:after="60"/>
      </w:pPr>
      <w:r>
        <w:t xml:space="preserve">Thresholds: mature −0.070 (kept from the first run so the frames stay comparable), young −0.219 (young stands are spectrally noisier, so this cut is conservative), native −0.149.</w:t>
      </w:r>
    </w:p>
    <w:p>
      <w:pPr>
        <w:pStyle w:val="ListParagraph"/>
        <w:numPr>
          <w:ilvl w:val="0"/>
          <w:numId w:val="2"/>
        </w:numPr>
        <w:spacing w:after="60"/>
      </w:pPr>
      <w:r>
        <w:rPr>
          <w:b/>
          <w:bCs/>
        </w:rPr>
        <w:t xml:space="preserve">No reference labels</w:t>
      </w:r>
      <w:r>
        <w:t xml:space="preserve"> were used to set any threshold, which keeps the sample independent of the map.</w:t>
      </w:r>
    </w:p>
    <w:p>
      <w:pPr>
        <w:pStyle w:val="ListParagraph"/>
        <w:numPr>
          <w:ilvl w:val="0"/>
          <w:numId w:val="2"/>
        </w:numPr>
        <w:spacing w:after="60"/>
      </w:pPr>
      <w:r>
        <w:t xml:space="preserve">Timing: the post image is six days after landfall, so post-storm salvage or harvest cannot be mistaken for cyclone damage. Stands felled before the storm already have low NDVI in the pre composite (condition 'open').</w:t>
      </w:r>
    </w:p>
    <w:p>
      <w:pPr>
        <w:pStyle w:val="ListParagraph"/>
        <w:numPr>
          <w:ilvl w:val="0"/>
          <w:numId w:val="2"/>
        </w:numPr>
        <w:spacing w:after="60"/>
      </w:pPr>
      <w:r>
        <w:t xml:space="preserve">Checks: 99.4% of loss pixels also show an NBR decline. At 2× and 4× MAD the first-run loss was 730 and 423 ha (543 ha at 3× MAD).</w:t>
      </w:r>
    </w:p>
    <w:p>
      <w:pPr>
        <w:pStyle w:val="ListParagraph"/>
        <w:numPr>
          <w:ilvl w:val="0"/>
          <w:numId w:val="2"/>
        </w:numPr>
        <w:spacing w:after="60"/>
      </w:pPr>
      <w:r>
        <w:rPr>
          <w:b/>
          <w:bCs/>
        </w:rPr>
        <w:t xml:space="preserve">Mapped loss:</w:t>
      </w:r>
      <w:r>
        <w:t xml:space="preserve"> mature 532 ha + young 291 ha = </w:t>
      </w:r>
      <w:r>
        <w:rPr>
          <w:b/>
          <w:bCs/>
        </w:rPr>
        <w:t xml:space="preserve">823 ha</w:t>
      </w:r>
      <w:r>
        <w:t xml:space="preserve"> of plantation; native forest about 646 ha (context only, not checked).</w:t>
      </w:r>
    </w:p>
    <w:p>
      <w:pPr>
        <w:pStyle w:val="ListParagraph"/>
        <w:numPr>
          <w:ilvl w:val="0"/>
          <w:numId w:val="2"/>
        </w:numPr>
        <w:spacing w:after="60"/>
      </w:pPr>
      <w:r>
        <w:t xml:space="preserve">Output classes (data/v3b_classes_10m.tif): 1 open; 2 young, no loss; 3 young, loss; 4 mature, no loss; 5 mature, loss; 6 native, no loss; 7 native, loss.</w:t>
      </w:r>
    </w:p>
    <w:p>
      <w:pPr>
        <w:spacing w:after="160"/>
      </w:pPr>
      <w:r>
        <w:rPr>
          <w:i/>
          <w:iCs/>
          <w:color w:val="666666"/>
          <w:sz w:val="18"/>
          <w:szCs w:val="18"/>
        </w:rPr>
        <w:t xml:space="preserve">Source: scripts/s09_estate_condition.py; provenance/s09_estate_condition.json.</w:t>
      </w:r>
    </w:p>
    <w:p>
      <w:pPr>
        <w:pStyle w:val="Heading1"/>
      </w:pPr>
      <w:r>
        <w:t xml:space="preserve">7. Reference data: 30 m block sample</w:t>
      </w:r>
    </w:p>
    <w:p>
      <w:pPr>
        <w:spacing w:after="120"/>
      </w:pPr>
      <w:r>
        <w:t xml:space="preserve">The sampling protocol was written and approved before any sampling or labelling (docs/PROTOCOL_30m_block_reassessment.md). Later changes are recorded as dated amendments with reasons, which is worth saying in the paper.</w:t>
      </w:r>
    </w:p>
    <w:p>
      <w:pPr>
        <w:pStyle w:val="Heading2"/>
      </w:pPr>
      <w:r>
        <w:t xml:space="preserve">7.1 Sampling unit and why</w:t>
      </w:r>
    </w:p>
    <w:p>
      <w:pPr>
        <w:pStyle w:val="ListParagraph"/>
        <w:numPr>
          <w:ilvl w:val="0"/>
          <w:numId w:val="2"/>
        </w:numPr>
        <w:spacing w:after="60"/>
      </w:pPr>
      <w:r>
        <w:t xml:space="preserve">The unit is a 30 × 30 m block (3 × 3 map pixels, 0.09 ha) aligned to the analysis grid.</w:t>
      </w:r>
    </w:p>
    <w:p>
      <w:pPr>
        <w:pStyle w:val="ListParagraph"/>
        <w:numPr>
          <w:ilvl w:val="0"/>
          <w:numId w:val="2"/>
        </w:numPr>
        <w:spacing w:after="60"/>
      </w:pPr>
      <w:r>
        <w:t xml:space="preserve">Why not single pixels: the positional mismatch between Sentinel-2 and the 0.3–0.5 m reference imagery is about one pixel (section 7.4). With single-pixel labels, a one-pixel offset turns real damage into apparent omission or commission error. Blocks with dot counts make the reference far less sensitive to that offset.</w:t>
      </w:r>
    </w:p>
    <w:p>
      <w:pPr>
        <w:pStyle w:val="ListParagraph"/>
        <w:numPr>
          <w:ilvl w:val="0"/>
          <w:numId w:val="2"/>
        </w:numPr>
        <w:spacing w:after="60"/>
      </w:pPr>
      <w:r>
        <w:t xml:space="preserve">Population: every block containing at least one estate canopy pixel (classes 2–5), </w:t>
      </w:r>
      <w:r>
        <w:rPr>
          <w:b/>
          <w:bCs/>
        </w:rPr>
        <w:t xml:space="preserve">108,312 blocks</w:t>
      </w:r>
      <w:r>
        <w:t xml:space="preserve"> (9,748 ha of blocks). Each block's map value is its number of mapped-loss pixels out of 9. Its condition is its majority condition: mature if mature pixels ≥ young pixels, otherwise young.</w:t>
      </w:r>
    </w:p>
    <w:p>
      <w:pPr>
        <w:pStyle w:val="Heading2"/>
      </w:pPr>
      <w:r>
        <w:t xml:space="preserve">7.2 Stratification and allocation</w:t>
      </w:r>
    </w:p>
    <w:p>
      <w:pPr>
        <w:spacing w:after="120"/>
      </w:pPr>
      <w:r>
        <w:t xml:space="preserve">Six strata, condition × map loss (none = 0/9, some = 1–4/9, most = 5–9/9). Simple random sampling within strata (seed 20230301); no blocks reused from earlier samples.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2005"/>
        <w:gridCol w:w="2005"/>
        <w:gridCol w:w="2008"/>
      </w:tblGrid>
      <w:tr>
        <w:trPr>
          <w:tblHeader/>
        </w:trPr>
        <w:tc>
          <w:tcPr>
            <w:tcW w:type="dxa" w:w="3008"/>
            <w:tcBorders>
              <w:top w:val="single" w:color="BFBFBF" w:sz="4"/>
              <w:left w:val="single" w:color="BFBFBF" w:sz="4"/>
              <w:bottom w:val="single" w:color="BFBFBF" w:sz="4"/>
              <w:right w:val="single" w:color="BFBFBF" w:sz="4"/>
            </w:tcBorders>
            <w:shd w:fill="DCE6F0" w:val="clear"/>
            <w:tcMar>
              <w:top w:type="dxa" w:w="60"/>
              <w:left w:type="dxa" w:w="100"/>
              <w:bottom w:type="dxa" w:w="60"/>
              <w:right w:type="dxa" w:w="100"/>
            </w:tcMar>
          </w:tcPr>
          <w:p>
            <w:r>
              <w:rPr>
                <w:b/>
                <w:bCs/>
                <w:sz w:val="18"/>
                <w:szCs w:val="18"/>
              </w:rPr>
              <w:t xml:space="preserve">Stratum</w:t>
            </w:r>
          </w:p>
        </w:tc>
        <w:tc>
          <w:tcPr>
            <w:tcW w:type="dxa" w:w="2005"/>
            <w:tcBorders>
              <w:top w:val="single" w:color="BFBFBF" w:sz="4"/>
              <w:left w:val="single" w:color="BFBFBF" w:sz="4"/>
              <w:bottom w:val="single" w:color="BFBFBF" w:sz="4"/>
              <w:right w:val="single" w:color="BFBFBF" w:sz="4"/>
            </w:tcBorders>
            <w:shd w:fill="DCE6F0" w:val="clear"/>
            <w:tcMar>
              <w:top w:type="dxa" w:w="60"/>
              <w:left w:type="dxa" w:w="100"/>
              <w:bottom w:type="dxa" w:w="60"/>
              <w:right w:type="dxa" w:w="100"/>
            </w:tcMar>
          </w:tcPr>
          <w:p>
            <w:r>
              <w:rPr>
                <w:b/>
                <w:bCs/>
                <w:sz w:val="18"/>
                <w:szCs w:val="18"/>
              </w:rPr>
              <w:t xml:space="preserve">Blocks (N_h)</w:t>
            </w:r>
          </w:p>
        </w:tc>
        <w:tc>
          <w:tcPr>
            <w:tcW w:type="dxa" w:w="2005"/>
            <w:tcBorders>
              <w:top w:val="single" w:color="BFBFBF" w:sz="4"/>
              <w:left w:val="single" w:color="BFBFBF" w:sz="4"/>
              <w:bottom w:val="single" w:color="BFBFBF" w:sz="4"/>
              <w:right w:val="single" w:color="BFBFBF" w:sz="4"/>
            </w:tcBorders>
            <w:shd w:fill="DCE6F0" w:val="clear"/>
            <w:tcMar>
              <w:top w:type="dxa" w:w="60"/>
              <w:left w:type="dxa" w:w="100"/>
              <w:bottom w:type="dxa" w:w="60"/>
              <w:right w:type="dxa" w:w="100"/>
            </w:tcMar>
          </w:tcPr>
          <w:p>
            <w:r>
              <w:rPr>
                <w:b/>
                <w:bCs/>
                <w:sz w:val="18"/>
                <w:szCs w:val="18"/>
              </w:rPr>
              <w:t xml:space="preserve">Area (ha)</w:t>
            </w:r>
          </w:p>
        </w:tc>
        <w:tc>
          <w:tcPr>
            <w:tcW w:type="dxa" w:w="2008"/>
            <w:tcBorders>
              <w:top w:val="single" w:color="BFBFBF" w:sz="4"/>
              <w:left w:val="single" w:color="BFBFBF" w:sz="4"/>
              <w:bottom w:val="single" w:color="BFBFBF" w:sz="4"/>
              <w:right w:val="single" w:color="BFBFBF" w:sz="4"/>
            </w:tcBorders>
            <w:shd w:fill="DCE6F0" w:val="clear"/>
            <w:tcMar>
              <w:top w:type="dxa" w:w="60"/>
              <w:left w:type="dxa" w:w="100"/>
              <w:bottom w:type="dxa" w:w="60"/>
              <w:right w:type="dxa" w:w="100"/>
            </w:tcMar>
          </w:tcPr>
          <w:p>
            <w:r>
              <w:rPr>
                <w:b/>
                <w:bCs/>
                <w:sz w:val="18"/>
                <w:szCs w:val="18"/>
              </w:rPr>
              <w:t xml:space="preserve">Sample (n_h)</w:t>
            </w:r>
          </w:p>
        </w:tc>
      </w:tr>
      <w:t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Mature, none</w:t>
            </w:r>
          </w:p>
        </w:tc>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54,237</w:t>
            </w:r>
          </w:p>
        </w:tc>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4,881</w:t>
            </w:r>
          </w:p>
        </w:tc>
        <w:tc>
          <w:tcPr>
            <w:tcW w:type="dxa" w:w="20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35</w:t>
            </w:r>
          </w:p>
        </w:tc>
      </w:tr>
      <w:t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Mature, some</w:t>
            </w:r>
          </w:p>
        </w:tc>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6,654</w:t>
            </w:r>
          </w:p>
        </w:tc>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599</w:t>
            </w:r>
          </w:p>
        </w:tc>
        <w:tc>
          <w:tcPr>
            <w:tcW w:type="dxa" w:w="20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w:t>
            </w:r>
          </w:p>
        </w:tc>
      </w:tr>
      <w:t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Mature, most</w:t>
            </w:r>
          </w:p>
        </w:tc>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5,269</w:t>
            </w:r>
          </w:p>
        </w:tc>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474</w:t>
            </w:r>
          </w:p>
        </w:tc>
        <w:tc>
          <w:tcPr>
            <w:tcW w:type="dxa" w:w="20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w:t>
            </w:r>
          </w:p>
        </w:tc>
      </w:tr>
      <w:t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Young, none</w:t>
            </w:r>
          </w:p>
        </w:tc>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35,218</w:t>
            </w:r>
          </w:p>
        </w:tc>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3,170</w:t>
            </w:r>
          </w:p>
        </w:tc>
        <w:tc>
          <w:tcPr>
            <w:tcW w:type="dxa" w:w="20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35</w:t>
            </w:r>
          </w:p>
        </w:tc>
      </w:tr>
      <w:t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Young, some</w:t>
            </w:r>
          </w:p>
        </w:tc>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4,030</w:t>
            </w:r>
          </w:p>
        </w:tc>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363</w:t>
            </w:r>
          </w:p>
        </w:tc>
        <w:tc>
          <w:tcPr>
            <w:tcW w:type="dxa" w:w="20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w:t>
            </w:r>
          </w:p>
        </w:tc>
      </w:tr>
      <w:t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Young, most</w:t>
            </w:r>
          </w:p>
        </w:tc>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2,904</w:t>
            </w:r>
          </w:p>
        </w:tc>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261</w:t>
            </w:r>
          </w:p>
        </w:tc>
        <w:tc>
          <w:tcPr>
            <w:tcW w:type="dxa" w:w="20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w:t>
            </w:r>
          </w:p>
        </w:tc>
      </w:tr>
      <w:t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Total</w:t>
            </w:r>
          </w:p>
        </w:tc>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108,312</w:t>
            </w:r>
          </w:p>
        </w:tc>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9,748</w:t>
            </w:r>
          </w:p>
        </w:tc>
        <w:tc>
          <w:tcPr>
            <w:tcW w:type="dxa" w:w="2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130</w:t>
            </w:r>
          </w:p>
        </w:tc>
      </w:tr>
    </w:tbl>
    <w:p>
      <w:pPr>
        <w:spacing w:after="120"/>
      </w:pPr>
    </w:p>
    <w:p>
      <w:pPr>
        <w:pStyle w:val="ListParagraph"/>
        <w:numPr>
          <w:ilvl w:val="0"/>
          <w:numId w:val="2"/>
        </w:numPr>
        <w:spacing w:after="60"/>
      </w:pPr>
      <w:r>
        <w:t xml:space="preserve">The large 'none' strata get the most samples because omission there drives the variance.</w:t>
      </w:r>
    </w:p>
    <w:p>
      <w:pPr>
        <w:pStyle w:val="Heading2"/>
      </w:pPr>
      <w:r>
        <w:t xml:space="preserve">7.3 Reference chips</w:t>
      </w:r>
    </w:p>
    <w:p>
      <w:pPr>
        <w:pStyle w:val="ListParagraph"/>
        <w:numPr>
          <w:ilvl w:val="0"/>
          <w:numId w:val="2"/>
        </w:numPr>
        <w:spacing w:after="60"/>
      </w:pPr>
      <w:r>
        <w:t xml:space="preserve">Panels: aerial 2021–22 (0.3 m) | Sentinel-2 pre composite | satellite 21 Feb 2023 (0.5 m) | aerial 17–20 Feb 2023 (0.1 m, where covered). Two rows: 150 m context and 45 m close-up, with the block outlined.</w:t>
      </w:r>
    </w:p>
    <w:p>
      <w:pPr>
        <w:pStyle w:val="ListParagraph"/>
        <w:numPr>
          <w:ilvl w:val="0"/>
          <w:numId w:val="2"/>
        </w:numPr>
        <w:spacing w:after="60"/>
      </w:pPr>
      <w:r>
        <w:t xml:space="preserve">16 numbered dots per block (4 × 4 at 7.5 m spacing). Dots outside the estate are greyed out automatically and not counted.</w:t>
      </w:r>
    </w:p>
    <w:p>
      <w:pPr>
        <w:pStyle w:val="ListParagraph"/>
        <w:numPr>
          <w:ilvl w:val="0"/>
          <w:numId w:val="2"/>
        </w:numPr>
        <w:spacing w:after="60"/>
      </w:pPr>
      <w:r>
        <w:rPr>
          <w:b/>
          <w:bCs/>
        </w:rPr>
        <w:t xml:space="preserve">Blind:</w:t>
      </w:r>
      <w:r>
        <w:t xml:space="preserve"> no map, strata, NDVI or earlier labels shown; block IDs shuffled.</w:t>
      </w:r>
    </w:p>
    <w:p>
      <w:pPr>
        <w:pStyle w:val="Heading2"/>
      </w:pPr>
      <w:r>
        <w:t xml:space="preserve">7.4 Positional offset (measured, not assumed)</w:t>
      </w:r>
    </w:p>
    <w:p>
      <w:pPr>
        <w:pStyle w:val="ListParagraph"/>
        <w:numPr>
          <w:ilvl w:val="0"/>
          <w:numId w:val="2"/>
        </w:numPr>
        <w:spacing w:after="60"/>
      </w:pPr>
      <w:r>
        <w:t xml:space="preserve">Before labelling, the 0.5 m post-event image (aggregated to 10 m, brightness z-scored) was registered to the Sentinel-2 post image by phase correlation (scikit-image, 20× upsampling) in a 290 m window around each block, with shifts limited to ±30 m.</w:t>
      </w:r>
    </w:p>
    <w:p>
      <w:pPr>
        <w:pStyle w:val="ListParagraph"/>
        <w:numPr>
          <w:ilvl w:val="0"/>
          <w:numId w:val="2"/>
        </w:numPr>
        <w:spacing w:after="60"/>
      </w:pPr>
      <w:r>
        <w:t xml:space="preserve">Result: 129 of 130 blocks measured; median offset </w:t>
      </w:r>
      <w:r>
        <w:rPr>
          <w:b/>
          <w:bCs/>
        </w:rPr>
        <w:t xml:space="preserve">8.7 m</w:t>
      </w:r>
      <w:r>
        <w:t xml:space="preserve">, 90th percentile 22 m; mean vector 4.0 m east and 8.0 m south; direction spread 35.5°. Offsets were spatially coherent (pairs within 500 m differed by a median 5.0 m) and unrelated to slope (r = −0.03).</w:t>
      </w:r>
    </w:p>
    <w:p>
      <w:pPr>
        <w:pStyle w:val="ListParagraph"/>
        <w:numPr>
          <w:ilvl w:val="0"/>
          <w:numId w:val="2"/>
        </w:numPr>
        <w:spacing w:after="60"/>
      </w:pPr>
      <w:r>
        <w:t xml:space="preserve">Decision rule fixed in advance: if the median offset is &gt; 5 m and the direction spread &lt; 45°, draw the block at its offset position on the 0.5 m panels. The rule applied. Because single-block offsets were noisy, the chips use the median offset of the measured sample blocks within 2.5 km (median 7.5 m, 90th percentile 12.9 m), and the after panels are centred on the shifted block (protocol amendment 4).</w:t>
      </w:r>
    </w:p>
    <w:p>
      <w:pPr>
        <w:pStyle w:val="Heading2"/>
      </w:pPr>
      <w:r>
        <w:t xml:space="preserve">7.5 Labelling rules</w:t>
      </w:r>
    </w:p>
    <w:p>
      <w:pPr>
        <w:pStyle w:val="ListParagraph"/>
        <w:numPr>
          <w:ilvl w:val="0"/>
          <w:numId w:val="2"/>
        </w:numPr>
        <w:spacing w:after="60"/>
      </w:pPr>
      <w:r>
        <w:t xml:space="preserve">Each estate dot is labelled </w:t>
      </w:r>
      <w:r>
        <w:rPr>
          <w:b/>
          <w:bCs/>
        </w:rPr>
        <w:t xml:space="preserve">canopy</w:t>
      </w:r>
      <w:r>
        <w:t xml:space="preserve"> (plantation tree canopy just before the storm), </w:t>
      </w:r>
      <w:r>
        <w:rPr>
          <w:b/>
          <w:bCs/>
        </w:rPr>
        <w:t xml:space="preserve">lost</w:t>
      </w:r>
      <w:r>
        <w:t xml:space="preserve"> (that canopy removed, flattened or buried by debris or silt afterwards) or </w:t>
      </w:r>
      <w:r>
        <w:rPr>
          <w:b/>
          <w:bCs/>
        </w:rPr>
        <w:t xml:space="preserve">no canopy</w:t>
      </w:r>
      <w:r>
        <w:t xml:space="preserve">. Block counts: canopy_before = canopy + lost dots; lost_after = lost dots.</w:t>
      </w:r>
    </w:p>
    <w:p>
      <w:pPr>
        <w:pStyle w:val="ListParagraph"/>
        <w:numPr>
          <w:ilvl w:val="0"/>
          <w:numId w:val="2"/>
        </w:numPr>
        <w:spacing w:after="60"/>
      </w:pPr>
      <w:r>
        <w:t xml:space="preserve">Young-stand rule (amendment 6): a dot counts as canopy if it falls inside a planted stand, young or mature, including grass or weeds between young rows. No canopy: bare cutover or slash with no planted trees, landings, roads, pasture, and native vegetation (kānuka/mānuka, gully bush, willow/poplar), including native vegetation inside the estate boundary. Young trees still standing after the storm stay 'canopy'.</w:t>
      </w:r>
    </w:p>
    <w:p>
      <w:pPr>
        <w:pStyle w:val="ListParagraph"/>
        <w:numPr>
          <w:ilvl w:val="0"/>
          <w:numId w:val="2"/>
        </w:numPr>
        <w:spacing w:after="60"/>
      </w:pPr>
      <w:r>
        <w:t xml:space="preserve">A whole block can be marked 'Can't tell'. Optional fields: cause (slip / debris / silt / windthrow / other), confidence, offset seen, notes.</w:t>
      </w:r>
    </w:p>
    <w:p>
      <w:pPr>
        <w:pStyle w:val="ListParagraph"/>
        <w:numPr>
          <w:ilvl w:val="0"/>
          <w:numId w:val="2"/>
        </w:numPr>
        <w:spacing w:after="60"/>
      </w:pPr>
      <w:r>
        <w:t xml:space="preserve">Data entry used a local click-to-label web page; the counts were computed from the dots and imported into the workbook (amendment 3). Dot-level labels are kept.</w:t>
      </w:r>
    </w:p>
    <w:p>
      <w:pPr>
        <w:pStyle w:val="Heading2"/>
      </w:pPr>
      <w:r>
        <w:t xml:space="preserve">7.6 Pre-filled suggestions and the anchoring check</w:t>
      </w:r>
    </w:p>
    <w:p>
      <w:pPr>
        <w:pStyle w:val="ListParagraph"/>
        <w:numPr>
          <w:ilvl w:val="0"/>
          <w:numId w:val="2"/>
        </w:numPr>
        <w:spacing w:after="60"/>
      </w:pPr>
      <w:r>
        <w:t xml:space="preserve">To save time, a fixed colour rule applied to the reference imagery only (no map, strata or NDVI) pre-filled each dot's suggested label. The interpreter checked and corrected every dot. The rule agreed with the final labels on 60% of the 1,504 suggested dots.</w:t>
      </w:r>
    </w:p>
    <w:p>
      <w:pPr>
        <w:pStyle w:val="ListParagraph"/>
        <w:numPr>
          <w:ilvl w:val="0"/>
          <w:numId w:val="2"/>
        </w:numPr>
        <w:spacing w:after="60"/>
      </w:pPr>
      <w:r>
        <w:t xml:space="preserve">Safeguards: suggestions were withheld on a random 25 of the remaining 127 blocks (seed 20230304), and interpreter 2 never saw any suggestions. Most lost dots in the high-weight young/none stratum were marked against the suggestion, so anchoring towards loss is not evident; interpreter 2 marked more loss than interpreter 1 on shared blocks.</w:t>
      </w:r>
    </w:p>
    <w:p>
      <w:pPr>
        <w:pStyle w:val="Heading2"/>
      </w:pPr>
      <w:r>
        <w:t xml:space="preserve">7.7 Interpreters and agreement</w:t>
      </w:r>
    </w:p>
    <w:p>
      <w:pPr>
        <w:pStyle w:val="ListParagraph"/>
        <w:numPr>
          <w:ilvl w:val="0"/>
          <w:numId w:val="2"/>
        </w:numPr>
        <w:spacing w:after="60"/>
      </w:pPr>
      <w:r>
        <w:t xml:space="preserve">Interpreter 1 (project author) labelled all 130 blocks: </w:t>
      </w:r>
      <w:r>
        <w:rPr>
          <w:b/>
          <w:bCs/>
        </w:rPr>
        <w:t xml:space="preserve">117 usable, 13 'Can't tell'</w:t>
      </w:r>
      <w:r>
        <w:t xml:space="preserve"> (mostly cutover where replanting was unclear).</w:t>
      </w:r>
    </w:p>
    <w:p>
      <w:pPr>
        <w:pStyle w:val="ListParagraph"/>
        <w:numPr>
          <w:ilvl w:val="0"/>
          <w:numId w:val="2"/>
        </w:numPr>
        <w:spacing w:after="60"/>
      </w:pPr>
      <w:r>
        <w:t xml:space="preserve">Interpreter 2 (a group member) independently labelled a random 30 blocks (seed 20230302) without suggestions. Of the 28 blocks usable by both: mean absolute difference in lost fraction 0.047 of a block; Cohen's kappa on 'any loss' 0.55 (24 of 30 agree). Disagreements were mostly harvest timing, plantation/native edges and offset.</w:t>
      </w:r>
    </w:p>
    <w:p>
      <w:pPr>
        <w:pStyle w:val="ListParagraph"/>
        <w:numPr>
          <w:ilvl w:val="0"/>
          <w:numId w:val="2"/>
        </w:numPr>
        <w:spacing w:after="60"/>
      </w:pPr>
      <w:r>
        <w:t xml:space="preserve">Consistency correction after labelling: three blocks noted as fresh cutover (B-006, B-016, B-056) had 1–2 dots marked canopy-then-lost; the author set them to no canopy to match the rule. The original export is kept.</w:t>
      </w:r>
    </w:p>
    <w:p>
      <w:pPr>
        <w:spacing w:after="160"/>
      </w:pPr>
      <w:r>
        <w:rPr>
          <w:i/>
          <w:iCs/>
          <w:color w:val="666666"/>
          <w:sz w:val="18"/>
          <w:szCs w:val="18"/>
        </w:rPr>
        <w:t xml:space="preserve">Source: scripts/s17_blocks_sample.py, s17b_block_chips.py, s17d–s17h; provenance/s17_blocks_sample.json, s17_block_checks.json; protocol amendments 1–7.</w:t>
      </w:r>
    </w:p>
    <w:p>
      <w:pPr>
        <w:pStyle w:val="Heading1"/>
      </w:pPr>
      <w:r>
        <w:t xml:space="preserve">8. Area estimation</w:t>
      </w:r>
    </w:p>
    <w:p>
      <w:pPr>
        <w:pStyle w:val="ListParagraph"/>
        <w:numPr>
          <w:ilvl w:val="0"/>
          <w:numId w:val="2"/>
        </w:numPr>
        <w:spacing w:after="60"/>
      </w:pPr>
      <w:r>
        <w:t xml:space="preserve">Per block: y_i = (lost dots / 16) × 0.09 ha, and canopy c_i = (canopy-before dots / 16) × 0.09 ha. Dots outside the estate or not on plantation canopy contribute zero.</w:t>
      </w:r>
    </w:p>
    <w:p>
      <w:pPr>
        <w:pStyle w:val="ListParagraph"/>
        <w:numPr>
          <w:ilvl w:val="0"/>
          <w:numId w:val="2"/>
        </w:numPr>
        <w:spacing w:after="60"/>
      </w:pPr>
      <w:r>
        <w:rPr>
          <w:b/>
          <w:bCs/>
        </w:rPr>
        <w:t xml:space="preserve">Stratified estimator</w:t>
      </w:r>
      <w:r>
        <w:t xml:space="preserve"> (Olofsson et al., 2014; Cochran): total loss = Σ_h N_h ȳ_h, with variance Σ_h N_h² s_h² / n_h and a 95% normal interval of ±1.96 SE. Mature and young totals use their own three strata; the overall total uses all six.</w:t>
      </w:r>
    </w:p>
    <w:p>
      <w:pPr>
        <w:pStyle w:val="ListParagraph"/>
        <w:numPr>
          <w:ilvl w:val="0"/>
          <w:numId w:val="2"/>
        </w:numPr>
        <w:spacing w:after="60"/>
      </w:pPr>
      <w:r>
        <w:rPr>
          <w:b/>
          <w:bCs/>
        </w:rPr>
        <w:t xml:space="preserve">Share of canopy lost</w:t>
      </w:r>
      <w:r>
        <w:t xml:space="preserve"> = estimated loss / estimated canopy (ratio of stratified totals). 95% CI by bootstrap: 2,000 resamples within strata, seed 20230305. A within-stratum bootstrap of the totals (seed 20230303) confirms the normal intervals.</w:t>
      </w:r>
    </w:p>
    <w:p>
      <w:pPr>
        <w:pStyle w:val="ListParagraph"/>
        <w:numPr>
          <w:ilvl w:val="0"/>
          <w:numId w:val="2"/>
        </w:numPr>
        <w:spacing w:after="60"/>
      </w:pPr>
      <w:r>
        <w:t xml:space="preserve">'Can't tell' blocks are dropped from their stratum, and N_h is unchanged. Keeping them with the dots as marked gives 696 ha (401–990).</w:t>
      </w:r>
    </w:p>
    <w:p>
      <w:pPr>
        <w:pStyle w:val="ListParagraph"/>
        <w:numPr>
          <w:ilvl w:val="0"/>
          <w:numId w:val="2"/>
        </w:numPr>
        <w:spacing w:after="60"/>
      </w:pPr>
      <w:r>
        <w:rPr>
          <w:b/>
          <w:bCs/>
        </w:rPr>
        <w:t xml:space="preserve">Recent-harvest rule (amendment 7, must be disclosed as post hoc):</w:t>
      </w:r>
      <w:r>
        <w:t xml:space="preserve"> the high-resolution 'before' image (2021–22) predates stands harvested during 2022. There they look like closed canopy, but by January 2023 they were cutover with regrowth, and slips through them were labelled 'lost'. Interpreter 2 raised this independently. Primary estimate: dots on pixels with Hansen loss year 2022 are treated as no canopy before. This rule was chosen after the results were seen, and Hansen's 30 m annual loss year has its own errors.</w:t>
      </w:r>
    </w:p>
    <w:p>
      <w:pPr>
        <w:spacing w:after="120"/>
      </w:pPr>
      <w:r>
        <w:t xml:space="preserve">Suggested Table 2, final estimate (primary: 2022 harvest excluded):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80"/>
        <w:gridCol w:w="1161"/>
        <w:gridCol w:w="1340"/>
        <w:gridCol w:w="1251"/>
        <w:gridCol w:w="1161"/>
        <w:gridCol w:w="1433"/>
      </w:tblGrid>
      <w:tr>
        <w:trPr>
          <w:tblHeader/>
        </w:trPr>
        <w:tc>
          <w:tcPr>
            <w:tcW w:type="dxa" w:w="2680"/>
            <w:tcBorders>
              <w:top w:val="single" w:color="BFBFBF" w:sz="4"/>
              <w:left w:val="single" w:color="BFBFBF" w:sz="4"/>
              <w:bottom w:val="single" w:color="BFBFBF" w:sz="4"/>
              <w:right w:val="single" w:color="BFBFBF" w:sz="4"/>
            </w:tcBorders>
            <w:shd w:fill="DCE6F0" w:val="clear"/>
            <w:tcMar>
              <w:top w:type="dxa" w:w="60"/>
              <w:left w:type="dxa" w:w="100"/>
              <w:bottom w:type="dxa" w:w="60"/>
              <w:right w:type="dxa" w:w="100"/>
            </w:tcMar>
          </w:tcPr>
          <w:p>
            <w:r>
              <w:rPr>
                <w:b/>
                <w:bCs/>
                <w:sz w:val="18"/>
                <w:szCs w:val="18"/>
              </w:rPr>
              <w:t xml:space="preserve"/>
            </w:r>
          </w:p>
        </w:tc>
        <w:tc>
          <w:tcPr>
            <w:tcW w:type="dxa" w:w="1161"/>
            <w:tcBorders>
              <w:top w:val="single" w:color="BFBFBF" w:sz="4"/>
              <w:left w:val="single" w:color="BFBFBF" w:sz="4"/>
              <w:bottom w:val="single" w:color="BFBFBF" w:sz="4"/>
              <w:right w:val="single" w:color="BFBFBF" w:sz="4"/>
            </w:tcBorders>
            <w:shd w:fill="DCE6F0" w:val="clear"/>
            <w:tcMar>
              <w:top w:type="dxa" w:w="60"/>
              <w:left w:type="dxa" w:w="100"/>
              <w:bottom w:type="dxa" w:w="60"/>
              <w:right w:type="dxa" w:w="100"/>
            </w:tcMar>
          </w:tcPr>
          <w:p>
            <w:r>
              <w:rPr>
                <w:b/>
                <w:bCs/>
                <w:sz w:val="18"/>
                <w:szCs w:val="18"/>
              </w:rPr>
              <w:t xml:space="preserve">Loss (ha)</w:t>
            </w:r>
          </w:p>
        </w:tc>
        <w:tc>
          <w:tcPr>
            <w:tcW w:type="dxa" w:w="1340"/>
            <w:tcBorders>
              <w:top w:val="single" w:color="BFBFBF" w:sz="4"/>
              <w:left w:val="single" w:color="BFBFBF" w:sz="4"/>
              <w:bottom w:val="single" w:color="BFBFBF" w:sz="4"/>
              <w:right w:val="single" w:color="BFBFBF" w:sz="4"/>
            </w:tcBorders>
            <w:shd w:fill="DCE6F0" w:val="clear"/>
            <w:tcMar>
              <w:top w:type="dxa" w:w="60"/>
              <w:left w:type="dxa" w:w="100"/>
              <w:bottom w:type="dxa" w:w="60"/>
              <w:right w:type="dxa" w:w="100"/>
            </w:tcMar>
          </w:tcPr>
          <w:p>
            <w:r>
              <w:rPr>
                <w:b/>
                <w:bCs/>
                <w:sz w:val="18"/>
                <w:szCs w:val="18"/>
              </w:rPr>
              <w:t xml:space="preserve">95% CI (ha)</w:t>
            </w:r>
          </w:p>
        </w:tc>
        <w:tc>
          <w:tcPr>
            <w:tcW w:type="dxa" w:w="1251"/>
            <w:tcBorders>
              <w:top w:val="single" w:color="BFBFBF" w:sz="4"/>
              <w:left w:val="single" w:color="BFBFBF" w:sz="4"/>
              <w:bottom w:val="single" w:color="BFBFBF" w:sz="4"/>
              <w:right w:val="single" w:color="BFBFBF" w:sz="4"/>
            </w:tcBorders>
            <w:shd w:fill="DCE6F0" w:val="clear"/>
            <w:tcMar>
              <w:top w:type="dxa" w:w="60"/>
              <w:left w:type="dxa" w:w="100"/>
              <w:bottom w:type="dxa" w:w="60"/>
              <w:right w:type="dxa" w:w="100"/>
            </w:tcMar>
          </w:tcPr>
          <w:p>
            <w:r>
              <w:rPr>
                <w:b/>
                <w:bCs/>
                <w:sz w:val="18"/>
                <w:szCs w:val="18"/>
              </w:rPr>
              <w:t xml:space="preserve">Canopy (ha)</w:t>
            </w:r>
          </w:p>
        </w:tc>
        <w:tc>
          <w:tcPr>
            <w:tcW w:type="dxa" w:w="1161"/>
            <w:tcBorders>
              <w:top w:val="single" w:color="BFBFBF" w:sz="4"/>
              <w:left w:val="single" w:color="BFBFBF" w:sz="4"/>
              <w:bottom w:val="single" w:color="BFBFBF" w:sz="4"/>
              <w:right w:val="single" w:color="BFBFBF" w:sz="4"/>
            </w:tcBorders>
            <w:shd w:fill="DCE6F0" w:val="clear"/>
            <w:tcMar>
              <w:top w:type="dxa" w:w="60"/>
              <w:left w:type="dxa" w:w="100"/>
              <w:bottom w:type="dxa" w:w="60"/>
              <w:right w:type="dxa" w:w="100"/>
            </w:tcMar>
          </w:tcPr>
          <w:p>
            <w:r>
              <w:rPr>
                <w:b/>
                <w:bCs/>
                <w:sz w:val="18"/>
                <w:szCs w:val="18"/>
              </w:rPr>
              <w:t xml:space="preserve">Share lost</w:t>
            </w:r>
          </w:p>
        </w:tc>
        <w:tc>
          <w:tcPr>
            <w:tcW w:type="dxa" w:w="1433"/>
            <w:tcBorders>
              <w:top w:val="single" w:color="BFBFBF" w:sz="4"/>
              <w:left w:val="single" w:color="BFBFBF" w:sz="4"/>
              <w:bottom w:val="single" w:color="BFBFBF" w:sz="4"/>
              <w:right w:val="single" w:color="BFBFBF" w:sz="4"/>
            </w:tcBorders>
            <w:shd w:fill="DCE6F0" w:val="clear"/>
            <w:tcMar>
              <w:top w:type="dxa" w:w="60"/>
              <w:left w:type="dxa" w:w="100"/>
              <w:bottom w:type="dxa" w:w="60"/>
              <w:right w:type="dxa" w:w="100"/>
            </w:tcMar>
          </w:tcPr>
          <w:p>
            <w:r>
              <w:rPr>
                <w:b/>
                <w:bCs/>
                <w:sz w:val="18"/>
                <w:szCs w:val="18"/>
              </w:rPr>
              <w:t xml:space="preserve">Share 95% CI</w:t>
            </w:r>
          </w:p>
        </w:tc>
      </w:tr>
      <w:tr>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Mature</w:t>
            </w:r>
          </w:p>
        </w:tc>
        <w:tc>
          <w:tcPr>
            <w:tcW w:type="dxa" w:w="116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194</w:t>
            </w:r>
          </w:p>
        </w:tc>
        <w:tc>
          <w:tcPr>
            <w:tcW w:type="dxa" w:w="13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82–306</w:t>
            </w:r>
          </w:p>
        </w:tc>
        <w:tc>
          <w:tcPr>
            <w:tcW w:type="dxa" w:w="125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4,512</w:t>
            </w:r>
          </w:p>
        </w:tc>
        <w:tc>
          <w:tcPr>
            <w:tcW w:type="dxa" w:w="116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4.3%</w:t>
            </w:r>
          </w:p>
        </w:tc>
        <w:tc>
          <w:tcPr>
            <w:tcW w:type="dxa" w:w="143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2.1–6.9%</w:t>
            </w:r>
          </w:p>
        </w:tc>
      </w:tr>
      <w:tr>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Young stands and recent cutover</w:t>
            </w:r>
          </w:p>
        </w:tc>
        <w:tc>
          <w:tcPr>
            <w:tcW w:type="dxa" w:w="116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272</w:t>
            </w:r>
          </w:p>
        </w:tc>
        <w:tc>
          <w:tcPr>
            <w:tcW w:type="dxa" w:w="13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120–423</w:t>
            </w:r>
          </w:p>
        </w:tc>
        <w:tc>
          <w:tcPr>
            <w:tcW w:type="dxa" w:w="125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1,790</w:t>
            </w:r>
          </w:p>
        </w:tc>
        <w:tc>
          <w:tcPr>
            <w:tcW w:type="dxa" w:w="116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15.2%</w:t>
            </w:r>
          </w:p>
        </w:tc>
        <w:tc>
          <w:tcPr>
            <w:tcW w:type="dxa" w:w="143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8.1–23.3%</w:t>
            </w:r>
          </w:p>
        </w:tc>
      </w:tr>
      <w:tr>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Total</w:t>
            </w:r>
          </w:p>
        </w:tc>
        <w:tc>
          <w:tcPr>
            <w:tcW w:type="dxa" w:w="11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466</w:t>
            </w:r>
          </w:p>
        </w:tc>
        <w:tc>
          <w:tcPr>
            <w:tcW w:type="dxa" w:w="1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277–654</w:t>
            </w:r>
          </w:p>
        </w:tc>
        <w:tc>
          <w:tcPr>
            <w:tcW w:type="dxa" w:w="125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6,302</w:t>
            </w:r>
          </w:p>
        </w:tc>
        <w:tc>
          <w:tcPr>
            <w:tcW w:type="dxa" w:w="11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7.4%</w:t>
            </w:r>
          </w:p>
        </w:tc>
        <w:tc>
          <w:tcPr>
            <w:tcW w:type="dxa" w:w="143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4.9–10.4%</w:t>
            </w:r>
          </w:p>
        </w:tc>
      </w:tr>
    </w:tbl>
    <w:p>
      <w:pPr>
        <w:spacing w:after="120"/>
      </w:pPr>
    </w:p>
    <w:p>
      <w:pPr>
        <w:spacing w:after="120"/>
      </w:pPr>
      <w:r>
        <w:t xml:space="preserve">Sensitivity to the harvest rule (report alongside):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47"/>
        <w:gridCol w:w="2210"/>
        <w:gridCol w:w="1657"/>
        <w:gridCol w:w="2212"/>
      </w:tblGrid>
      <w:tr>
        <w:trPr>
          <w:tblHeader/>
        </w:trPr>
        <w:tc>
          <w:tcPr>
            <w:tcW w:type="dxa" w:w="2947"/>
            <w:tcBorders>
              <w:top w:val="single" w:color="BFBFBF" w:sz="4"/>
              <w:left w:val="single" w:color="BFBFBF" w:sz="4"/>
              <w:bottom w:val="single" w:color="BFBFBF" w:sz="4"/>
              <w:right w:val="single" w:color="BFBFBF" w:sz="4"/>
            </w:tcBorders>
            <w:shd w:fill="DCE6F0" w:val="clear"/>
            <w:tcMar>
              <w:top w:type="dxa" w:w="60"/>
              <w:left w:type="dxa" w:w="100"/>
              <w:bottom w:type="dxa" w:w="60"/>
              <w:right w:type="dxa" w:w="100"/>
            </w:tcMar>
          </w:tcPr>
          <w:p>
            <w:r>
              <w:rPr>
                <w:b/>
                <w:bCs/>
                <w:sz w:val="18"/>
                <w:szCs w:val="18"/>
              </w:rPr>
              <w:t xml:space="preserve">Rule</w:t>
            </w:r>
          </w:p>
        </w:tc>
        <w:tc>
          <w:tcPr>
            <w:tcW w:type="dxa" w:w="2210"/>
            <w:tcBorders>
              <w:top w:val="single" w:color="BFBFBF" w:sz="4"/>
              <w:left w:val="single" w:color="BFBFBF" w:sz="4"/>
              <w:bottom w:val="single" w:color="BFBFBF" w:sz="4"/>
              <w:right w:val="single" w:color="BFBFBF" w:sz="4"/>
            </w:tcBorders>
            <w:shd w:fill="DCE6F0" w:val="clear"/>
            <w:tcMar>
              <w:top w:type="dxa" w:w="60"/>
              <w:left w:type="dxa" w:w="100"/>
              <w:bottom w:type="dxa" w:w="60"/>
              <w:right w:type="dxa" w:w="100"/>
            </w:tcMar>
          </w:tcPr>
          <w:p>
            <w:r>
              <w:rPr>
                <w:b/>
                <w:bCs/>
                <w:sz w:val="18"/>
                <w:szCs w:val="18"/>
              </w:rPr>
              <w:t xml:space="preserve">Total (95% CI)</w:t>
            </w:r>
          </w:p>
        </w:tc>
        <w:tc>
          <w:tcPr>
            <w:tcW w:type="dxa" w:w="1657"/>
            <w:tcBorders>
              <w:top w:val="single" w:color="BFBFBF" w:sz="4"/>
              <w:left w:val="single" w:color="BFBFBF" w:sz="4"/>
              <w:bottom w:val="single" w:color="BFBFBF" w:sz="4"/>
              <w:right w:val="single" w:color="BFBFBF" w:sz="4"/>
            </w:tcBorders>
            <w:shd w:fill="DCE6F0" w:val="clear"/>
            <w:tcMar>
              <w:top w:type="dxa" w:w="60"/>
              <w:left w:type="dxa" w:w="100"/>
              <w:bottom w:type="dxa" w:w="60"/>
              <w:right w:type="dxa" w:w="100"/>
            </w:tcMar>
          </w:tcPr>
          <w:p>
            <w:r>
              <w:rPr>
                <w:b/>
                <w:bCs/>
                <w:sz w:val="18"/>
                <w:szCs w:val="18"/>
              </w:rPr>
              <w:t xml:space="preserve">Mature</w:t>
            </w:r>
          </w:p>
        </w:tc>
        <w:tc>
          <w:tcPr>
            <w:tcW w:type="dxa" w:w="2212"/>
            <w:tcBorders>
              <w:top w:val="single" w:color="BFBFBF" w:sz="4"/>
              <w:left w:val="single" w:color="BFBFBF" w:sz="4"/>
              <w:bottom w:val="single" w:color="BFBFBF" w:sz="4"/>
              <w:right w:val="single" w:color="BFBFBF" w:sz="4"/>
            </w:tcBorders>
            <w:shd w:fill="DCE6F0" w:val="clear"/>
            <w:tcMar>
              <w:top w:type="dxa" w:w="60"/>
              <w:left w:type="dxa" w:w="100"/>
              <w:bottom w:type="dxa" w:w="60"/>
              <w:right w:type="dxa" w:w="100"/>
            </w:tcMar>
          </w:tcPr>
          <w:p>
            <w:r>
              <w:rPr>
                <w:b/>
                <w:bCs/>
                <w:sz w:val="18"/>
                <w:szCs w:val="18"/>
              </w:rPr>
              <w:t xml:space="preserve">Young / recent cutover</w:t>
            </w:r>
          </w:p>
        </w:tc>
      </w:tr>
      <w:tr>
        <w:tc>
          <w:tcPr>
            <w:tcW w:type="dxa" w:w="294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As labelled (no harvest exclusion)</w:t>
            </w:r>
          </w:p>
        </w:tc>
        <w:tc>
          <w:tcPr>
            <w:tcW w:type="dxa" w:w="22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638 ha (364–912)</w:t>
            </w:r>
          </w:p>
        </w:tc>
        <w:tc>
          <w:tcPr>
            <w:tcW w:type="dxa" w:w="165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194 ha, 4.3%</w:t>
            </w:r>
          </w:p>
        </w:tc>
        <w:tc>
          <w:tcPr>
            <w:tcW w:type="dxa" w:w="221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444 ha, 22.3%</w:t>
            </w:r>
          </w:p>
        </w:tc>
      </w:tr>
      <w:tr>
        <w:tc>
          <w:tcPr>
            <w:tcW w:type="dxa" w:w="29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Exclude 2022 harvest (primary)</w:t>
            </w:r>
          </w:p>
        </w:tc>
        <w:tc>
          <w:tcPr>
            <w:tcW w:type="dxa" w:w="22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466 ha (277–654)</w:t>
            </w:r>
          </w:p>
        </w:tc>
        <w:tc>
          <w:tcPr>
            <w:tcW w:type="dxa" w:w="165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194 ha, 4.3%</w:t>
            </w:r>
          </w:p>
        </w:tc>
        <w:tc>
          <w:tcPr>
            <w:tcW w:type="dxa" w:w="221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272 ha, 15.2%</w:t>
            </w:r>
          </w:p>
        </w:tc>
      </w:tr>
      <w:tr>
        <w:tc>
          <w:tcPr>
            <w:tcW w:type="dxa" w:w="294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Exclude 2021–22 harvest</w:t>
            </w:r>
          </w:p>
        </w:tc>
        <w:tc>
          <w:tcPr>
            <w:tcW w:type="dxa" w:w="22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399 ha (233–566)</w:t>
            </w:r>
          </w:p>
        </w:tc>
        <w:tc>
          <w:tcPr>
            <w:tcW w:type="dxa" w:w="165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194 ha, 4.3%</w:t>
            </w:r>
          </w:p>
        </w:tc>
        <w:tc>
          <w:tcPr>
            <w:tcW w:type="dxa" w:w="221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206 ha, 12.7%</w:t>
            </w:r>
          </w:p>
        </w:tc>
      </w:tr>
    </w:tbl>
    <w:p>
      <w:pPr>
        <w:spacing w:after="120"/>
      </w:pPr>
    </w:p>
    <w:p>
      <w:pPr>
        <w:pStyle w:val="ListParagraph"/>
        <w:numPr>
          <w:ilvl w:val="0"/>
          <w:numId w:val="2"/>
        </w:numPr>
        <w:spacing w:after="60"/>
      </w:pPr>
      <w:r>
        <w:t xml:space="preserve">Key points: the mature estimate does not change under any variant, and young stands exceed mature in every variant.</w:t>
      </w:r>
    </w:p>
    <w:p>
      <w:pPr>
        <w:pStyle w:val="ListParagraph"/>
        <w:numPr>
          <w:ilvl w:val="0"/>
          <w:numId w:val="2"/>
        </w:numPr>
        <w:spacing w:after="60"/>
      </w:pPr>
      <w:r>
        <w:t xml:space="preserve">'Canopy' here is the sample-estimated plantation canopy (6,302 ha). It is smaller than the 9,525 ha estate because it excludes open cutover, native vegetation, roads and gaps inside the estate. Percentages in the paper should be 'of plantation canopy', not 'of the estate'.</w:t>
      </w:r>
    </w:p>
    <w:p>
      <w:pPr>
        <w:spacing w:after="160"/>
      </w:pPr>
      <w:r>
        <w:rPr>
          <w:i/>
          <w:iCs/>
          <w:color w:val="666666"/>
          <w:sz w:val="18"/>
          <w:szCs w:val="18"/>
        </w:rPr>
        <w:t xml:space="preserve">Source: scripts/s17c_block_estimate.py, s17i_final_estimate.py; provenance/s17_final_estimate.json.</w:t>
      </w:r>
    </w:p>
    <w:p>
      <w:pPr>
        <w:pStyle w:val="Heading1"/>
      </w:pPr>
      <w:r>
        <w:t xml:space="preserve">9. Map accuracy at block level</w:t>
      </w:r>
    </w:p>
    <w:p>
      <w:pPr>
        <w:pStyle w:val="ListParagraph"/>
        <w:numPr>
          <w:ilvl w:val="0"/>
          <w:numId w:val="2"/>
        </w:numPr>
        <w:spacing w:after="60"/>
      </w:pPr>
      <w:r>
        <w:t xml:space="preserve">The map loss fraction per block (mapped-loss pixels / 9) is compared with the reference loss fraction (lost / canopy-before dots), as-labelled: bias (map − reference) +0.049, RMSE 0.324, and 82% agreement when both are cut at ≥ 50% loss.</w:t>
      </w:r>
    </w:p>
    <w:p>
      <w:pPr>
        <w:pStyle w:val="ListParagraph"/>
        <w:numPr>
          <w:ilvl w:val="0"/>
          <w:numId w:val="2"/>
        </w:numPr>
        <w:spacing w:after="60"/>
      </w:pPr>
      <w:r>
        <w:t xml:space="preserve">Map total vs sample estimate: 823 ha mapped vs 466 ha estimated. The map overstated mature loss about 2.7× (532 vs 194 ha) and total loss by about 75%. Framing: the map finds where; the sample corrects how much.</w:t>
      </w:r>
    </w:p>
    <w:p>
      <w:pPr>
        <w:spacing w:after="160"/>
      </w:pPr>
      <w:r>
        <w:rPr>
          <w:i/>
          <w:iCs/>
          <w:color w:val="666666"/>
          <w:sz w:val="18"/>
          <w:szCs w:val="18"/>
        </w:rPr>
        <w:t xml:space="preserve">Source: provenance/s17_block_estimate.json (block_accuracy).</w:t>
      </w:r>
    </w:p>
    <w:p>
      <w:pPr>
        <w:pStyle w:val="Heading1"/>
      </w:pPr>
      <w:r>
        <w:t xml:space="preserve">10. Terrain analysis (map-based)</w:t>
      </w:r>
    </w:p>
    <w:p>
      <w:pPr>
        <w:pStyle w:val="ListParagraph"/>
        <w:numPr>
          <w:ilvl w:val="0"/>
          <w:numId w:val="2"/>
        </w:numPr>
        <w:spacing w:after="60"/>
      </w:pPr>
      <w:r>
        <w:t xml:space="preserve">Loss rate per class = mapped-loss pixels / all canopy pixels (loss + no loss) in that class, computed separately for mature and young estate pixels.</w:t>
      </w:r>
    </w:p>
    <w:p>
      <w:pPr>
        <w:pStyle w:val="ListParagraph"/>
        <w:numPr>
          <w:ilvl w:val="0"/>
          <w:numId w:val="2"/>
        </w:numPr>
        <w:spacing w:after="60"/>
      </w:pPr>
      <w:r>
        <w:t xml:space="preserve">Slope classes: &lt; 15°, 15–25°, 25–35°, &gt; 35°. Distance-to-stream classes: 0–20, 20–50, 50–100, 100–200, &gt; 200 m.</w:t>
      </w:r>
    </w:p>
    <w:p>
      <w:pPr>
        <w:pStyle w:val="ListParagraph"/>
        <w:numPr>
          <w:ilvl w:val="0"/>
          <w:numId w:val="2"/>
        </w:numPr>
        <w:spacing w:after="60"/>
      </w:pPr>
      <w:r>
        <w:rPr>
          <w:b/>
          <w:bCs/>
        </w:rPr>
        <w:t xml:space="preserve">These rates come from the uncorrected 10 m map, not the sample,</w:t>
      </w:r>
      <w:r>
        <w:t xml:space="preserve"> so describe them as relative patterns, not corrected areas.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18"/>
        <w:gridCol w:w="1679"/>
        <w:gridCol w:w="1679"/>
        <w:gridCol w:w="3150"/>
      </w:tblGrid>
      <w:tr>
        <w:trPr>
          <w:tblHeader/>
        </w:trPr>
        <w:tc>
          <w:tcPr>
            <w:tcW w:type="dxa" w:w="2518"/>
            <w:tcBorders>
              <w:top w:val="single" w:color="BFBFBF" w:sz="4"/>
              <w:left w:val="single" w:color="BFBFBF" w:sz="4"/>
              <w:bottom w:val="single" w:color="BFBFBF" w:sz="4"/>
              <w:right w:val="single" w:color="BFBFBF" w:sz="4"/>
            </w:tcBorders>
            <w:shd w:fill="DCE6F0" w:val="clear"/>
            <w:tcMar>
              <w:top w:type="dxa" w:w="60"/>
              <w:left w:type="dxa" w:w="100"/>
              <w:bottom w:type="dxa" w:w="60"/>
              <w:right w:type="dxa" w:w="100"/>
            </w:tcMar>
          </w:tcPr>
          <w:p>
            <w:r>
              <w:rPr>
                <w:b/>
                <w:bCs/>
                <w:sz w:val="18"/>
                <w:szCs w:val="18"/>
              </w:rPr>
              <w:t xml:space="preserve">Class</w:t>
            </w:r>
          </w:p>
        </w:tc>
        <w:tc>
          <w:tcPr>
            <w:tcW w:type="dxa" w:w="1679"/>
            <w:tcBorders>
              <w:top w:val="single" w:color="BFBFBF" w:sz="4"/>
              <w:left w:val="single" w:color="BFBFBF" w:sz="4"/>
              <w:bottom w:val="single" w:color="BFBFBF" w:sz="4"/>
              <w:right w:val="single" w:color="BFBFBF" w:sz="4"/>
            </w:tcBorders>
            <w:shd w:fill="DCE6F0" w:val="clear"/>
            <w:tcMar>
              <w:top w:type="dxa" w:w="60"/>
              <w:left w:type="dxa" w:w="100"/>
              <w:bottom w:type="dxa" w:w="60"/>
              <w:right w:type="dxa" w:w="100"/>
            </w:tcMar>
          </w:tcPr>
          <w:p>
            <w:r>
              <w:rPr>
                <w:b/>
                <w:bCs/>
                <w:sz w:val="18"/>
                <w:szCs w:val="18"/>
              </w:rPr>
              <w:t xml:space="preserve">Mature rate</w:t>
            </w:r>
          </w:p>
        </w:tc>
        <w:tc>
          <w:tcPr>
            <w:tcW w:type="dxa" w:w="1679"/>
            <w:tcBorders>
              <w:top w:val="single" w:color="BFBFBF" w:sz="4"/>
              <w:left w:val="single" w:color="BFBFBF" w:sz="4"/>
              <w:bottom w:val="single" w:color="BFBFBF" w:sz="4"/>
              <w:right w:val="single" w:color="BFBFBF" w:sz="4"/>
            </w:tcBorders>
            <w:shd w:fill="DCE6F0" w:val="clear"/>
            <w:tcMar>
              <w:top w:type="dxa" w:w="60"/>
              <w:left w:type="dxa" w:w="100"/>
              <w:bottom w:type="dxa" w:w="60"/>
              <w:right w:type="dxa" w:w="100"/>
            </w:tcMar>
          </w:tcPr>
          <w:p>
            <w:r>
              <w:rPr>
                <w:b/>
                <w:bCs/>
                <w:sz w:val="18"/>
                <w:szCs w:val="18"/>
              </w:rPr>
              <w:t xml:space="preserve">Young rate</w:t>
            </w:r>
          </w:p>
        </w:tc>
        <w:tc>
          <w:tcPr>
            <w:tcW w:type="dxa" w:w="3150"/>
            <w:tcBorders>
              <w:top w:val="single" w:color="BFBFBF" w:sz="4"/>
              <w:left w:val="single" w:color="BFBFBF" w:sz="4"/>
              <w:bottom w:val="single" w:color="BFBFBF" w:sz="4"/>
              <w:right w:val="single" w:color="BFBFBF" w:sz="4"/>
            </w:tcBorders>
            <w:shd w:fill="DCE6F0" w:val="clear"/>
            <w:tcMar>
              <w:top w:type="dxa" w:w="60"/>
              <w:left w:type="dxa" w:w="100"/>
              <w:bottom w:type="dxa" w:w="60"/>
              <w:right w:type="dxa" w:w="100"/>
            </w:tcMar>
          </w:tcPr>
          <w:p>
            <w:r>
              <w:rPr>
                <w:b/>
                <w:bCs/>
                <w:sz w:val="18"/>
                <w:szCs w:val="18"/>
              </w:rPr>
              <w:t xml:space="preserve">Canopy area (mature / young, ha)</w:t>
            </w:r>
          </w:p>
        </w:tc>
      </w:tr>
      <w:tr>
        <w:tc>
          <w:tcPr>
            <w:tcW w:type="dxa" w:w="251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Slope &lt; 15°</w:t>
            </w:r>
          </w:p>
        </w:tc>
        <w:tc>
          <w:tcPr>
            <w:tcW w:type="dxa" w:w="167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4.3%</w:t>
            </w:r>
          </w:p>
        </w:tc>
        <w:tc>
          <w:tcPr>
            <w:tcW w:type="dxa" w:w="167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5.7%</w:t>
            </w:r>
          </w:p>
        </w:tc>
        <w:tc>
          <w:tcPr>
            <w:tcW w:type="dxa" w:w="3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2,182 / 1,352</w:t>
            </w:r>
          </w:p>
        </w:tc>
      </w:tr>
      <w:tr>
        <w:tc>
          <w:tcPr>
            <w:tcW w:type="dxa" w:w="251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15–25°</w:t>
            </w:r>
          </w:p>
        </w:tc>
        <w:tc>
          <w:tcPr>
            <w:tcW w:type="dxa" w:w="167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7.6%</w:t>
            </w:r>
          </w:p>
        </w:tc>
        <w:tc>
          <w:tcPr>
            <w:tcW w:type="dxa" w:w="167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7.5%</w:t>
            </w:r>
          </w:p>
        </w:tc>
        <w:tc>
          <w:tcPr>
            <w:tcW w:type="dxa" w:w="3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1,740 / 1,011</w:t>
            </w:r>
          </w:p>
        </w:tc>
      </w:tr>
      <w:tr>
        <w:tc>
          <w:tcPr>
            <w:tcW w:type="dxa" w:w="251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25–35°</w:t>
            </w:r>
          </w:p>
        </w:tc>
        <w:tc>
          <w:tcPr>
            <w:tcW w:type="dxa" w:w="167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16.6%</w:t>
            </w:r>
          </w:p>
        </w:tc>
        <w:tc>
          <w:tcPr>
            <w:tcW w:type="dxa" w:w="167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15.6%</w:t>
            </w:r>
          </w:p>
        </w:tc>
        <w:tc>
          <w:tcPr>
            <w:tcW w:type="dxa" w:w="3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1,169 / 663</w:t>
            </w:r>
          </w:p>
        </w:tc>
      </w:tr>
      <w:tr>
        <w:tc>
          <w:tcPr>
            <w:tcW w:type="dxa" w:w="251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&gt; 35°</w:t>
            </w:r>
          </w:p>
        </w:tc>
        <w:tc>
          <w:tcPr>
            <w:tcW w:type="dxa" w:w="167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24.3%</w:t>
            </w:r>
          </w:p>
        </w:tc>
        <w:tc>
          <w:tcPr>
            <w:tcW w:type="dxa" w:w="167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21.3%</w:t>
            </w:r>
          </w:p>
        </w:tc>
        <w:tc>
          <w:tcPr>
            <w:tcW w:type="dxa" w:w="3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459 / 159</w:t>
            </w:r>
          </w:p>
        </w:tc>
      </w:tr>
      <w:tr>
        <w:tc>
          <w:tcPr>
            <w:tcW w:type="dxa" w:w="251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Stream 0–20 m</w:t>
            </w:r>
          </w:p>
        </w:tc>
        <w:tc>
          <w:tcPr>
            <w:tcW w:type="dxa" w:w="167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20.2%</w:t>
            </w:r>
          </w:p>
        </w:tc>
        <w:tc>
          <w:tcPr>
            <w:tcW w:type="dxa" w:w="167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21.0%</w:t>
            </w:r>
          </w:p>
        </w:tc>
        <w:tc>
          <w:tcPr>
            <w:tcW w:type="dxa" w:w="3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544 / 305</w:t>
            </w:r>
          </w:p>
        </w:tc>
      </w:tr>
      <w:tr>
        <w:tc>
          <w:tcPr>
            <w:tcW w:type="dxa" w:w="251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20–50 m</w:t>
            </w:r>
          </w:p>
        </w:tc>
        <w:tc>
          <w:tcPr>
            <w:tcW w:type="dxa" w:w="167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11.6%</w:t>
            </w:r>
          </w:p>
        </w:tc>
        <w:tc>
          <w:tcPr>
            <w:tcW w:type="dxa" w:w="167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11.7%</w:t>
            </w:r>
          </w:p>
        </w:tc>
        <w:tc>
          <w:tcPr>
            <w:tcW w:type="dxa" w:w="3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976 / 521</w:t>
            </w:r>
          </w:p>
        </w:tc>
      </w:tr>
      <w:tr>
        <w:tc>
          <w:tcPr>
            <w:tcW w:type="dxa" w:w="251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50–100 m</w:t>
            </w:r>
          </w:p>
        </w:tc>
        <w:tc>
          <w:tcPr>
            <w:tcW w:type="dxa" w:w="167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7.9%</w:t>
            </w:r>
          </w:p>
        </w:tc>
        <w:tc>
          <w:tcPr>
            <w:tcW w:type="dxa" w:w="167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7.9%</w:t>
            </w:r>
          </w:p>
        </w:tc>
        <w:tc>
          <w:tcPr>
            <w:tcW w:type="dxa" w:w="3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1,492 / 840</w:t>
            </w:r>
          </w:p>
        </w:tc>
      </w:tr>
      <w:tr>
        <w:tc>
          <w:tcPr>
            <w:tcW w:type="dxa" w:w="251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100–200 m</w:t>
            </w:r>
          </w:p>
        </w:tc>
        <w:tc>
          <w:tcPr>
            <w:tcW w:type="dxa" w:w="167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7.6%</w:t>
            </w:r>
          </w:p>
        </w:tc>
        <w:tc>
          <w:tcPr>
            <w:tcW w:type="dxa" w:w="167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6.5%</w:t>
            </w:r>
          </w:p>
        </w:tc>
        <w:tc>
          <w:tcPr>
            <w:tcW w:type="dxa" w:w="3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1,912 / 1,147</w:t>
            </w:r>
          </w:p>
        </w:tc>
      </w:tr>
      <w:tr>
        <w:tc>
          <w:tcPr>
            <w:tcW w:type="dxa" w:w="251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&gt; 200 m</w:t>
            </w:r>
          </w:p>
        </w:tc>
        <w:tc>
          <w:tcPr>
            <w:tcW w:type="dxa" w:w="167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7.2%</w:t>
            </w:r>
          </w:p>
        </w:tc>
        <w:tc>
          <w:tcPr>
            <w:tcW w:type="dxa" w:w="167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6.8%</w:t>
            </w:r>
          </w:p>
        </w:tc>
        <w:tc>
          <w:tcPr>
            <w:tcW w:type="dxa" w:w="3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626 / 372</w:t>
            </w:r>
          </w:p>
        </w:tc>
      </w:tr>
    </w:tbl>
    <w:p>
      <w:pPr>
        <w:spacing w:after="120"/>
      </w:pPr>
    </w:p>
    <w:p>
      <w:pPr>
        <w:pStyle w:val="ListParagraph"/>
        <w:numPr>
          <w:ilvl w:val="0"/>
          <w:numId w:val="2"/>
        </w:numPr>
        <w:spacing w:after="60"/>
      </w:pPr>
      <w:r>
        <w:t xml:space="preserve">Combined (mature + young): about 5% below 15° rising to 24% above 35°; 20% within 20 m of a stream vs 7% beyond 200 m.</w:t>
      </w:r>
    </w:p>
    <w:p>
      <w:pPr>
        <w:pStyle w:val="ListParagraph"/>
        <w:numPr>
          <w:ilvl w:val="0"/>
          <w:numId w:val="2"/>
        </w:numPr>
        <w:spacing w:after="60"/>
      </w:pPr>
      <w:r>
        <w:t xml:space="preserve">Robustness checks: the stream effect holds in every slope class (within 20 m of a stream 19–29% lost, beyond 200 m 1–15%), and both patterns hold with the classifier-edge strips (section 4.3) removed.</w:t>
      </w:r>
    </w:p>
    <w:p>
      <w:pPr>
        <w:spacing w:after="160"/>
      </w:pPr>
      <w:r>
        <w:rPr>
          <w:i/>
          <w:iCs/>
          <w:color w:val="666666"/>
          <w:sz w:val="18"/>
          <w:szCs w:val="18"/>
        </w:rPr>
        <w:t xml:space="preserve">Source: scripts/fig_extras.py (compute_terrain_rates), recomputed 29 Sep 2026; methods log §6k.</w:t>
      </w:r>
    </w:p>
    <w:p>
      <w:pPr>
        <w:pStyle w:val="Heading1"/>
      </w:pPr>
      <w:r>
        <w:t xml:space="preserve">11. Secondary analysis: which sensor detects the loss?</w:t>
      </w:r>
    </w:p>
    <w:p>
      <w:pPr>
        <w:pStyle w:val="ListParagraph"/>
        <w:numPr>
          <w:ilvl w:val="0"/>
          <w:numId w:val="2"/>
        </w:numPr>
        <w:spacing w:after="60"/>
      </w:pPr>
      <w:r>
        <w:t xml:space="preserve">Indicators: Sentinel-2 ΔNDVI (10 m) and dNBR (20 m); Sentinel-1 ΔVH, ΔVV and Δ(VH/VV); AlphaEarth cosine distance between annual embeddings (2021→22, 2022→23, 2023→24).</w:t>
      </w:r>
    </w:p>
    <w:p>
      <w:pPr>
        <w:pStyle w:val="ListParagraph"/>
        <w:numPr>
          <w:ilvl w:val="0"/>
          <w:numId w:val="2"/>
        </w:numPr>
        <w:spacing w:after="60"/>
      </w:pPr>
      <w:r>
        <w:t xml:space="preserve">Sentinel-1 processing (Earth Engine): GRD from three full-coverage orbits (8 and 81 ascending, 175 descending). Pre = all scenes 16 Dec 2022 – 13 Feb 2023; post = 14 Feb – 17 Mar 2023. Multi-temporal mean power, 15 m radius focal mean, change = 10·log10(post/pre). Local incidence angle masked to 20–65° using the GLO-30 DEM; valid orbits averaged.</w:t>
      </w:r>
    </w:p>
    <w:p>
      <w:pPr>
        <w:pStyle w:val="ListParagraph"/>
        <w:numPr>
          <w:ilvl w:val="0"/>
          <w:numId w:val="2"/>
        </w:numPr>
        <w:spacing w:after="60"/>
      </w:pPr>
      <w:r>
        <w:t xml:space="preserve">Reference points: this comparison uses the project's earlier pixel-level stratified reference sample (127 points labelled Loss = 39 or No loss = 88), not the block sample. Say this in one sentence.</w:t>
      </w:r>
    </w:p>
    <w:p>
      <w:pPr>
        <w:pStyle w:val="ListParagraph"/>
        <w:numPr>
          <w:ilvl w:val="0"/>
          <w:numId w:val="2"/>
        </w:numPr>
        <w:spacing w:after="60"/>
      </w:pPr>
      <w:r>
        <w:t xml:space="preserve">Metric: separation = max(AUC, 1 − AUC), so indicators that move the 'wrong' way still score; the direction is reported. 95% CIs by bootstrap (2,000 resamples).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82"/>
        <w:gridCol w:w="2256"/>
        <w:gridCol w:w="3488"/>
      </w:tblGrid>
      <w:tr>
        <w:trPr>
          <w:tblHeader/>
        </w:trPr>
        <w:tc>
          <w:tcPr>
            <w:tcW w:type="dxa" w:w="3282"/>
            <w:tcBorders>
              <w:top w:val="single" w:color="BFBFBF" w:sz="4"/>
              <w:left w:val="single" w:color="BFBFBF" w:sz="4"/>
              <w:bottom w:val="single" w:color="BFBFBF" w:sz="4"/>
              <w:right w:val="single" w:color="BFBFBF" w:sz="4"/>
            </w:tcBorders>
            <w:shd w:fill="DCE6F0" w:val="clear"/>
            <w:tcMar>
              <w:top w:type="dxa" w:w="60"/>
              <w:left w:type="dxa" w:w="100"/>
              <w:bottom w:type="dxa" w:w="60"/>
              <w:right w:type="dxa" w:w="100"/>
            </w:tcMar>
          </w:tcPr>
          <w:p>
            <w:r>
              <w:rPr>
                <w:b/>
                <w:bCs/>
                <w:sz w:val="18"/>
                <w:szCs w:val="18"/>
              </w:rPr>
              <w:t xml:space="preserve">Indicator</w:t>
            </w:r>
          </w:p>
        </w:tc>
        <w:tc>
          <w:tcPr>
            <w:tcW w:type="dxa" w:w="2256"/>
            <w:tcBorders>
              <w:top w:val="single" w:color="BFBFBF" w:sz="4"/>
              <w:left w:val="single" w:color="BFBFBF" w:sz="4"/>
              <w:bottom w:val="single" w:color="BFBFBF" w:sz="4"/>
              <w:right w:val="single" w:color="BFBFBF" w:sz="4"/>
            </w:tcBorders>
            <w:shd w:fill="DCE6F0" w:val="clear"/>
            <w:tcMar>
              <w:top w:type="dxa" w:w="60"/>
              <w:left w:type="dxa" w:w="100"/>
              <w:bottom w:type="dxa" w:w="60"/>
              <w:right w:type="dxa" w:w="100"/>
            </w:tcMar>
          </w:tcPr>
          <w:p>
            <w:r>
              <w:rPr>
                <w:b/>
                <w:bCs/>
                <w:sz w:val="18"/>
                <w:szCs w:val="18"/>
              </w:rPr>
              <w:t xml:space="preserve">Separation (95% CI)</w:t>
            </w:r>
          </w:p>
        </w:tc>
        <w:tc>
          <w:tcPr>
            <w:tcW w:type="dxa" w:w="3488"/>
            <w:tcBorders>
              <w:top w:val="single" w:color="BFBFBF" w:sz="4"/>
              <w:left w:val="single" w:color="BFBFBF" w:sz="4"/>
              <w:bottom w:val="single" w:color="BFBFBF" w:sz="4"/>
              <w:right w:val="single" w:color="BFBFBF" w:sz="4"/>
            </w:tcBorders>
            <w:shd w:fill="DCE6F0" w:val="clear"/>
            <w:tcMar>
              <w:top w:type="dxa" w:w="60"/>
              <w:left w:type="dxa" w:w="100"/>
              <w:bottom w:type="dxa" w:w="60"/>
              <w:right w:type="dxa" w:w="100"/>
            </w:tcMar>
          </w:tcPr>
          <w:p>
            <w:r>
              <w:rPr>
                <w:b/>
                <w:bCs/>
                <w:sz w:val="18"/>
                <w:szCs w:val="18"/>
              </w:rPr>
              <w:t xml:space="preserve">Note</w:t>
            </w:r>
          </w:p>
        </w:tc>
      </w:tr>
      <w:tr>
        <w:tc>
          <w:tcPr>
            <w:tcW w:type="dxa" w:w="328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Sentinel-2 ΔNDVI</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0.90 (0.83–0.95)</w:t>
            </w:r>
          </w:p>
        </w:tc>
        <w:tc>
          <w:tcPr>
            <w:tcW w:type="dxa" w:w="3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Greenness drop</w:t>
            </w:r>
          </w:p>
        </w:tc>
      </w:tr>
      <w:tr>
        <w:tc>
          <w:tcPr>
            <w:tcW w:type="dxa" w:w="328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Sentinel-2 dNBR</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0.86 (0.76–0.95)</w:t>
            </w:r>
          </w:p>
        </w:tc>
        <w:tc>
          <w:tcPr>
            <w:tcW w:type="dxa" w:w="3488"/>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328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AlphaEarth 2022→23</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0.75 (0.66–0.83)</w:t>
            </w:r>
          </w:p>
        </w:tc>
        <w:tc>
          <w:tcPr>
            <w:tcW w:type="dxa" w:w="3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Mixes a whole year of change</w:t>
            </w:r>
          </w:p>
        </w:tc>
      </w:tr>
      <w:tr>
        <w:tc>
          <w:tcPr>
            <w:tcW w:type="dxa" w:w="328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Sentinel-1 Δ(VH/VV)</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0.69 (0.57–0.79)</w:t>
            </w:r>
          </w:p>
        </w:tc>
        <w:tc>
          <w:tcPr>
            <w:tcW w:type="dxa" w:w="3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Exploratory (chosen after inspection)</w:t>
            </w:r>
          </w:p>
        </w:tc>
      </w:tr>
      <w:tr>
        <w:tc>
          <w:tcPr>
            <w:tcW w:type="dxa" w:w="328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AlphaEarth 2021→22 (normal year)</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0.62 (0.51–0.72)</w:t>
            </w:r>
          </w:p>
        </w:tc>
        <w:tc>
          <w:tcPr>
            <w:tcW w:type="dxa" w:w="3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Control</w:t>
            </w:r>
          </w:p>
        </w:tc>
      </w:tr>
      <w:tr>
        <w:tc>
          <w:tcPr>
            <w:tcW w:type="dxa" w:w="328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Sentinel-1 ΔVV</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0.60 (0.47–0.72)</w:t>
            </w:r>
          </w:p>
        </w:tc>
        <w:tc>
          <w:tcPr>
            <w:tcW w:type="dxa" w:w="3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Brightened at loss (wet debris)</w:t>
            </w:r>
          </w:p>
        </w:tc>
      </w:tr>
      <w:tr>
        <w:tc>
          <w:tcPr>
            <w:tcW w:type="dxa" w:w="328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Sentinel-1 ΔVH</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0.59 (0.47–0.69)</w:t>
            </w:r>
          </w:p>
        </w:tc>
        <w:tc>
          <w:tcPr>
            <w:tcW w:type="dxa" w:w="3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Weak</w:t>
            </w:r>
          </w:p>
        </w:tc>
      </w:tr>
    </w:tbl>
    <w:p>
      <w:pPr>
        <w:spacing w:after="120"/>
      </w:pPr>
    </w:p>
    <w:p>
      <w:pPr>
        <w:pStyle w:val="ListParagraph"/>
        <w:numPr>
          <w:ilvl w:val="0"/>
          <w:numId w:val="2"/>
        </w:numPr>
        <w:spacing w:after="60"/>
      </w:pPr>
      <w:r>
        <w:t xml:space="preserve">Caveats: the points were stratified by the optical map, which favours the optical indicators. AlphaEarth embeddings are built partly from the same Sentinel-1/2 data, so they are not independent. With a fixed threshold, the cyclone-year AlphaEarth change area was only about 1.5× a normal year (3,976 vs 2,609 ha).</w:t>
      </w:r>
    </w:p>
    <w:p>
      <w:pPr>
        <w:spacing w:after="160"/>
      </w:pPr>
      <w:r>
        <w:rPr>
          <w:i/>
          <w:iCs/>
          <w:color w:val="666666"/>
          <w:sz w:val="18"/>
          <w:szCs w:val="18"/>
        </w:rPr>
        <w:t xml:space="preserve">Source: scripts/s12_gee_sar_alphaearth.py, s13_indicator_comparison.py; provenance/s13_indicator_comparison.json.</w:t>
      </w:r>
    </w:p>
    <w:p>
      <w:pPr>
        <w:pStyle w:val="Heading1"/>
      </w:pPr>
      <w:r>
        <w:t xml:space="preserve">12. Comparison with bare-ground estimates</w:t>
      </w:r>
    </w:p>
    <w:p>
      <w:pPr>
        <w:pStyle w:val="ListParagraph"/>
        <w:numPr>
          <w:ilvl w:val="0"/>
          <w:numId w:val="2"/>
        </w:numPr>
        <w:spacing w:after="60"/>
      </w:pPr>
      <w:r>
        <w:t xml:space="preserve">Manaaki Whenua rapid assessment (McMillan et al., 2023): 166 ha of landslide scar on exotic and harvested forest in the Esk. It counts only the scar (the top 25% of each slip's elevation range) of new bare ground.</w:t>
      </w:r>
    </w:p>
    <w:p>
      <w:pPr>
        <w:pStyle w:val="ListParagraph"/>
        <w:numPr>
          <w:ilvl w:val="0"/>
          <w:numId w:val="2"/>
        </w:numPr>
        <w:spacing w:after="60"/>
      </w:pPr>
      <w:r>
        <w:t xml:space="preserve">Notti (2026) PANDA inventory: 249 ha of potential shallow landslides inside our estate.</w:t>
      </w:r>
    </w:p>
    <w:p>
      <w:pPr>
        <w:pStyle w:val="ListParagraph"/>
        <w:numPr>
          <w:ilvl w:val="0"/>
          <w:numId w:val="2"/>
        </w:numPr>
        <w:spacing w:after="60"/>
      </w:pPr>
      <w:r>
        <w:t xml:space="preserve">Our replication of a bare-ground rule (post NDVI &lt; 0.30–0.40, visible brightening): 93–244 ha in the estate.</w:t>
      </w:r>
    </w:p>
    <w:p>
      <w:pPr>
        <w:pStyle w:val="ListParagraph"/>
        <w:numPr>
          <w:ilvl w:val="0"/>
          <w:numId w:val="2"/>
        </w:numPr>
        <w:spacing w:after="60"/>
      </w:pPr>
      <w:r>
        <w:t xml:space="preserve">Interpretation: our 466 ha is larger </w:t>
      </w:r>
      <w:r>
        <w:rPr>
          <w:b/>
          <w:bCs/>
        </w:rPr>
        <w:t xml:space="preserve">by definition</w:t>
      </w:r>
      <w:r>
        <w:t xml:space="preserve">. It also counts canopy flattened, buried or silted in debris tails and runout, not only the bare scar. 57% of the mapped-loss pixels were still green (post NDVI ≥ 0.5).</w:t>
      </w:r>
    </w:p>
    <w:p>
      <w:pPr>
        <w:spacing w:after="160"/>
      </w:pPr>
      <w:r>
        <w:rPr>
          <w:i/>
          <w:iCs/>
          <w:color w:val="666666"/>
          <w:sz w:val="18"/>
          <w:szCs w:val="18"/>
        </w:rPr>
        <w:t xml:space="preserve">Source: provenance/s17_final_estimate.json (context.bare_ground_ha); methods log §6h.</w:t>
      </w:r>
    </w:p>
    <w:p>
      <w:pPr>
        <w:pStyle w:val="Heading1"/>
      </w:pPr>
      <w:r>
        <w:t xml:space="preserve">13. Software, reproducibility and AI declaration</w:t>
      </w:r>
    </w:p>
    <w:p>
      <w:pPr>
        <w:pStyle w:val="ListParagraph"/>
        <w:numPr>
          <w:ilvl w:val="0"/>
          <w:numId w:val="2"/>
        </w:numPr>
        <w:spacing w:after="60"/>
      </w:pPr>
      <w:r>
        <w:t xml:space="preserve">Python 3.13 (numpy, xarray, rasterio, geopandas, scipy, scikit-image, scikit-learn), the Google Earth Engine Python API, and QGIS 3.44 (PyQGIS) for map layouts.</w:t>
      </w:r>
    </w:p>
    <w:p>
      <w:pPr>
        <w:pStyle w:val="ListParagraph"/>
        <w:numPr>
          <w:ilvl w:val="0"/>
          <w:numId w:val="2"/>
        </w:numPr>
        <w:spacing w:after="60"/>
      </w:pPr>
      <w:r>
        <w:t xml:space="preserve">All sampling and bootstraps use fixed seeds: block sample 20230301; interpreter-2 subset 20230302; bootstrap of totals 20230303; withheld suggestions 20230304; bootstrap of shares 20230305.</w:t>
      </w:r>
    </w:p>
    <w:p>
      <w:pPr>
        <w:pStyle w:val="ListParagraph"/>
        <w:numPr>
          <w:ilvl w:val="0"/>
          <w:numId w:val="2"/>
        </w:numPr>
        <w:spacing w:after="60"/>
      </w:pPr>
      <w:r>
        <w:t xml:space="preserve">Every reported number is written to a JSON file in provenance/ by the script that produced it. The run order is in the appendix.</w:t>
      </w:r>
    </w:p>
    <w:p>
      <w:pPr>
        <w:pStyle w:val="ListParagraph"/>
        <w:numPr>
          <w:ilvl w:val="0"/>
          <w:numId w:val="2"/>
        </w:numPr>
        <w:spacing w:after="60"/>
      </w:pPr>
      <w:r>
        <w:t xml:space="preserve">Generative AI: Claude (Anthropic) assisted with pipeline design, Python and Earth Engine code, data retrieval, QA checks and figures. The project author made the study decisions; the reference labels were made by the two human interpreters.</w:t>
      </w:r>
    </w:p>
    <w:p>
      <w:pPr>
        <w:pStyle w:val="Heading1"/>
      </w:pPr>
      <w:r>
        <w:t xml:space="preserve">14. Limitations to carry into the Methods or Discussion</w:t>
      </w:r>
    </w:p>
    <w:p>
      <w:pPr>
        <w:pStyle w:val="ListParagraph"/>
        <w:numPr>
          <w:ilvl w:val="0"/>
          <w:numId w:val="2"/>
        </w:numPr>
        <w:spacing w:after="60"/>
      </w:pPr>
      <w:r>
        <w:t xml:space="preserve">One post-event Sentinel-2 scene (20 Feb); no field verification.</w:t>
      </w:r>
    </w:p>
    <w:p>
      <w:pPr>
        <w:pStyle w:val="ListParagraph"/>
        <w:numPr>
          <w:ilvl w:val="0"/>
          <w:numId w:val="2"/>
        </w:numPr>
        <w:spacing w:after="60"/>
      </w:pPr>
      <w:r>
        <w:t xml:space="preserve">The high-resolution 'before' image is from 2021–22, so the recent-harvest adjustment depends on Hansen loss year (30 m, annual, with its own errors) and was chosen after the results were seen.</w:t>
      </w:r>
    </w:p>
    <w:p>
      <w:pPr>
        <w:pStyle w:val="ListParagraph"/>
        <w:numPr>
          <w:ilvl w:val="0"/>
          <w:numId w:val="2"/>
        </w:numPr>
        <w:spacing w:after="60"/>
      </w:pPr>
      <w:r>
        <w:t xml:space="preserve">Reference imagery is misregistered from Sentinel-2 by about one pixel (median 8.7 m); this was measured and corrected on the chips, but residual error remains.</w:t>
      </w:r>
    </w:p>
    <w:p>
      <w:pPr>
        <w:pStyle w:val="ListParagraph"/>
        <w:numPr>
          <w:ilvl w:val="0"/>
          <w:numId w:val="2"/>
        </w:numPr>
        <w:spacing w:after="60"/>
      </w:pPr>
      <w:r>
        <w:t xml:space="preserve">Moderate inter-interpreter agreement on 'any loss' (kappa 0.55), although lost fractions agreed closely (mean difference 0.047).</w:t>
      </w:r>
    </w:p>
    <w:p>
      <w:pPr>
        <w:pStyle w:val="ListParagraph"/>
        <w:numPr>
          <w:ilvl w:val="0"/>
          <w:numId w:val="2"/>
        </w:numPr>
        <w:spacing w:after="60"/>
      </w:pPr>
      <w:r>
        <w:t xml:space="preserve">Terrain rates and native-forest loss are map-based (uncorrected); the map overstates loss.</w:t>
      </w:r>
    </w:p>
    <w:p>
      <w:pPr>
        <w:pStyle w:val="ListParagraph"/>
        <w:numPr>
          <w:ilvl w:val="0"/>
          <w:numId w:val="2"/>
        </w:numPr>
        <w:spacing w:after="60"/>
      </w:pPr>
      <w:r>
        <w:t xml:space="preserve">The estate total includes classifier edge pixels (upper bound); some native gully vegetation sits inside the estate, exactly where slips concentrate (handled by the dot labels, but it affects the map).</w:t>
      </w:r>
    </w:p>
    <w:p>
      <w:pPr>
        <w:pStyle w:val="ListParagraph"/>
        <w:numPr>
          <w:ilvl w:val="0"/>
          <w:numId w:val="2"/>
        </w:numPr>
        <w:spacing w:after="60"/>
      </w:pPr>
      <w:r>
        <w:t xml:space="preserve">The sensor comparison uses reference points stratified by the optical map.</w:t>
      </w:r>
    </w:p>
    <w:p>
      <w:pPr>
        <w:pStyle w:val="Heading1"/>
      </w:pPr>
      <w:r>
        <w:t xml:space="preserve">15. For the writer: check or decide before submitting</w:t>
      </w:r>
    </w:p>
    <w:p>
      <w:pPr>
        <w:pStyle w:val="ListParagraph"/>
        <w:numPr>
          <w:ilvl w:val="0"/>
          <w:numId w:val="2"/>
        </w:numPr>
        <w:spacing w:after="60"/>
      </w:pPr>
      <w:r>
        <w:rPr>
          <w:b/>
          <w:bCs/>
        </w:rPr>
        <w:t xml:space="preserve">Block accuracy figures:</w:t>
      </w:r>
      <w:r>
        <w:t xml:space="preserve"> the methods log (§6i) gives bias +0.02, RMSE 0.36 and 80%. Those are from before the B-006/016/056 correction. Use the provenance values in section 9 (+0.049, 0.324, 82%).</w:t>
      </w:r>
    </w:p>
    <w:p>
      <w:pPr>
        <w:pStyle w:val="ListParagraph"/>
        <w:numPr>
          <w:ilvl w:val="0"/>
          <w:numId w:val="2"/>
        </w:numPr>
        <w:spacing w:after="60"/>
      </w:pPr>
      <w:r>
        <w:rPr>
          <w:b/>
          <w:bCs/>
        </w:rPr>
        <w:t xml:space="preserve">Protocol amendment 1</w:t>
      </w:r>
      <w:r>
        <w:t xml:space="preserve"> (a random-forest, model-assisted estimate from the labelled dots) was approved but </w:t>
      </w:r>
      <w:r>
        <w:rPr>
          <w:b/>
          <w:bCs/>
        </w:rPr>
        <w:t xml:space="preserve">not carried out</w:t>
      </w:r>
      <w:r>
        <w:t xml:space="preserve">. Either mention it as a planned secondary analysis left for future work, or drop it; don't imply it was done.</w:t>
      </w:r>
    </w:p>
    <w:p>
      <w:pPr>
        <w:pStyle w:val="ListParagraph"/>
        <w:numPr>
          <w:ilvl w:val="0"/>
          <w:numId w:val="2"/>
        </w:numPr>
        <w:spacing w:after="60"/>
      </w:pPr>
      <w:r>
        <w:rPr>
          <w:b/>
          <w:bCs/>
        </w:rPr>
        <w:t xml:space="preserve">Massey et al. (2025)</w:t>
      </w:r>
      <w:r>
        <w:t xml:space="preserve"> is cited on final-deck slide 16: Massey, C., Leith, K., Robinson, T. R., Lukovic, B., McColl, S., Carey-Smith, T., Rosser, B., Wotherspoon, L., Smith, H., Betts, H., Buxton, R., &amp; Bidmead, J. (2025). What controlled the occurrence of more than 116,000 human-mapped landslides triggered by Cyclone Gabrielle, New Zealand? Landslides, 22(12), 3953–3972. https://doi.org/10.1007/s10346-025-02591-y. Its abstract does not mention harvest age, so check the full text before the report repeats the deck's point that slopes harvested 3–5 years earlier slipped most.</w:t>
      </w:r>
    </w:p>
    <w:p>
      <w:pPr>
        <w:pStyle w:val="ListParagraph"/>
        <w:numPr>
          <w:ilvl w:val="0"/>
          <w:numId w:val="2"/>
        </w:numPr>
        <w:spacing w:after="60"/>
      </w:pPr>
      <w:r>
        <w:rPr>
          <w:b/>
          <w:bCs/>
        </w:rPr>
        <w:t xml:space="preserve">Unverified deck claim:</w:t>
      </w:r>
      <w:r>
        <w:t xml:space="preserve"> takeaways slide 18 says steep and streamside land held under half the plantation but about three-quarters of the loss. No provenance file records this, and 'steep' and 'streamside' are not defined. Recompute it with stated cut-offs or leave it out.</w:t>
      </w:r>
    </w:p>
    <w:p>
      <w:pPr>
        <w:pStyle w:val="ListParagraph"/>
        <w:numPr>
          <w:ilvl w:val="0"/>
          <w:numId w:val="2"/>
        </w:numPr>
        <w:spacing w:after="60"/>
      </w:pPr>
      <w:r>
        <w:t xml:space="preserve">Name interpreter 2 if the group wants that credited.</w:t>
      </w:r>
    </w:p>
    <w:p>
      <w:pPr>
        <w:pStyle w:val="ListParagraph"/>
        <w:numPr>
          <w:ilvl w:val="0"/>
          <w:numId w:val="2"/>
        </w:numPr>
        <w:spacing w:after="60"/>
      </w:pPr>
      <w:r>
        <w:t xml:space="preserve">Wording: use 'young stands and recent cutover' for the young domain, and quote shares as '% of plantation canopy'.</w:t>
      </w:r>
    </w:p>
    <w:p>
      <w:pPr>
        <w:pStyle w:val="Heading1"/>
      </w:pPr>
      <w:r>
        <w:t xml:space="preserve">Appendix: pipeline run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4364"/>
        <w:gridCol w:w="3373"/>
      </w:tblGrid>
      <w:tr>
        <w:trPr>
          <w:tblHeader/>
        </w:trPr>
        <w:tc>
          <w:tcPr>
            <w:tcW w:type="dxa" w:w="1289"/>
            <w:tcBorders>
              <w:top w:val="single" w:color="BFBFBF" w:sz="4"/>
              <w:left w:val="single" w:color="BFBFBF" w:sz="4"/>
              <w:bottom w:val="single" w:color="BFBFBF" w:sz="4"/>
              <w:right w:val="single" w:color="BFBFBF" w:sz="4"/>
            </w:tcBorders>
            <w:shd w:fill="DCE6F0" w:val="clear"/>
            <w:tcMar>
              <w:top w:type="dxa" w:w="60"/>
              <w:left w:type="dxa" w:w="100"/>
              <w:bottom w:type="dxa" w:w="60"/>
              <w:right w:type="dxa" w:w="100"/>
            </w:tcMar>
          </w:tcPr>
          <w:p>
            <w:r>
              <w:rPr>
                <w:b/>
                <w:bCs/>
                <w:sz w:val="18"/>
                <w:szCs w:val="18"/>
              </w:rPr>
              <w:t xml:space="preserve">Stage</w:t>
            </w:r>
          </w:p>
        </w:tc>
        <w:tc>
          <w:tcPr>
            <w:tcW w:type="dxa" w:w="4364"/>
            <w:tcBorders>
              <w:top w:val="single" w:color="BFBFBF" w:sz="4"/>
              <w:left w:val="single" w:color="BFBFBF" w:sz="4"/>
              <w:bottom w:val="single" w:color="BFBFBF" w:sz="4"/>
              <w:right w:val="single" w:color="BFBFBF" w:sz="4"/>
            </w:tcBorders>
            <w:shd w:fill="DCE6F0" w:val="clear"/>
            <w:tcMar>
              <w:top w:type="dxa" w:w="60"/>
              <w:left w:type="dxa" w:w="100"/>
              <w:bottom w:type="dxa" w:w="60"/>
              <w:right w:type="dxa" w:w="100"/>
            </w:tcMar>
          </w:tcPr>
          <w:p>
            <w:r>
              <w:rPr>
                <w:b/>
                <w:bCs/>
                <w:sz w:val="18"/>
                <w:szCs w:val="18"/>
              </w:rPr>
              <w:t xml:space="preserve">Script(s)</w:t>
            </w:r>
          </w:p>
        </w:tc>
        <w:tc>
          <w:tcPr>
            <w:tcW w:type="dxa" w:w="3373"/>
            <w:tcBorders>
              <w:top w:val="single" w:color="BFBFBF" w:sz="4"/>
              <w:left w:val="single" w:color="BFBFBF" w:sz="4"/>
              <w:bottom w:val="single" w:color="BFBFBF" w:sz="4"/>
              <w:right w:val="single" w:color="BFBFBF" w:sz="4"/>
            </w:tcBorders>
            <w:shd w:fill="DCE6F0" w:val="clear"/>
            <w:tcMar>
              <w:top w:type="dxa" w:w="60"/>
              <w:left w:type="dxa" w:w="100"/>
              <w:bottom w:type="dxa" w:w="60"/>
              <w:right w:type="dxa" w:w="100"/>
            </w:tcMar>
          </w:tcPr>
          <w:p>
            <w:r>
              <w:rPr>
                <w:b/>
                <w:bCs/>
                <w:sz w:val="18"/>
                <w:szCs w:val="18"/>
              </w:rPr>
              <w:t xml:space="preserve">Output</w:t>
            </w:r>
          </w:p>
        </w:tc>
      </w:tr>
      <w:tr>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Acquire</w:t>
            </w:r>
          </w:p>
        </w:tc>
        <w:tc>
          <w:tcPr>
            <w:tcW w:type="dxa" w:w="436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s00_find_tiles, s01a_s2_10m</w:t>
            </w:r>
          </w:p>
        </w:tc>
        <w:tc>
          <w:tcPr>
            <w:tcW w:type="dxa" w:w="337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LINZ tile lists; Sentinel-2 pre/post NDVI</w:t>
            </w:r>
          </w:p>
        </w:tc>
      </w:tr>
      <w:tr>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Align</w:t>
            </w:r>
          </w:p>
        </w:tc>
        <w:tc>
          <w:tcPr>
            <w:tcW w:type="dxa" w:w="436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s01_build_stack, s01b_stack_10m, s03_streams</w:t>
            </w:r>
          </w:p>
        </w:tc>
        <w:tc>
          <w:tcPr>
            <w:tcW w:type="dxa" w:w="337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 m stack (DEM, slope, NDVI, NBR, masks); hydrology</w:t>
            </w:r>
          </w:p>
        </w:tc>
      </w:tr>
      <w:tr>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Estate</w:t>
            </w:r>
          </w:p>
        </w:tc>
        <w:tc>
          <w:tcPr>
            <w:tcW w:type="dxa" w:w="436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s08_gee_landuse → s14_lcdb6_clip → s09_estate_condition → s15_baseline_lcdb6</w:t>
            </w:r>
          </w:p>
        </w:tc>
        <w:tc>
          <w:tcPr>
            <w:tcW w:type="dxa" w:w="337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Land-use map; estate, condition and loss classes; LCDB check</w:t>
            </w:r>
          </w:p>
        </w:tc>
      </w:tr>
      <w:tr>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Sample</w:t>
            </w:r>
          </w:p>
        </w:tc>
        <w:tc>
          <w:tcPr>
            <w:tcW w:type="dxa" w:w="436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s17_blocks_sample, s17b_block_chips</w:t>
            </w:r>
          </w:p>
        </w:tc>
        <w:tc>
          <w:tcPr>
            <w:tcW w:type="dxa" w:w="337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130 blocks, offsets, chips, workbooks</w:t>
            </w:r>
          </w:p>
        </w:tc>
      </w:tr>
      <w:tr>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Label</w:t>
            </w:r>
          </w:p>
        </w:tc>
        <w:tc>
          <w:tcPr>
            <w:tcW w:type="dxa" w:w="436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s17d_label_tool, s17f_dot_features, s17g_suggest, s17e_import_labels (manual labelling)</w:t>
            </w:r>
          </w:p>
        </w:tc>
        <w:tc>
          <w:tcPr>
            <w:tcW w:type="dxa" w:w="337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Dot labels, block counts</w:t>
            </w:r>
          </w:p>
        </w:tc>
      </w:tr>
      <w:tr>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Estimate</w:t>
            </w:r>
          </w:p>
        </w:tc>
        <w:tc>
          <w:tcPr>
            <w:tcW w:type="dxa" w:w="436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s17c_block_estimate, s17h_block_checks, s17i_final_estimate</w:t>
            </w:r>
          </w:p>
        </w:tc>
        <w:tc>
          <w:tcPr>
            <w:tcW w:type="dxa" w:w="337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Final estimate, accuracy, agreement, checks</w:t>
            </w:r>
          </w:p>
        </w:tc>
      </w:tr>
      <w:tr>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Compare</w:t>
            </w:r>
          </w:p>
        </w:tc>
        <w:tc>
          <w:tcPr>
            <w:tcW w:type="dxa" w:w="436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s12_gee_sar_alphaearth, s13_indicator_comparison</w:t>
            </w:r>
          </w:p>
        </w:tc>
        <w:tc>
          <w:tcPr>
            <w:tcW w:type="dxa" w:w="337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Sensor AUCs</w:t>
            </w:r>
          </w:p>
        </w:tc>
      </w:tr>
      <w:tr>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Figures</w:t>
            </w:r>
          </w:p>
        </w:tc>
        <w:tc>
          <w:tcPr>
            <w:tcW w:type="dxa" w:w="436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fig_*.py; qgis/layout_*.py</w:t>
            </w:r>
          </w:p>
        </w:tc>
        <w:tc>
          <w:tcPr>
            <w:tcW w:type="dxa" w:w="337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figures/final, figures/clean</w:t>
            </w:r>
          </w:p>
        </w:tc>
      </w:tr>
    </w:tbl>
    <w:p>
      <w:pPr>
        <w:spacing w:after="120"/>
      </w:pPr>
    </w:p>
    <w:p>
      <w:pPr>
        <w:spacing w:after="120"/>
      </w:pPr>
      <w:r>
        <w:t xml:space="preserve">Superseded work (first pixel sample runs, the LCDB5-only comparison, the pixel re-check) is in archive/ with a README; nothing there feeds the final results.</w:t>
      </w:r>
    </w:p>
    <w:p>
      <w:pPr>
        <w:pStyle w:val="Heading1"/>
      </w:pPr>
      <w:r>
        <w:t xml:space="preserve">References</w:t>
      </w:r>
    </w:p>
    <w:p>
      <w:pPr>
        <w:spacing w:after="80"/>
        <w:ind w:left="360" w:hanging="360"/>
      </w:pPr>
      <w:r>
        <w:t xml:space="preserve">Barnes, R., Lehman, C., &amp; Mulla, D. (2014). Priority-flood: An optimal depression-filling and watershed-labeling algorithm for digital elevation models. Computers &amp; Geosciences, 62, 117–127. https://doi.org/10.1016/j.cageo.2013.04.024</w:t>
      </w:r>
    </w:p>
    <w:p>
      <w:pPr>
        <w:spacing w:after="80"/>
        <w:ind w:left="360" w:hanging="360"/>
      </w:pPr>
      <w:r>
        <w:t xml:space="preserve">Brown, C. F., Kazmierski, M. R., Pasquarella, V. J., Rucklidge, W. J., Samsikova, M., Zhang, C., Shelhamer, E., Lahera, E., Wiles, O., Ilyushchenko, S., Gorelick, N., Zhang, L. L., Alj, S., Schechter, E., Askay, S., Guinan, O., Moore, R., Boukouvalas, A., &amp; Kohli, P. (2025). AlphaEarth Foundations: An embedding field model for accurate and efficient global mapping from sparse label data (Version 2). arXiv. https://doi.org/10.48550/arXiv.2507.22291</w:t>
      </w:r>
    </w:p>
    <w:p>
      <w:pPr>
        <w:spacing w:after="80"/>
        <w:ind w:left="360" w:hanging="360"/>
      </w:pPr>
      <w:r>
        <w:t xml:space="preserve">Hansen, M. C., Potapov, P. V., Moore, R., Hancher, M., Turubanova, S. A., Tyukavina, A., Thau, D., Stehman, S. V., Goetz, S. J., Loveland, T. R., Kommareddy, A., Egorov, A., Chini, L., Justice, C. O., &amp; Townshend, J. R. G. (2013). High-resolution global maps of 21st-century forest cover change. Science, 342(6160), 850–853. https://doi.org/10.1126/science.1244693</w:t>
      </w:r>
    </w:p>
    <w:p>
      <w:pPr>
        <w:spacing w:after="80"/>
        <w:ind w:left="360" w:hanging="360"/>
      </w:pPr>
      <w:r>
        <w:t xml:space="preserve">Law, R. (2025). LCDB v6.0 – Land Cover Database version 6.0, Mainland, New Zealand [Data set]. Manaaki Whenua – Landcare Research. https://doi.org/10.26060/WM99-RY32</w:t>
      </w:r>
    </w:p>
    <w:p>
      <w:pPr>
        <w:spacing w:after="80"/>
        <w:ind w:left="360" w:hanging="360"/>
      </w:pPr>
      <w:r>
        <w:t xml:space="preserve">McMillan, A., Dymond, J., Jolly, B., Shepherd, J., &amp; Sutherland, A. (2023). Rapid assessment of land damage – Cyclone Gabrielle (Contract Report LC4292). Manaaki Whenua – Landcare Research, prepared for the Ministry for the Environment. https://environment.govt.nz/assets/Rapid-assessment-of-land-damage-Cyclone-Gabrielle-Manaaki-Whenua-Landcare-Research-report.pdf</w:t>
      </w:r>
    </w:p>
    <w:p>
      <w:pPr>
        <w:spacing w:after="80"/>
        <w:ind w:left="360" w:hanging="360"/>
      </w:pPr>
      <w:r>
        <w:t xml:space="preserve">Notti, D. (2026). Potential Shallow Landslides (PL) inventory based on Sentinel-2 imagery for the 2024 Noto Earthquake (Japan) and 2023 Cyclone Gabrielle (New Zealand) (Version 1.0) [Data set]. Zenodo. https://doi.org/10.5281/zenodo.22661524</w:t>
      </w:r>
    </w:p>
    <w:p>
      <w:pPr>
        <w:spacing w:after="80"/>
        <w:ind w:left="360" w:hanging="360"/>
      </w:pPr>
      <w:r>
        <w:t xml:space="preserve">Olofsson, P., Foody, G. M., Herold, M., Stehman, S. V., Woodcock, C. E., &amp; Wulder, M. A. (2014). Good practices for estimating area and assessing accuracy of land change. Remote Sensing of Environment, 148, 42–57. https://doi.org/10.1016/j.rse.2014.02.015</w:t>
      </w:r>
    </w:p>
    <w:p>
      <w:pPr>
        <w:spacing w:after="120"/>
      </w:pPr>
      <w:r>
        <w:rPr>
          <w:b/>
          <w:bCs/>
        </w:rPr>
        <w:t xml:space="preserve">Data credits:</w:t>
      </w:r>
      <w:r>
        <w:t xml:space="preserve"> Copernicus Sentinel-2 and Sentinel-1 (ESA); AlphaEarth Satellite Embedding V1 annual (GOOGLE/SATELLITE_EMBEDDING/V1/ANNUAL, Google Earth Engine); LiDAR DEM and aerial and satellite imagery from LINZ and HBRC (CC BY 4.0); Forestry Catchment Planner; HBRC Biodiversity priority sites.</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Methods outline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pPr>
    <w:rPr>
      <w:rFonts w:ascii="Arial" w:cs="Arial" w:eastAsia="Arial" w:hAnsi="Arial"/>
      <w:b/>
      <w:bCs/>
      <w:color w:val="1F3864"/>
      <w:sz w:val="34"/>
      <w:szCs w:val="34"/>
    </w:rPr>
  </w:style>
  <w:style w:type="paragraph" w:styleId="Heading1">
    <w:name w:val="Heading 1"/>
    <w:basedOn w:val="Normal"/>
    <w:next w:val="Normal"/>
    <w:qFormat/>
    <w:pPr>
      <w:spacing w:after="120" w:before="280"/>
      <w:outlineLvl w:val="0"/>
    </w:pPr>
    <w:rPr>
      <w:rFonts w:ascii="Arial" w:cs="Arial" w:eastAsia="Arial" w:hAnsi="Arial"/>
      <w:b/>
      <w:bCs/>
      <w:color w:val="1F3864"/>
      <w:sz w:val="26"/>
      <w:szCs w:val="26"/>
    </w:rPr>
  </w:style>
  <w:style w:type="paragraph" w:styleId="Heading2">
    <w:name w:val="Heading 2"/>
    <w:basedOn w:val="Normal"/>
    <w:next w:val="Normal"/>
    <w:qFormat/>
    <w:pPr>
      <w:spacing w:after="80" w:before="180"/>
      <w:outlineLvl w:val="1"/>
    </w:pPr>
    <w:rPr>
      <w:rFonts w:ascii="Arial" w:cs="Arial" w:eastAsia="Arial" w:hAnsi="Arial"/>
      <w:b/>
      <w:bCs/>
      <w:color w:val="2E5597"/>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Methods outline: Esk plantation canopy loss</dc:title>
  <dc:creator>FORE448 group</dc:creator>
  <cp:lastModifiedBy>Un-named</cp:lastModifiedBy>
  <cp:revision>1</cp:revision>
  <dcterms:created xsi:type="dcterms:W3CDTF">2026-09-29T23:41:43.836Z</dcterms:created>
  <dcterms:modified xsi:type="dcterms:W3CDTF">2026-09-29T23:41:43.841Z</dcterms:modified>
</cp:coreProperties>
</file>

<file path=docProps/custom.xml><?xml version="1.0" encoding="utf-8"?>
<Properties xmlns="http://schemas.openxmlformats.org/officeDocument/2006/custom-properties" xmlns:vt="http://schemas.openxmlformats.org/officeDocument/2006/docPropsVTypes"/>
</file>