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B7585"/>
          <w:spacing w:val="30"/>
          <w:sz w:val="16"/>
          <w:szCs w:val="16"/>
        </w:rPr>
        <w:t xml:space="preserve">RELATÓRIO EXECUTIVO</w:t>
      </w:r>
    </w:p>
    <w:p>
      <w:pPr>
        <w:spacing w:after="30"/>
      </w:pPr>
      <w:r>
        <w:rPr>
          <w:b/>
          <w:bCs/>
          <w:color w:val="1E2A44"/>
          <w:sz w:val="30"/>
          <w:szCs w:val="30"/>
        </w:rPr>
        <w:t xml:space="preserve">Inteligência de Mercado de Insumos Florestais</w:t>
      </w:r>
    </w:p>
    <w:p>
      <w:pPr>
        <w:pBdr>
          <w:bottom w:val="single" w:color="1E2A44" w:sz="12" w:space="4"/>
        </w:pBdr>
        <w:spacing w:after="60"/>
      </w:pPr>
      <w:r>
        <w:rPr>
          <w:color w:val="6B7585"/>
          <w:sz w:val="17"/>
          <w:szCs w:val="17"/>
        </w:rPr>
        <w:t xml:space="preserve">Equipe de Planejamento, Controle e Pesquisa Florestal  ·  Referência: Ago/2026  ·  Gerado em 11/08/2026, 17:02:16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1. Sumário Executivo</w:t>
      </w:r>
    </w:p>
    <w:p>
      <w:pPr>
        <w:spacing w:after="120"/>
        <w:jc w:val="both"/>
      </w:pPr>
      <w:r>
        <w:rPr>
          <w:sz w:val="19"/>
          <w:szCs w:val="19"/>
        </w:rPr>
        <w:t xml:space="preserve">Leitura de Ago/2026. </w:t>
      </w:r>
      <w:r>
        <w:rPr>
          <w:sz w:val="19"/>
          <w:szCs w:val="19"/>
        </w:rPr>
        <w:t xml:space="preserve">Ureia FOB em US$ 418/t (-14,8%), MAP US$ 828/t e KCl US$ 359/t. </w:t>
      </w:r>
      <w:r>
        <w:rPr>
          <w:sz w:val="19"/>
          <w:szCs w:val="19"/>
        </w:rPr>
        <w:t xml:space="preserve">O dólar está em R$ 5,13 (-1,2%) e a soja CEPEA em R$ 137,44/saca. </w:t>
      </w:r>
      <w:r>
        <w:rPr>
          <w:sz w:val="19"/>
          <w:szCs w:val="19"/>
        </w:rPr>
        <w:t xml:space="preserve">A relação de troca soja/MAP é de 31,8 sacas/t.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2. Preços de Fertilizantes (FOB) e Variação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  <w:gridCol w:w="29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Fertilizante (FOB)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Preço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Observação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Ureia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US$ 418/t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-14,8%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Nitrogenado · ref. jul/26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MAP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US$ 828/t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+29,4%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Fosfatado · ref. jul/26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Cloreto de Potássio (KCl)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US$ 359/t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+9,4%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Potássico · ref. jul/26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3. Soja e Relação de Troca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CEPEA (Nacional)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R$ 137,44/sc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+1,3%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Tocantins (Agrolink)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R$ 128,75/sc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-0,9%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Spread regional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Soja/MAP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31,8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+19,1%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Piora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Soja/Ureia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16,3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Indicativo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4. Indicadores Macroeconômicos (Drivers)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Driver macro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Efeito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Dólar (R$/US$)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5,13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-1,2%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Gás Natural (Henry Hub)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US$ 2,81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-9,4%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Pressiona ureia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Frete Marítimo (BDI)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3.083 pts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+15,5%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Diesel S10 (ANP)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R$ 7,09/L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Frete interno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5. Principais Variações do Período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MAP: </w:t>
      </w:r>
      <w:r>
        <w:rPr>
          <w:sz w:val="18"/>
          <w:szCs w:val="18"/>
        </w:rPr>
        <w:t xml:space="preserve">alta de +29,4% no período.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BDI: </w:t>
      </w:r>
      <w:r>
        <w:rPr>
          <w:sz w:val="18"/>
          <w:szCs w:val="18"/>
        </w:rPr>
        <w:t xml:space="preserve">alta de +15,5% no período.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Ureia: </w:t>
      </w:r>
      <w:r>
        <w:rPr>
          <w:sz w:val="18"/>
          <w:szCs w:val="18"/>
        </w:rPr>
        <w:t xml:space="preserve">queda de -14,8% no período.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KCl: </w:t>
      </w:r>
      <w:r>
        <w:rPr>
          <w:sz w:val="18"/>
          <w:szCs w:val="18"/>
        </w:rPr>
        <w:t xml:space="preserve">alta de +9,4% no período.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6. Contexto de Mercado — Causas da Alta e Perspectivas</w:t>
      </w:r>
    </w:p>
    <w:p>
      <w:pPr>
        <w:spacing w:after="60"/>
      </w:pPr>
      <w:r>
        <w:rPr>
          <w:b/>
          <w:bCs/>
          <w:color w:val="1E2A44"/>
          <w:sz w:val="18"/>
          <w:szCs w:val="18"/>
        </w:rPr>
        <w:t xml:space="preserve">Por que os fertilizantes subiram — e o que esperar · atualizado em Agosto/2026 · revisão manual.</w:t>
      </w:r>
    </w:p>
    <w:p>
      <w:pPr>
        <w:spacing w:after="60"/>
        <w:jc w:val="both"/>
      </w:pPr>
      <w:r>
        <w:rPr>
          <w:sz w:val="18"/>
          <w:szCs w:val="18"/>
        </w:rPr>
        <w:t xml:space="preserve">A alta de 2026, concentrada nos nitrogenados (ureia), foi puxada pela combinação de conflito no Oriente Médio, gás natural mais caro e restrições de exportação de China e Rússia, sobre uma base de forte dependência brasileira de importação (~85%).</w:t>
      </w:r>
    </w:p>
    <w:p>
      <w:pPr>
        <w:spacing w:after="80"/>
      </w:pPr>
      <w:r>
        <w:rPr>
          <w:i/>
          <w:iCs/>
          <w:color w:val="6B7585"/>
          <w:sz w:val="17"/>
          <w:szCs w:val="17"/>
        </w:rPr>
        <w:t xml:space="preserve">Leitura automática — último fechamento (jul/26): Ureia -14,8%, MAP +29,4%, KCl +9,4% ante o mês anterior.</w:t>
      </w:r>
    </w:p>
    <w:p>
      <w:pPr>
        <w:spacing w:after="40"/>
      </w:pPr>
      <w:r>
        <w:rPr>
          <w:b/>
          <w:bCs/>
          <w:color w:val="1E2A44"/>
          <w:sz w:val="18"/>
          <w:szCs w:val="18"/>
        </w:rPr>
        <w:t xml:space="preserve">Principais causas da alta: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Conflito no Oriente Médio (Irã): </w:t>
      </w:r>
      <w:r>
        <w:rPr>
          <w:sz w:val="17"/>
          <w:szCs w:val="17"/>
        </w:rPr>
        <w:t xml:space="preserve">A região concentra cerca de 40% do comércio marítimo global de ureia e é fornecedora relevante de nitrogenados ao Brasil. Tensões envolvendo o Irã e a interrupção de rotas no Estreito de Ormuz elevaram o risco de desabastecimento e os custos.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Gás natural mais caro: </w:t>
      </w:r>
      <w:r>
        <w:rPr>
          <w:sz w:val="17"/>
          <w:szCs w:val="17"/>
        </w:rPr>
        <w:t xml:space="preserve">É a principal matéria-prima da amônia e da ureia. Energia mais cara encarece diretamente a produção dos nitrogenados.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Restrições de exportação (China e Rússia): </w:t>
      </w:r>
      <w:r>
        <w:rPr>
          <w:sz w:val="17"/>
          <w:szCs w:val="17"/>
        </w:rPr>
        <w:t xml:space="preserve">A China segurou vendas de fosfatados e de ureia para priorizar o abastecimento interno; a Rússia também limitou embarques. Como o Brasil importa cerca de 85% dos fertilizantes, essas restrições pressionam preço e oferta.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Frete marítimo elevado: </w:t>
      </w:r>
      <w:r>
        <w:rPr>
          <w:sz w:val="17"/>
          <w:szCs w:val="17"/>
        </w:rPr>
        <w:t xml:space="preserve">O desvio de rotas por conta do Estreito de Ormuz e a alta do petróleo encareceram o transporte, somando-se ao custo do produto na chegada ao Brasil.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Demanda global forte na janela de compras: </w:t>
      </w:r>
      <w:r>
        <w:rPr>
          <w:sz w:val="17"/>
          <w:szCs w:val="17"/>
        </w:rPr>
        <w:t xml:space="preserve">A ampliação de compras de EUA, Índia e Brasil para a safra 2026/27 sustentou as cotações internacionais no momento em que o país mais precisa importar.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Fosfatados e escassez de enxofre: </w:t>
      </w:r>
      <w:r>
        <w:rPr>
          <w:sz w:val="17"/>
          <w:szCs w:val="17"/>
        </w:rPr>
        <w:t xml:space="preserve">Além da retração chinesa, a oferta restrita de fosfato e a falta de enxofre no mercado internacional mantêm o MAP pressionado.</w:t>
      </w:r>
    </w:p>
    <w:p>
      <w:pPr>
        <w:spacing w:after="80" w:before="40"/>
        <w:jc w:val="both"/>
      </w:pPr>
      <w:r>
        <w:rPr>
          <w:sz w:val="17"/>
          <w:szCs w:val="17"/>
        </w:rPr>
        <w:t xml:space="preserve">Segundo o Banco Central, a ureia granular entregue no Brasil subiu cerca de 50% em maio ante a média de jan–fev/2026; no mesmo intervalo o MAP avançou ~29,7% e o KCl ~9,7% — evidência de que a pressão foi maior nos nitrogenados. O Itaú BBA chegou a apontar ureia a US$ 710/t no porto brasileiro, alta de ~50% em 30 dias.</w:t>
      </w:r>
    </w:p>
    <w:p>
      <w:pPr>
        <w:spacing w:after="40" w:before="40"/>
      </w:pPr>
      <w:r>
        <w:rPr>
          <w:b/>
          <w:bCs/>
          <w:color w:val="1E2A44"/>
          <w:sz w:val="18"/>
          <w:szCs w:val="18"/>
        </w:rPr>
        <w:t xml:space="preserve">O que esperar nos próximos meses: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O cenário ficou menos turbulento a partir de julho, com a retomada das exportações de ureia pela China e a redução das tensões geopolíticas — mas o mercado segue muito sensível a qualquer mudança externa.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Para o 3º trimestre de 2026, a StoneX projeta que a normalização gradual da navegação por Ormuz e o retorno das exportações chinesas melhorem o abastecimento mundial, com fundamentos distintos por segmento.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Nitrogenados: podem ter recuperação de preços com a recomposição de estoques e a volta da demanda global. Fosfatados: seguem pressionados pela oferta restrita e pelo enxofre caro. Potássio (KCl): mercado relativamente equilibrado.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Estratégia sugerida por analistas: escalonar as compras, avançar mais no potássio e fazer aquisições parciais de nitrogênio e fósforo, aproveitando janelas e relações de troca favoráveis, em vez de tentar acertar o menor preço.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Riscos a monitorar: evolução do conflito no Oriente Médio, novas restrições da China (há rumores inclusive sobre sulfato de amônio, 100% importado do país) e a taxa de câmbio.</w:t>
      </w:r>
    </w:p>
    <w:p>
      <w:pPr>
        <w:spacing w:after="20" w:before="60"/>
      </w:pPr>
      <w:r>
        <w:rPr>
          <w:b/>
          <w:bCs/>
          <w:color w:val="1E2A44"/>
          <w:sz w:val="17"/>
          <w:szCs w:val="17"/>
        </w:rPr>
        <w:t xml:space="preserve">Notícias recentes do mercado (atualização automática):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04/08/2026 — El Niño reforça importância da nutrição das plantas para reduzir perdas no campo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30/06/2026 — Mercado de fertilizantes amplia movimento de baixa com recuo da ureia, MAP e cloreto de potássio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19/06/2026 — Importação dos EUA de fertilizante com origem no Oriente Médio zera em maio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16/06/2026 — Ureia cai mais de 40% e volta ao nível pré-crise com avanço de acordo entre EUA e Irã</w:t>
      </w:r>
    </w:p>
    <w:p>
      <w:pPr>
        <w:spacing w:after="20" w:before="60"/>
      </w:pPr>
      <w:r>
        <w:rPr>
          <w:b/>
          <w:bCs/>
          <w:color w:val="6B7585"/>
          <w:sz w:val="16"/>
          <w:szCs w:val="16"/>
        </w:rPr>
        <w:t xml:space="preserve">Fontes desta análise:</w:t>
      </w:r>
    </w:p>
    <w:p>
      <w:pPr>
        <w:spacing w:after="40"/>
      </w:pPr>
      <w:r>
        <w:rPr>
          <w:color w:val="6B7585"/>
          <w:sz w:val="15"/>
          <w:szCs w:val="15"/>
        </w:rPr>
        <w:t xml:space="preserve">Itaú BBA / CNN Brasil — ureia a US$ 710/t no porto (+50% em 30 dias) (abr/2026); Banco Central, via Agrolink — ureia +50%, MAP +29,7%, KCl +9,7% em maio (ago/2026); CEPEA-Esalq/USP — Oriente Médio concentra ~40% do comércio marítimo de ureia (2026); StoneX — perspectivas de fertilizantes para o 3º trimestre de 2026 (jul/2026); Gazeta do Povo — restrições de China e Rússia e dependência brasileira (~85%) (abr/2026).</w:t>
      </w:r>
    </w:p>
    <w:p>
      <w:pPr>
        <w:spacing w:after="40"/>
      </w:pPr>
      <w:r>
        <w:rPr>
          <w:i/>
          <w:iCs/>
          <w:color w:val="6B7585"/>
          <w:sz w:val="15"/>
          <w:szCs w:val="15"/>
        </w:rPr>
        <w:t xml:space="preserve">Análise de contexto com caráter informativo, revisada manualmente. As datas e cenários mudam; confirme com as fontes antes de decisões de compra.</w:t>
      </w:r>
    </w:p>
    <w:p>
      <w:pPr>
        <w:spacing w:after="40" w:before="60"/>
      </w:pPr>
      <w:r>
        <w:rPr>
          <w:i/>
          <w:iCs/>
          <w:color w:val="6B7585"/>
          <w:sz w:val="15"/>
          <w:szCs w:val="15"/>
        </w:rPr>
        <w:t xml:space="preserve">Observação: as causas qualitativas (notícias, geopolítica, safra) devem ser revisadas manualmente — este resumo é gerado a partir das variações numéricas.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7. Fontes e Notas Metodológicas</w:t>
      </w:r>
    </w:p>
    <w:p>
      <w:pPr>
        <w:spacing w:after="40"/>
      </w:pPr>
      <w:r>
        <w:rPr>
          <w:color w:val="6B7585"/>
          <w:sz w:val="15"/>
          <w:szCs w:val="15"/>
        </w:rPr>
        <w:t xml:space="preserve">Fontes automáticas: AwesomeAPI (câmbio), CEPEA/ESALQ (soja), ANP (diesel), stooq (BDI). Fertilizantes e gás natural: override manual (fertilizers-override.json). Status desta execução: {"bdi":"ok (HANDYBULK, 10/08/2026)","soja":"ok (Noticias Agricolas / CEPEA-PR 10/08/2026)","sojaRegional":"ok (Oeste da Bahia/BA (AIBA))","cambio":"ok (BCB PTAX)","diesel":"falha: Petrobras: HTTP 403 | PortalCanaa: HTTP 403","_comexPeriodo":"com-filtro-ncm | 2026-07 | 4 linhas","_comexNcmsEncontrados":"31042090,31021010,31054000,31042010","ureia":"ok (ComexStat 2026-07)","map":"ok (ComexStat 2026-07)","kcl":"ok (ComexStat 2026-07)","gas":"ok (EIA Henry Hub)","noticias":"ok (40 de https://www.noticiasagricolas.com.br/tags/fertilizantes/)"}.</w:t>
      </w:r>
    </w:p>
    <w:p>
      <w:r>
        <w:rPr>
          <w:color w:val="6B7585"/>
          <w:sz w:val="15"/>
          <w:szCs w:val="15"/>
        </w:rPr>
        <w:t xml:space="preserve">Notas: preços FOB de fertilizantes usam benchmark de importação (COMEX) e dependem de atualização manual periódica. Variações são calculadas frente à leitura anterior registrada. Relações de troca são derivadas (preço FOB em R$ ÷ preço da soja) e têm caráter indicativo.</w:t>
      </w:r>
    </w:p>
    <w:sectPr>
      <w:headerReference w:type="default" r:id="rId7"/>
      <w:footerReference w:type="default" r:id="rId8"/>
      <w:pgSz w:w="12240" w:h="15840" w:orient="portrait"/>
      <w:pgMar w:top="1500" w:right="1440" w:bottom="1080" w:left="1440" w:header="48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jc w:val="center"/>
    </w:pPr>
    <w:r>
      <w:rPr>
        <w:color w:val="6B7585"/>
        <w:sz w:val="15"/>
        <w:szCs w:val="15"/>
      </w:rPr>
      <w:t xml:space="preserve">Inteligência de Mercado · Ago/2026  ·  Página </w:t>
    </w:r>
    <w:r>
      <w:rPr>
        <w:color w:val="6B758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6B7585"/>
        <w:sz w:val="15"/>
        <w:szCs w:val="15"/>
      </w:rPr>
      <w:t xml:space="preserve"> de </w:t>
    </w:r>
    <w:r>
      <w:rPr>
        <w:color w:val="6B758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600200" cy="571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d544d50b38efcc008037490f810a17aff9ecda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Executivo — Inteligência de Mercado de Insumos Florestais</dc:title>
  <dc:creator>Equipe de Planejamento, Controle e Pesquisa Florestal</dc:creator>
  <cp:lastModifiedBy>Un-named</cp:lastModifiedBy>
  <cp:revision>1</cp:revision>
  <dcterms:created xsi:type="dcterms:W3CDTF">2026-08-11T17:02:17.113Z</dcterms:created>
  <dcterms:modified xsi:type="dcterms:W3CDTF">2026-08-11T17:02:17.113Z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