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6B7585"/>
          <w:spacing w:val="30"/>
          <w:sz w:val="16"/>
          <w:szCs w:val="16"/>
        </w:rPr>
        <w:t xml:space="preserve">RELATÓRIO EXECUTIVO</w:t>
      </w:r>
    </w:p>
    <w:p>
      <w:pPr>
        <w:spacing w:after="30"/>
      </w:pPr>
      <w:r>
        <w:rPr>
          <w:b/>
          <w:bCs/>
          <w:color w:val="1E2A44"/>
          <w:sz w:val="30"/>
          <w:szCs w:val="30"/>
        </w:rPr>
        <w:t xml:space="preserve">Inteligência de Mercado de Insumos Florestais</w:t>
      </w:r>
    </w:p>
    <w:p>
      <w:pPr>
        <w:pBdr>
          <w:bottom w:val="single" w:color="1E2A44" w:sz="12" w:space="4"/>
        </w:pBdr>
        <w:spacing w:after="60"/>
      </w:pPr>
      <w:r>
        <w:rPr>
          <w:color w:val="6B7585"/>
          <w:sz w:val="17"/>
          <w:szCs w:val="17"/>
        </w:rPr>
        <w:t xml:space="preserve">Equipe de Planejamento, Controle e Pesquisa Florestal  ·  Referência: Set/2026  ·  Gerado em 15/09/2026, 10:52:38</w:t>
      </w:r>
    </w:p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1. Sumário Executivo</w:t>
      </w:r>
    </w:p>
    <w:p>
      <w:pPr>
        <w:spacing w:after="120"/>
        <w:jc w:val="both"/>
      </w:pPr>
      <w:r>
        <w:rPr>
          <w:sz w:val="19"/>
          <w:szCs w:val="19"/>
        </w:rPr>
        <w:t xml:space="preserve">Leitura de Set/2026. </w:t>
      </w:r>
      <w:r>
        <w:rPr>
          <w:sz w:val="19"/>
          <w:szCs w:val="19"/>
        </w:rPr>
        <w:t xml:space="preserve">Ureia FOB em US$ 491/t (+18,9%), MAP US$ 640/t e KCl US$ 328/t. </w:t>
      </w:r>
      <w:r>
        <w:rPr>
          <w:sz w:val="19"/>
          <w:szCs w:val="19"/>
        </w:rPr>
        <w:t xml:space="preserve">O dólar está em R$ 5,17 (+1,6%) e a soja CEPEA em R$ 152,90/saca. </w:t>
      </w:r>
      <w:r>
        <w:rPr>
          <w:sz w:val="19"/>
          <w:szCs w:val="19"/>
        </w:rPr>
        <w:t xml:space="preserve">A relação de troca soja/MAP é de 22,4 sacas/t.</w:t>
      </w:r>
    </w:p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2. Preços de Fertilizantes (FOB) e Variação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Fertilizante (FOB)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Preço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Ureia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US$ 491/t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23636"/>
                <w:sz w:val="18"/>
                <w:szCs w:val="18"/>
              </w:rPr>
              <w:t xml:space="preserve">+18,9%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Nitrogenado · ref. ago/26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US$ 640/t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8A5F"/>
                <w:sz w:val="18"/>
                <w:szCs w:val="18"/>
              </w:rPr>
              <w:t xml:space="preserve">-23,3%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Fosfatado · ref. ago/26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Cloreto de Potássio (KCl)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US$ 328/t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8A5F"/>
                <w:sz w:val="18"/>
                <w:szCs w:val="18"/>
              </w:rPr>
              <w:t xml:space="preserve">-6,8%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Potássico · ref. ago/26</w:t>
            </w:r>
          </w:p>
        </w:tc>
      </w:tr>
    </w:tbl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3. Soja e Relação de Troca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Atual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Soja CEPEA (Nacional)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R$ 152,90/sc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6B7585"/>
                <w:sz w:val="18"/>
                <w:szCs w:val="18"/>
              </w:rPr>
              <w:t xml:space="preserve">+0,1%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Soja Tocantins (Agrolink)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R$ 146,00/sc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23636"/>
                <w:sz w:val="18"/>
                <w:szCs w:val="18"/>
              </w:rPr>
              <w:t xml:space="preserve">-2,0%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Spread regional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Troca Soja/MAP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22,4 sc/t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8A5F"/>
                <w:sz w:val="18"/>
                <w:szCs w:val="18"/>
              </w:rPr>
              <w:t xml:space="preserve">-21,7%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Melhora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Troca Soja/Ureia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17,3 sc/t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color w:val="6B758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Indicativo</w:t>
            </w:r>
          </w:p>
        </w:tc>
      </w:tr>
    </w:tbl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4. Indicadores Macroeconômicos (Drivers)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Driver macro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Atual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4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Efeito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Dólar (R$/US$)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5,17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23636"/>
                <w:sz w:val="18"/>
                <w:szCs w:val="18"/>
              </w:rPr>
              <w:t xml:space="preserve">+1,6%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Custo de importação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Gás Natural (Henry Hub)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US$ 2,81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6B7585"/>
                <w:sz w:val="18"/>
                <w:szCs w:val="18"/>
              </w:rPr>
              <w:t xml:space="preserve">0,0%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Pressiona ureia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Frete Marítimo (BDI)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3.445 pts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8A5F"/>
                <w:sz w:val="18"/>
                <w:szCs w:val="18"/>
              </w:rPr>
              <w:t xml:space="preserve">-1,8%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Custo de importação</w:t>
            </w:r>
          </w:p>
        </w:tc>
      </w:tr>
    </w:tbl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5. Principais Variações do Período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8"/>
          <w:szCs w:val="18"/>
        </w:rPr>
        <w:t xml:space="preserve">MAP: </w:t>
      </w:r>
      <w:r>
        <w:rPr>
          <w:sz w:val="18"/>
          <w:szCs w:val="18"/>
        </w:rPr>
        <w:t xml:space="preserve">queda de -23,3% no período.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8"/>
          <w:szCs w:val="18"/>
        </w:rPr>
        <w:t xml:space="preserve">Ureia: </w:t>
      </w:r>
      <w:r>
        <w:rPr>
          <w:sz w:val="18"/>
          <w:szCs w:val="18"/>
        </w:rPr>
        <w:t xml:space="preserve">alta de +18,9% no período.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8"/>
          <w:szCs w:val="18"/>
        </w:rPr>
        <w:t xml:space="preserve">KCl: </w:t>
      </w:r>
      <w:r>
        <w:rPr>
          <w:sz w:val="18"/>
          <w:szCs w:val="18"/>
        </w:rPr>
        <w:t xml:space="preserve">queda de -6,8% no período.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8"/>
          <w:szCs w:val="18"/>
        </w:rPr>
        <w:t xml:space="preserve">BDI: </w:t>
      </w:r>
      <w:r>
        <w:rPr>
          <w:sz w:val="18"/>
          <w:szCs w:val="18"/>
        </w:rPr>
        <w:t xml:space="preserve">queda de -1,8% no período.</w:t>
      </w:r>
    </w:p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6. Contexto de Mercado — Causas da Alta e Perspectivas</w:t>
      </w:r>
    </w:p>
    <w:p>
      <w:pPr>
        <w:spacing w:after="60"/>
      </w:pPr>
      <w:r>
        <w:rPr>
          <w:b/>
          <w:bCs/>
          <w:color w:val="1E2A44"/>
          <w:sz w:val="18"/>
          <w:szCs w:val="18"/>
        </w:rPr>
        <w:t xml:space="preserve">Por que os fertilizantes subiram — e o que esperar · atualizado em Setembro/2026 · revisão manual.</w:t>
      </w:r>
    </w:p>
    <w:p>
      <w:pPr>
        <w:spacing w:after="60"/>
        <w:jc w:val="both"/>
      </w:pPr>
      <w:r>
        <w:rPr>
          <w:sz w:val="18"/>
          <w:szCs w:val="18"/>
        </w:rPr>
        <w:t xml:space="preserve">Em setembro o quadro é de alívio parcial, não de normalização: os preços recuaram dos picos e a China voltou a exportar, mas a oferta segue apertada — sobretudo nos fosfatados (MAP) — e o abastecimento da safra 2026/27 virou a principal preocupação, com importações atrasadas e o governo atuando na logística dos portos.</w:t>
      </w:r>
    </w:p>
    <w:p>
      <w:pPr>
        <w:spacing w:after="80"/>
      </w:pPr>
      <w:r>
        <w:rPr>
          <w:i/>
          <w:iCs/>
          <w:color w:val="6B7585"/>
          <w:sz w:val="17"/>
          <w:szCs w:val="17"/>
        </w:rPr>
        <w:t xml:space="preserve">Leitura automática — último fechamento (ago/26): Ureia +18,9%, MAP -23,3%, KCl -6,8% ante o mês anterior.</w:t>
      </w:r>
    </w:p>
    <w:p>
      <w:pPr>
        <w:spacing w:after="40"/>
      </w:pPr>
      <w:r>
        <w:rPr>
          <w:b/>
          <w:bCs/>
          <w:color w:val="1E2A44"/>
          <w:sz w:val="18"/>
          <w:szCs w:val="18"/>
        </w:rPr>
        <w:t xml:space="preserve">Principais causas da alta: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7"/>
          <w:szCs w:val="17"/>
        </w:rPr>
        <w:t xml:space="preserve">Fosfatados (MAP) ainda pressionados: </w:t>
      </w:r>
      <w:r>
        <w:rPr>
          <w:sz w:val="17"/>
          <w:szCs w:val="17"/>
        </w:rPr>
        <w:t xml:space="preserve">É o segmento mais crítico. As importações brasileiras de MAP caíram cerca de 24% no 1º semestre; a oferta chinesa, mesmo com retomada parcial, ainda é limitada, e a escassez de enxofre (matéria-prima do MAP) mantém o custo alto.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7"/>
          <w:szCs w:val="17"/>
        </w:rPr>
        <w:t xml:space="preserve">Escassez de enxofre: </w:t>
      </w:r>
      <w:r>
        <w:rPr>
          <w:sz w:val="17"/>
          <w:szCs w:val="17"/>
        </w:rPr>
        <w:t xml:space="preserve">Insumo essencial dos fosfatados, o enxofre saltou de cerca de US$ 100/t no pré-guerra para a faixa de US$ 1.200/t, levando fábricas a reduzir produção e apertando ainda mais a oferta de MAP.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7"/>
          <w:szCs w:val="17"/>
        </w:rPr>
        <w:t xml:space="preserve">China retomou exportações (alívio parcial): </w:t>
      </w:r>
      <w:r>
        <w:rPr>
          <w:sz w:val="17"/>
          <w:szCs w:val="17"/>
        </w:rPr>
        <w:t xml:space="preserve">A volta gradual dos embarques chineses trouxe algum alívio a nitrogenados e fosfatados, mas ainda não elimina o risco de desabastecimento para a safra 2026/27.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7"/>
          <w:szCs w:val="17"/>
        </w:rPr>
        <w:t xml:space="preserve">Importações atrasadas e cautelosas: </w:t>
      </w:r>
      <w:r>
        <w:rPr>
          <w:sz w:val="17"/>
          <w:szCs w:val="17"/>
        </w:rPr>
        <w:t xml:space="preserve">No 1º semestre os desembarques totais caíram ~8,6% (ureia −32%, MAP −24%), com compradores adiando negócios diante da volatilidade e da relação de troca ruim. O tempo para garantir o abastecimento do plantio (set–out) ficou curto.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7"/>
          <w:szCs w:val="17"/>
        </w:rPr>
        <w:t xml:space="preserve">Oriente Médio e logística: </w:t>
      </w:r>
      <w:r>
        <w:rPr>
          <w:sz w:val="17"/>
          <w:szCs w:val="17"/>
        </w:rPr>
        <w:t xml:space="preserve">As tensões e a disrupção de rotas ligadas ao Estreito de Ormuz afetaram ureia, amônia, enxofre e fosfatos, e ainda pesam sobre o frete e a previsibilidade das entregas.</w:t>
      </w:r>
    </w:p>
    <w:p>
      <w:pPr>
        <w:spacing w:after="80" w:before="40"/>
        <w:jc w:val="both"/>
      </w:pPr>
      <w:r>
        <w:rPr>
          <w:sz w:val="17"/>
          <w:szCs w:val="17"/>
        </w:rPr>
        <w:t xml:space="preserve">No 1º semestre de 2026 as importações brasileiras das principais matérias-primas caíram ~8,6%, com ureia −32%, MAP −24% e enxofre −42% (StoneX). A ureia recuou dos picos do meio do ano, mas a relação de troca segue desfavorável — o Brasil importou cerca de 7% menos fertilizante e ainda assim o produtor gastou mais. A RaboResearch reduziu a projeção de entregas no país para ~45,1 milhões de toneladas em 2026, abaixo do recorde de 2025.</w:t>
      </w:r>
    </w:p>
    <w:p>
      <w:pPr>
        <w:spacing w:after="40" w:before="40"/>
      </w:pPr>
      <w:r>
        <w:rPr>
          <w:b/>
          <w:bCs/>
          <w:color w:val="1E2A44"/>
          <w:sz w:val="18"/>
          <w:szCs w:val="18"/>
        </w:rPr>
        <w:t xml:space="preserve">O que esperar nos próximos meses: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7"/>
          <w:szCs w:val="17"/>
        </w:rPr>
        <w:t xml:space="preserve">Ureia (nitrogenados): preços fora dos extremos e acessibilidade em recuperação desde julho; espera-se retomada gradual das compras até o fim do ano, mas atrasos podem pressionar a 2ª safra de milho (plantio em jan/2027).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7"/>
          <w:szCs w:val="17"/>
        </w:rPr>
        <w:t xml:space="preserve">MAP (fosfatados): segue o ponto mais delicado; oferta apertada e enxofre caro limitam quedas, com risco de faltar produto no pico de plantio (set–out).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7"/>
          <w:szCs w:val="17"/>
        </w:rPr>
        <w:t xml:space="preserve">KCl (potássio): segmento mais confortável e com preços entre os mais favoráveis em anos; boa janela de reposição.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7"/>
          <w:szCs w:val="17"/>
        </w:rPr>
        <w:t xml:space="preserve">Ação do governo: a Casa Civil mantém a Sala de Situação sobre Fertilizantes, e foi publicada resolução (ago/2026, validade de 6 meses) priorizando o desembarque de fertilizantes nos portos públicos para garantir o abastecimento da safra 2026/27.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7"/>
          <w:szCs w:val="17"/>
        </w:rPr>
        <w:t xml:space="preserve">Riscos a monitorar: duração do conflito e normalização do Estreito de Ormuz, ritmo real da oferta chinesa, preço do enxofre, câmbio, crédito rural apertado e clima (risco de El Niño forte).</w:t>
      </w:r>
    </w:p>
    <w:p>
      <w:pPr>
        <w:spacing w:after="20" w:before="60"/>
      </w:pPr>
      <w:r>
        <w:rPr>
          <w:b/>
          <w:bCs/>
          <w:color w:val="1E2A44"/>
          <w:sz w:val="17"/>
          <w:szCs w:val="17"/>
        </w:rPr>
        <w:t xml:space="preserve">Notícias recentes do mercado (atualização automática):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6"/>
          <w:szCs w:val="16"/>
        </w:rPr>
        <w:t xml:space="preserve">Agronegócio 14/09/2026 - 15:20 Importações de nitrogenados caem e acendem alerta para estoques no Brasil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6"/>
          <w:szCs w:val="16"/>
        </w:rPr>
        <w:t xml:space="preserve">Tempo e Clima 04/08/2026 - 12:41 El Niño reforça importância da nutrição das plantas para reduzir perdas no campo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6"/>
          <w:szCs w:val="16"/>
        </w:rPr>
        <w:t xml:space="preserve">Agronegócio 30/06/2026 - 09:30 Mercado de fertilizantes amplia movimento de baixa com recuo da ureia, MAP e cloreto de potássio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16"/>
          <w:szCs w:val="16"/>
        </w:rPr>
        <w:t xml:space="preserve">Agronegócio 19/06/2026 - 11:01 Importação dos EUA de fertilizante com origem no Oriente Médio zera em maio</w:t>
      </w:r>
    </w:p>
    <w:p>
      <w:pPr>
        <w:spacing w:after="20" w:before="60"/>
      </w:pPr>
      <w:r>
        <w:rPr>
          <w:b/>
          <w:bCs/>
          <w:color w:val="6B7585"/>
          <w:sz w:val="16"/>
          <w:szCs w:val="16"/>
        </w:rPr>
        <w:t xml:space="preserve">Fontes desta análise:</w:t>
      </w:r>
    </w:p>
    <w:p>
      <w:pPr>
        <w:spacing w:after="40"/>
      </w:pPr>
      <w:r>
        <w:rPr>
          <w:color w:val="6B7585"/>
          <w:sz w:val="15"/>
          <w:szCs w:val="15"/>
        </w:rPr>
        <w:t xml:space="preserve">RaboResearch, via AF News — entregas revisadas para ~45,1 Mt; China retoma exportações (alívio parcial); MAP −24% no 1º sem. (set/2026); nx1 — Brasil importa ~7% menos fertilizante, mas produtor gasta ~7% mais; quedas são 1º sinal de alívio, não fim da crise (set/2026); AF News — governo prioriza desembarque de fertilizantes nos portos (resolução no DOU, 6 meses); Sala de Situação/Casa Civil (ago/2026); StoneX, via Minuto MT — importações −8,6% no 1º sem. (ureia −32%, enxofre −42%); prazo curto para abastecer a safra (jul/2026); AgFeed — Sala de Situação e pleito de subsídio ao enxofre (de US$ 100 para ~US$ 1,2 mil/t) (jul/2026).</w:t>
      </w:r>
    </w:p>
    <w:p>
      <w:pPr>
        <w:spacing w:after="40"/>
      </w:pPr>
      <w:r>
        <w:rPr>
          <w:i/>
          <w:iCs/>
          <w:color w:val="6B7585"/>
          <w:sz w:val="15"/>
          <w:szCs w:val="15"/>
        </w:rPr>
        <w:t xml:space="preserve">Análise de contexto com caráter informativo, revisada manualmente. As datas e cenários mudam; confirme com as fontes antes de decisões de compra.</w:t>
      </w:r>
    </w:p>
    <w:p>
      <w:pPr>
        <w:spacing w:after="40" w:before="60"/>
      </w:pPr>
      <w:r>
        <w:rPr>
          <w:i/>
          <w:iCs/>
          <w:color w:val="6B7585"/>
          <w:sz w:val="15"/>
          <w:szCs w:val="15"/>
        </w:rPr>
        <w:t xml:space="preserve">Observação: as causas qualitativas (notícias, geopolítica, safra) devem ser revisadas manualmente — este resumo é gerado a partir das variações numéricas.</w:t>
      </w:r>
    </w:p>
    <w:p>
      <w:pPr>
        <w:pBdr>
          <w:bottom w:val="single" w:color="1E2A44" w:sz="6" w:space="2"/>
        </w:pBdr>
        <w:spacing w:after="100" w:before="220"/>
      </w:pPr>
      <w:r>
        <w:rPr>
          <w:b/>
          <w:bCs/>
          <w:color w:val="1E2A44"/>
          <w:sz w:val="22"/>
          <w:szCs w:val="22"/>
        </w:rPr>
        <w:t xml:space="preserve">7. Fontes e Notas Metodológicas</w:t>
      </w:r>
    </w:p>
    <w:p>
      <w:pPr>
        <w:spacing w:after="40"/>
      </w:pPr>
      <w:r>
        <w:rPr>
          <w:color w:val="6B7585"/>
          <w:sz w:val="15"/>
          <w:szCs w:val="15"/>
        </w:rPr>
        <w:t xml:space="preserve">Fontes automáticas: AwesomeAPI (câmbio), CEPEA/ESALQ (soja), stooq (BDI). Fertilizantes e gás natural: override manual (fertilizers-override.json). Status desta execução: {"bdi":"ok (HANDYBULK, 14/09/2026)","sojaRegional":"ok (Oeste da Bahia/BA (AIBA))","soja":"ok (Noticias Agricolas / CEPEA-PR 14/09/2026)","cambio":"ok (BCB PTAX)","_comexDiag":"sem-filtro 2026-04: HTTP 403 :: &lt;!DOCTYPE html&gt; &lt;!--[if lt IE 7]&gt; &lt;html class=\"no-js ie6 oldie\" lang=\"en-US\"&gt; &lt;![endif]--&gt; &lt;!--[if I","ureia":"falha: sem-filtro 2026-04: HTTP 403 :: &lt;!DOCTYPE html&gt; &lt;!--[if lt IE 7]&gt; &lt;html class=\"no-js ie6 oldie\" lang=\"en-US\"&gt; &lt;![endif]--&gt; &lt;!--[if I","map":"falha: sem-filtro 2026-04: HTTP 403 :: &lt;!DOCTYPE html&gt; &lt;!--[if lt IE 7]&gt; &lt;html class=\"no-js ie6 oldie\" lang=\"en-US\"&gt; &lt;![endif]--&gt; &lt;!--[if I","kcl":"falha: sem-filtro 2026-04: HTTP 403 :: &lt;!DOCTYPE html&gt; &lt;!--[if lt IE 7]&gt; &lt;html class=\"no-js ie6 oldie\" lang=\"en-US\"&gt; &lt;![endif]--&gt; &lt;!--[if I","gas":"ok (EIA Henry Hub)","noticias":"ok (40 de https://www.noticiasagricolas.com.br/tags/fertilizantes/)"}.</w:t>
      </w:r>
    </w:p>
    <w:p>
      <w:r>
        <w:rPr>
          <w:color w:val="6B7585"/>
          <w:sz w:val="15"/>
          <w:szCs w:val="15"/>
        </w:rPr>
        <w:t xml:space="preserve">Notas: preços FOB de fertilizantes usam benchmark de importação (COMEX) e dependem de atualização manual periódica. Variações são calculadas frente à leitura anterior registrada. Relações de troca são derivadas (preço FOB em R$ ÷ preço da soja) e têm caráter indicativo.</w:t>
      </w:r>
    </w:p>
    <w:sectPr>
      <w:headerReference w:type="default" r:id="rId7"/>
      <w:footerReference w:type="default" r:id="rId8"/>
      <w:pgSz w:w="12240" w:h="15840" w:orient="portrait"/>
      <w:pgMar w:top="1500" w:right="1440" w:bottom="1080" w:left="144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6B7585"/>
        <w:sz w:val="15"/>
        <w:szCs w:val="15"/>
      </w:rPr>
      <w:t xml:space="preserve">Inteligência de Mercado · Set/2026  ·  Página </w:t>
    </w:r>
    <w:r>
      <w:rPr>
        <w:color w:val="6B75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585"/>
        <w:sz w:val="15"/>
        <w:szCs w:val="15"/>
      </w:rPr>
      <w:t xml:space="preserve"> de </w:t>
    </w:r>
    <w:r>
      <w:rPr>
        <w:color w:val="6B75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6002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d544d50b38efcc008037490f810a17aff9ecd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— Inteligência de Mercado de Insumos Florestais</dc:title>
  <dc:creator>Equipe de Planejamento, Controle e Pesquisa Florestal</dc:creator>
  <cp:lastModifiedBy>Un-named</cp:lastModifiedBy>
  <cp:revision>1</cp:revision>
  <dcterms:created xsi:type="dcterms:W3CDTF">2026-09-15T10:52:38.385Z</dcterms:created>
  <dcterms:modified xsi:type="dcterms:W3CDTF">2026-09-15T10:52:38.385Z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