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13:50:47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R$ 5,06 (0,0%) e a soja CEPEA em R$ 137,84/saca. </w:t>
      </w:r>
      <w:r>
        <w:rPr>
          <w:sz w:val="19"/>
          <w:szCs w:val="19"/>
        </w:rPr>
        <w:t xml:space="preserve">A relação de troca soja/MAP é de 31,9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(AIBA))","bdi":"ok (HANDYBULK, 22/07/2026)","soja":"ok (Noticias Agricolas / CEPEA-PR 22/07/2026)","cambio":"ok (BCB PTAX)","diesel":"falha: Petrobras: HTTP 403 | PortalCanaa: HTTP 403","_comexRetry":"aguardando 15s apos 429 (com-filtro-ncm 2026-06, tentativa 2)","_comexPeriodo":"com-filtro-ncm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2026-07-23T13:50:47.475Z</dcterms:created>
  <dcterms:modified xsi:type="dcterms:W3CDTF">2026-07-23T13:50:47.475Z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