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13:27:06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US$ 585/t (+19,0%), MAP US$ 844/t e KCl US$ 351/t. </w:t>
      </w:r>
      <w:r>
        <w:rPr>
          <w:sz w:val="19"/>
          <w:szCs w:val="19"/>
        </w:rPr>
        <w:t xml:space="preserve">O dólar está em R$ 5,06 (0,0%) e a soja CEPEA em R$ 137,84/saca. </w:t>
      </w:r>
      <w:r>
        <w:rPr>
          <w:sz w:val="19"/>
          <w:szCs w:val="19"/>
        </w:rPr>
        <w:t xml:space="preserve">A relação de troca soja/MAP é de 31,9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+19,0%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Nitrogenado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+31,9%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Fosfatado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+6,9%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Potássico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31,9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+30,7%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22,2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5,06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-9,7%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MAP: </w:t>
      </w:r>
      <w:r>
        <w:rPr>
          <w:sz w:val="18"/>
          <w:szCs w:val="18"/>
        </w:rPr>
        <w:t xml:space="preserve">alta de +31,9%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Ureia: </w:t>
      </w:r>
      <w:r>
        <w:rPr>
          <w:sz w:val="18"/>
          <w:szCs w:val="18"/>
        </w:rPr>
        <w:t xml:space="preserve">alta de +19,0%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queda de -9,7%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KCl: </w:t>
      </w:r>
      <w:r>
        <w:rPr>
          <w:sz w:val="18"/>
          <w:szCs w:val="18"/>
        </w:rPr>
        <w:t xml:space="preserve">alta de +6,9% no período.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(AIBA))","soja":"ok (Noticias Agricolas / CEPEA-PR 22/07/2026)","bdi":"ok (HANDYBULK, 22/07/2026)","cambio":"ok (BCB PTAX)","diesel":"falha: Petrobras: HTTP 403 | PortalCanaa: HTTP 403","_comexRetry":"aguardando 15s apos 429 (com-filtro-ncm 2026-06, tentativa 2)","_comexPeriodo":"com-filtro-ncm | 2026-06 | 4 linhas","_comexNcmsEncontrados":"31042090,31054000,31021010,31042010","ureia":"ok (ComexStat 2026-06)","map":"ok (ComexStat 2026-06)","kcl":"ok (ComexStat 2026-06)","gas":"ok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2026-07-23T13:27:06.889Z</dcterms:created>
  <dcterms:modified xsi:type="dcterms:W3CDTF">2026-07-23T13:27:06.889Z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