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13:06:10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US$ 491/t (0,0%), MAP US$ 640/t e KCl US$ 328/t. </w:t>
      </w:r>
      <w:r>
        <w:rPr>
          <w:sz w:val="19"/>
          <w:szCs w:val="19"/>
        </w:rPr>
        <w:t xml:space="preserve">O dólar está em R$ 5,06 (0,0%) e a soja CEPEA em R$ 137,84/saca. </w:t>
      </w:r>
      <w:r>
        <w:rPr>
          <w:sz w:val="19"/>
          <w:szCs w:val="19"/>
        </w:rPr>
        <w:t xml:space="preserve">A relação de troca soja/MAP é de 24,4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US$ 491/t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Nitrogenado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US$ 640/t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Fosfatado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Potássico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24,4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18,7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5,06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US$ 3,10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8"/>
          <w:szCs w:val="18"/>
        </w:rPr>
        <w:t xml:space="preserve">Período sem variações relevantes (todas abaixo de 0,5%).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(AIBA))","cambio":"ok (BCB PTAX)","bdi":"ok (HANDYBULK, 22/07/2026)","soja":"ok (Noticias Agricolas / CEPEA-PR 22/07/2026)","diesel":"falha: Petrobras: HTTP 403 | PortalCanaa: HTTP 403","_comexRetry":"aguardando 30s apos 429 (heading, tentativa 3)","_comexDiag":"vazio: ncm-numero 2025-07..2026-06 :: {\"data\":{\"list\":[]},\"success\":true,\"message\":null,\"processo_info\":null,\"language\":\"pt\"}","ureia":"falha: vazio (heading, 2025-05 a 2026-04)","map":"falha: vazio (heading, 2025-05 a 2026-04)","kcl":"falha: vazio (heading, 2025-05 a 2026-04)","gas":"SEM EIA_API_KEY configurada | falha stooq: valor implausivel :: resposta=\"&lt;!DOCTYPE html&gt;&lt;html&gt;&lt;head&gt;&lt;meta charset=\"utf-8\"&gt;&lt;meta name=\"robots\" content=\"noindex,nofollow\"&gt;&lt;/head&gt;&lt;body&gt;&lt;noscript&gt;T\""}.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2026-07-23T13:06:10.780Z</dcterms:created>
  <dcterms:modified xsi:type="dcterms:W3CDTF">2026-07-23T13:06:10.780Z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