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6B7585"/>
          <w:spacing w:val="30"/>
          <w:sz w:val="16"/>
          <w:szCs w:val="16"/>
        </w:rPr>
        <w:t xml:space="preserve">RELATÓRIO EXECUTIVO</w:t>
      </w:r>
    </w:p>
    <w:p>
      <w:pPr>
        <w:spacing w:after="30"/>
      </w:pPr>
      <w:r>
        <w:rPr>
          <w:b/>
          <w:bCs/>
          <w:color w:val="1E2A44"/>
          <w:sz w:val="30"/>
          <w:szCs w:val="30"/>
        </w:rPr>
        <w:t xml:space="preserve">Inteligência de Mercado de Insumos Florestais</w:t>
      </w:r>
    </w:p>
    <w:p>
      <w:pPr>
        <w:pBdr>
          <w:bottom w:val="single" w:color="1E2A44" w:sz="12" w:space="4"/>
        </w:pBdr>
        <w:spacing w:after="60"/>
      </w:pPr>
      <w:r>
        <w:rPr>
          <w:color w:val="6B7585"/>
          <w:sz w:val="17"/>
          <w:szCs w:val="17"/>
        </w:rPr>
        <w:t xml:space="preserve">Equipe de Planejamento, Controle e Pesquisa Florestal  ·  Referência: Jul/2026  ·  Gerado em 23/07/2026, 15:21:07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1. Sumário Executivo</w:t>
      </w:r>
    </w:p>
    <w:p>
      <w:pPr>
        <w:spacing w:after="120"/>
        <w:jc w:val="both"/>
      </w:pPr>
      <w:r>
        <w:rPr>
          <w:sz w:val="19"/>
          <w:szCs w:val="19"/>
        </w:rPr>
        <w:t xml:space="preserve">Leitura de Jul/2026. </w:t>
      </w:r>
      <w:r>
        <w:rPr>
          <w:sz w:val="19"/>
          <w:szCs w:val="19"/>
        </w:rPr>
        <w:t xml:space="preserve">Ureia FOB em US$ 585/t (fechamento jun/26), MAP US$ 844/t e KCl US$ 351/t. </w:t>
      </w:r>
      <w:r>
        <w:rPr>
          <w:sz w:val="19"/>
          <w:szCs w:val="19"/>
        </w:rPr>
        <w:t xml:space="preserve">O dólar está em R$ 5,06 (0,0%) e a soja CEPEA em R$ 137,84/saca. </w:t>
      </w:r>
      <w:r>
        <w:rPr>
          <w:sz w:val="19"/>
          <w:szCs w:val="19"/>
        </w:rPr>
        <w:t xml:space="preserve">A relação de troca soja/MAP é de 31,9 sacas/t.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2. Preços de Fertilizantes (FOB) e Variação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900"/>
        <w:gridCol w:w="2960"/>
      </w:tblGrid>
      <w:tr>
        <w:trPr>
          <w:tblHeader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Fertilizante (FOB)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Preço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Observação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Ureia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US$ 585/t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Fechamento jun/26 (sem novo dado)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MAP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US$ 844/t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Fechamento jun/26 (sem novo dado)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Cloreto de Potássio (KCl)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US$ 351/t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Fechamento jun/26 (sem novo dado)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3. Soja e Relação de Troca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80"/>
        <w:gridCol w:w="1980"/>
        <w:gridCol w:w="2000"/>
      </w:tblGrid>
      <w:tr>
        <w:trPr>
          <w:tblHeader/>
        </w:trP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Indicador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Atual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Leitura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Soja CEPEA (Nacional)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R$ 137,84/sc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Soja Tocantins (Agrolink)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R$ 132,25/sc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Spread regional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Troca Soja/MAP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31,9 sc/t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Piora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Troca Soja/Ureia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22,2 sc/t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Indicativo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4. Indicadores Macroeconômicos (Drivers)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80"/>
        <w:gridCol w:w="1980"/>
        <w:gridCol w:w="2000"/>
      </w:tblGrid>
      <w:tr>
        <w:trPr>
          <w:tblHeader/>
        </w:trP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Driver macro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Atual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Efeito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Dólar (R$/US$)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5,06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Custo de importação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Gás Natural (Henry Hub)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US$ 3,10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B23636"/>
                <w:sz w:val="18"/>
                <w:szCs w:val="18"/>
              </w:rPr>
              <w:t xml:space="preserve">+10,7%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Pressiona ureia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Frete Marítimo (BDI)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2.715 pts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Custo de importação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Diesel S10 (ANP)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R$ 7,09/L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Frete interno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5. Principais Variações do Período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8"/>
          <w:szCs w:val="18"/>
        </w:rPr>
        <w:t xml:space="preserve">Gás Natural: </w:t>
      </w:r>
      <w:r>
        <w:rPr>
          <w:sz w:val="18"/>
          <w:szCs w:val="18"/>
        </w:rPr>
        <w:t xml:space="preserve">alta de +10,7% no período.</w:t>
      </w:r>
    </w:p>
    <w:p>
      <w:pPr>
        <w:spacing w:after="40" w:before="60"/>
      </w:pPr>
      <w:r>
        <w:rPr>
          <w:i/>
          <w:iCs/>
          <w:color w:val="6B7585"/>
          <w:sz w:val="15"/>
          <w:szCs w:val="15"/>
        </w:rPr>
        <w:t xml:space="preserve">Observação: as causas qualitativas (notícias, geopolítica, safra) devem ser revisadas manualmente — este resumo é gerado a partir das variações numéricas.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6. Fontes e Notas Metodológicas</w:t>
      </w:r>
    </w:p>
    <w:p>
      <w:pPr>
        <w:spacing w:after="40"/>
      </w:pPr>
      <w:r>
        <w:rPr>
          <w:color w:val="6B7585"/>
          <w:sz w:val="15"/>
          <w:szCs w:val="15"/>
        </w:rPr>
        <w:t xml:space="preserve">Fontes automáticas: AwesomeAPI (câmbio), CEPEA/ESALQ (soja), ANP (diesel), stooq (BDI). Fertilizantes e gás natural: override manual (fertilizers-override.json). Status desta execução: {"soja":"ok (Noticias Agricolas / CEPEA-PR 22/07/2026)","sojaRegional":"ok (Oeste da Bahia/BA (AIBA))","bdi":"ok (HANDYBULK, 22/07/2026)","cambio":"ok (BCB PTAX)","diesel":"falha: Petrobras: HTTP 403 | PortalCanaa: HTTP 403","_comexPeriodo":"com-filtro-ncm | 2026-06 | 4 linhas","_comexNcmsEncontrados":"31042090,31054000,31021010,31042010","ureia":"ok (ComexStat 2026-06)","map":"ok (ComexStat 2026-06)","kcl":"ok (ComexStat 2026-06)","gas":"falha EIA: HTTP 500 :: \"Something unexpected happened.\" | falha stooq: valor implausivel :: resposta=\"&lt;!DOCTYPE html&gt;&lt;html&gt;&lt;head&gt;&lt;meta charset=\"utf-8\"&gt;&lt;meta name=\"robots\" content=\"noindex,nofollow\"&gt;&lt;/head&gt;&lt;body&gt;&lt;noscript&gt;T\""}.</w:t>
      </w:r>
    </w:p>
    <w:p>
      <w:r>
        <w:rPr>
          <w:color w:val="6B7585"/>
          <w:sz w:val="15"/>
          <w:szCs w:val="15"/>
        </w:rPr>
        <w:t xml:space="preserve">Notas: preços FOB de fertilizantes usam benchmark de importação (COMEX) e dependem de atualização manual periódica. Variações são calculadas frente à leitura anterior registrada. Relações de troca são derivadas (preço FOB em R$ ÷ preço da soja) e têm caráter indicativo.</w:t>
      </w:r>
    </w:p>
    <w:sectPr>
      <w:headerReference w:type="default" r:id="rId7"/>
      <w:footerReference w:type="default" r:id="rId8"/>
      <w:pgSz w:w="12240" w:h="15840" w:orient="portrait"/>
      <w:pgMar w:top="1500" w:right="1440" w:bottom="1080" w:left="1440" w:header="480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jc w:val="center"/>
    </w:pPr>
    <w:r>
      <w:rPr>
        <w:color w:val="6B7585"/>
        <w:sz w:val="15"/>
        <w:szCs w:val="15"/>
      </w:rPr>
      <w:t xml:space="preserve">Inteligência de Mercado · Jul/2026  ·  Página </w:t>
    </w:r>
    <w:r>
      <w:rPr>
        <w:color w:val="6B758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6B7585"/>
        <w:sz w:val="15"/>
        <w:szCs w:val="15"/>
      </w:rPr>
      <w:t xml:space="preserve"> de </w:t>
    </w:r>
    <w:r>
      <w:rPr>
        <w:color w:val="6B758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600200" cy="571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0200" cy="571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d544d50b38efcc008037490f810a17aff9ecda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Executivo — Inteligência de Mercado de Insumos Florestais</dc:title>
  <dc:creator>Equipe de Planejamento, Controle e Pesquisa Florestal</dc:creator>
  <cp:lastModifiedBy>Un-named</cp:lastModifiedBy>
  <cp:revision>1</cp:revision>
  <dcterms:created xsi:type="dcterms:W3CDTF">2026-07-23T15:21:07.944Z</dcterms:created>
  <dcterms:modified xsi:type="dcterms:W3CDTF">2026-07-23T15:21:07.944Z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