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6B7585"/>
          <w:spacing w:val="30"/>
          <w:sz w:val="16"/>
          <w:szCs w:val="16"/>
        </w:rPr>
        <w:t xml:space="preserve">RELATÓRIO EXECUTIVO</w:t>
      </w:r>
    </w:p>
    <w:p>
      <w:pPr>
        <w:spacing w:after="30"/>
      </w:pPr>
      <w:r>
        <w:rPr>
          <w:b/>
          <w:bCs/>
          <w:color w:val="1E2A44"/>
          <w:sz w:val="30"/>
          <w:szCs w:val="30"/>
        </w:rPr>
        <w:t xml:space="preserve">Inteligência de Mercado de Insumos Florestais</w:t>
      </w:r>
    </w:p>
    <w:p>
      <w:pPr>
        <w:pBdr>
          <w:bottom w:val="single" w:color="1E2A44" w:sz="12" w:space="4"/>
        </w:pBdr>
        <w:spacing w:after="60"/>
      </w:pPr>
      <w:r>
        <w:rPr>
          <w:color w:val="6B7585"/>
          <w:sz w:val="17"/>
          <w:szCs w:val="17"/>
        </w:rPr>
        <w:t xml:space="preserve">Equipe de Planejamento, Controle e Pesquisa Florestal  ·  Referência: Ago/2026  ·  Gerado em 18/08/2026, 17:28:40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1. Sumário Executivo</w:t>
      </w:r>
    </w:p>
    <w:p>
      <w:pPr>
        <w:spacing w:after="120"/>
        <w:jc w:val="both"/>
      </w:pPr>
      <w:r>
        <w:rPr>
          <w:sz w:val="19"/>
          <w:szCs w:val="19"/>
        </w:rPr>
        <w:t xml:space="preserve">Leitura de Ago/2026. </w:t>
      </w:r>
      <w:r>
        <w:rPr>
          <w:sz w:val="19"/>
          <w:szCs w:val="19"/>
        </w:rPr>
        <w:t xml:space="preserve">Ureia FOB em US$ 418/t (fechamento jul/26), MAP US$ 828/t e KCl US$ 359/t. </w:t>
      </w:r>
      <w:r>
        <w:rPr>
          <w:sz w:val="19"/>
          <w:szCs w:val="19"/>
        </w:rPr>
        <w:t xml:space="preserve">O dólar está em R$ 5,20 (-0,4%) e a soja CEPEA em R$ 141,69/saca. </w:t>
      </w:r>
      <w:r>
        <w:rPr>
          <w:sz w:val="19"/>
          <w:szCs w:val="19"/>
        </w:rPr>
        <w:t xml:space="preserve">A relação de troca soja/MAP é de 31,2 sacas/t.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2. Preços de Fertilizantes (FOB) e Variação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1900"/>
        <w:gridCol w:w="2960"/>
      </w:tblGrid>
      <w:tr>
        <w:trPr>
          <w:tblHeader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Fertilizante (FOB)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Preço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Observação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Ureia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US$ 418/t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MAP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US$ 828/t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Cloreto de Potássio (KCl)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US$ 359/t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Fechamento jul/26 (sem novo dado)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3. Soja e Relação de Troca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Indicador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Leitura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CEPEA (Nacional)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R$ 141,69/sc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+0,4%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Soja Tocantins (Agrolink)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R$ 134,25/sc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+0,7%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Spread regional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Soja/MAP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31,2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-1,0%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Melhora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Troca Soja/Ureia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16,1 sc/t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color w:val="6B7585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Indicativo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4. Indicadores Macroeconômicos (Drivers)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80"/>
        <w:gridCol w:w="1980"/>
        <w:gridCol w:w="2000"/>
      </w:tblGrid>
      <w:tr>
        <w:trPr>
          <w:tblHeader/>
        </w:trP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Driver macro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Atual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Var.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E2A44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Efeito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Dólar (R$/US$)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5,20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2F8A5F"/>
                <w:sz w:val="18"/>
                <w:szCs w:val="18"/>
              </w:rPr>
              <w:t xml:space="preserve">-0,4%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Gás Natural (Henry Hub)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US$ 2,79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Pressiona ureia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Frete Marítimo (BDI)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2.878 pts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B23636"/>
                <w:sz w:val="18"/>
                <w:szCs w:val="18"/>
              </w:rPr>
              <w:t xml:space="preserve">+0,5%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Custo de importação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Diesel S10 (ANP)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sz w:val="18"/>
                <w:szCs w:val="18"/>
              </w:rPr>
              <w:t xml:space="preserve">R$ 7,09/L</w:t>
            </w:r>
          </w:p>
        </w:tc>
        <w:tc>
          <w:tcPr>
            <w:tcW w:type="dxa" w:w="198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color w:val="6B7585"/>
                <w:sz w:val="18"/>
                <w:szCs w:val="18"/>
              </w:rPr>
              <w:t xml:space="preserve">0,0%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55"/>
              <w:left w:type="dxa" w:w="110"/>
              <w:bottom w:type="dxa" w:w="55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sz w:val="17"/>
                <w:szCs w:val="17"/>
              </w:rPr>
              <w:t xml:space="preserve">Frete interno</w:t>
            </w:r>
          </w:p>
        </w:tc>
      </w:tr>
    </w:tbl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5. Principais Variações do Período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8"/>
          <w:szCs w:val="18"/>
        </w:rPr>
        <w:t xml:space="preserve">BDI: </w:t>
      </w:r>
      <w:r>
        <w:rPr>
          <w:sz w:val="18"/>
          <w:szCs w:val="18"/>
        </w:rPr>
        <w:t xml:space="preserve">alta de +0,5% no período.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6. Contexto de Mercado — Causas da Alta e Perspectivas</w:t>
      </w:r>
    </w:p>
    <w:p>
      <w:pPr>
        <w:spacing w:after="60"/>
      </w:pPr>
      <w:r>
        <w:rPr>
          <w:b/>
          <w:bCs/>
          <w:color w:val="1E2A44"/>
          <w:sz w:val="18"/>
          <w:szCs w:val="18"/>
        </w:rPr>
        <w:t xml:space="preserve">Por que os fertilizantes subiram — e o que esperar · atualizado em Agosto/2026 · revisão manual.</w:t>
      </w:r>
    </w:p>
    <w:p>
      <w:pPr>
        <w:spacing w:after="60"/>
        <w:jc w:val="both"/>
      </w:pPr>
      <w:r>
        <w:rPr>
          <w:sz w:val="18"/>
          <w:szCs w:val="18"/>
        </w:rPr>
        <w:t xml:space="preserve">O eixo da pressão mudou ao longo de 2026: a ureia recuou dos picos após o alívio das tensões no Oriente Médio, mas os fosfatados (MAP) tornaram-se o ponto crítico — caros e de oferta apertada — por causa das restrições da China e da escassez de enxofre, às vésperas da safra 2026/27.</w:t>
      </w:r>
    </w:p>
    <w:p>
      <w:pPr>
        <w:spacing w:after="80"/>
      </w:pPr>
      <w:r>
        <w:rPr>
          <w:i/>
          <w:iCs/>
          <w:color w:val="6B7585"/>
          <w:sz w:val="17"/>
          <w:szCs w:val="17"/>
        </w:rPr>
        <w:t xml:space="preserve">Leitura automática: sem novo fechamento de fertilizantes desde a leitura anterior (jul/26).</w:t>
      </w:r>
    </w:p>
    <w:p>
      <w:pPr>
        <w:spacing w:after="40"/>
      </w:pPr>
      <w:r>
        <w:rPr>
          <w:b/>
          <w:bCs/>
          <w:color w:val="1E2A44"/>
          <w:sz w:val="18"/>
          <w:szCs w:val="18"/>
        </w:rPr>
        <w:t xml:space="preserve">Principais causas da alta: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Restrições da China aos fosfatados: </w:t>
      </w:r>
      <w:r>
        <w:rPr>
          <w:sz w:val="17"/>
          <w:szCs w:val="17"/>
        </w:rPr>
        <w:t xml:space="preserve">A China suspendeu boa parte das exportações de fosfatados para priorizar o abastecimento interno; fontes do setor estimam que de 40% a 80% dos embarques estejam bloqueados ou sob cota, e as restrições podem durar até meados do segundo semestre de 2026.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Escassez de enxofre: </w:t>
      </w:r>
      <w:r>
        <w:rPr>
          <w:sz w:val="17"/>
          <w:szCs w:val="17"/>
        </w:rPr>
        <w:t xml:space="preserve">Insumo essencial do MAP, o enxofre chegou a cerca de US$ 1.250/t; os desembarques no Brasil no 1º semestre ficaram ~42% abaixo de 2025 (StoneX), levando fábricas a reduzir produção e apertando ainda mais a oferta de fosfatados.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Oferta russa e de outros polos reduzida: </w:t>
      </w:r>
      <w:r>
        <w:rPr>
          <w:sz w:val="17"/>
          <w:szCs w:val="17"/>
        </w:rPr>
        <w:t xml:space="preserve">Menor disponibilidade da Rússia, restrições no Marrocos e paralisações pontuais de produtoras limitam a oferta global de fósforo e sustentam o MAP em patamar elevado.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Conflito no Oriente Médio (efeito decrescente): </w:t>
      </w:r>
      <w:r>
        <w:rPr>
          <w:sz w:val="17"/>
          <w:szCs w:val="17"/>
        </w:rPr>
        <w:t xml:space="preserve">Foi o principal motor da disparada da ureia no 1º semestre. Com o avanço do acordo entre EUA e Irã, o risco arrefeceu e a ureia recuou — mas o mercado segue cauteloso a novas tensões.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sz w:val="17"/>
          <w:szCs w:val="17"/>
        </w:rPr>
        <w:t xml:space="preserve">Dependência de importação e compras atrasadas: </w:t>
      </w:r>
      <w:r>
        <w:rPr>
          <w:sz w:val="17"/>
          <w:szCs w:val="17"/>
        </w:rPr>
        <w:t xml:space="preserve">O Brasil importa cerca de 85% dos fertilizantes. Em 2026 as compras da safra 2026/27 atrasaram, e o produtor ainda descoberto pode enfrentar preço e disponibilidade piores ao acelerar as aquisições.</w:t>
      </w:r>
    </w:p>
    <w:p>
      <w:pPr>
        <w:spacing w:after="80" w:before="40"/>
        <w:jc w:val="both"/>
      </w:pPr>
      <w:r>
        <w:rPr>
          <w:sz w:val="17"/>
          <w:szCs w:val="17"/>
        </w:rPr>
        <w:t xml:space="preserve">Referências de portos no meio do ano: a ureia recuou para a faixa de US$ 410–430/t CFR após ter passado de US$ 700/t no auge; o MAP seguiu pressionado, negociado próximo de US$ 850–900/t; o KCl manteve-se relativamente estável, em torno de US$ 380–405/t (Itaú BBA / consultorias). O Ministério da Agricultura chegou a alertar para risco de déficit de 1 a 3 milhões de toneladas de fosfatados em 2026.</w:t>
      </w:r>
    </w:p>
    <w:p>
      <w:pPr>
        <w:spacing w:after="40" w:before="40"/>
      </w:pPr>
      <w:r>
        <w:rPr>
          <w:b/>
          <w:bCs/>
          <w:color w:val="1E2A44"/>
          <w:sz w:val="18"/>
          <w:szCs w:val="18"/>
        </w:rPr>
        <w:t xml:space="preserve">O que esperar nos próximos meses: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Ureia (nitrogenados): cenário mais calmo após o recuo, mas ainda sensível a choques geopolíticos e ao gás natural — sem folga estrutural de oferta.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MAP (fosfatados): é hoje o produto mais crítico; a pressão deve persistir enquanto durarem as restrições chinesas e a escassez de enxofre, com risco de faltar produto no pico de plantio (set–out).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KCl (potássio): segmento mais equilibrado e com importação recorde; preços relativamente estáveis, embora manutenções industriais no 2º semestre possam alterar o equilíbrio.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Estratégia sugerida por analistas: evitar ficar descoberto — garantir disponibilidade de fosfatados pode importar mais que o preço; escalonar compras, priorizar KCl (mais líquido) e avaliar substitutos de fósforo como SSP/TSP.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7"/>
          <w:szCs w:val="17"/>
        </w:rPr>
        <w:t xml:space="preserve">Riscos a monitorar: prazo real da suspensão das restrições chinesas, evolução do conflito no Oriente Médio, preço do enxofre e câmbio.</w:t>
      </w:r>
    </w:p>
    <w:p>
      <w:pPr>
        <w:spacing w:after="20" w:before="60"/>
      </w:pPr>
      <w:r>
        <w:rPr>
          <w:b/>
          <w:bCs/>
          <w:color w:val="1E2A44"/>
          <w:sz w:val="17"/>
          <w:szCs w:val="17"/>
        </w:rPr>
        <w:t xml:space="preserve">Notícias recentes do mercado (atualização automática):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04/08/2026 — El Niño reforça importância da nutrição das plantas para reduzir perdas no campo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30/06/2026 — Mercado de fertilizantes amplia movimento de baixa com recuo da ureia, MAP e cloreto de potássio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19/06/2026 — Importação dos EUA de fertilizante com origem no Oriente Médio zera em maio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16"/>
          <w:szCs w:val="16"/>
        </w:rPr>
        <w:t xml:space="preserve">16/06/2026 — Ureia cai mais de 40% e volta ao nível pré-crise com avanço de acordo entre EUA e Irã</w:t>
      </w:r>
    </w:p>
    <w:p>
      <w:pPr>
        <w:spacing w:after="20" w:before="60"/>
      </w:pPr>
      <w:r>
        <w:rPr>
          <w:b/>
          <w:bCs/>
          <w:color w:val="6B7585"/>
          <w:sz w:val="16"/>
          <w:szCs w:val="16"/>
        </w:rPr>
        <w:t xml:space="preserve">Fontes desta análise:</w:t>
      </w:r>
    </w:p>
    <w:p>
      <w:pPr>
        <w:spacing w:after="40"/>
      </w:pPr>
      <w:r>
        <w:rPr>
          <w:color w:val="6B7585"/>
          <w:sz w:val="15"/>
          <w:szCs w:val="15"/>
        </w:rPr>
        <w:t xml:space="preserve">Itaú BBA (Agro Mensal), via NN Online — ureia recua; MAP ~US$ 900/t; enxofre ~US$ 1.250/t; KCl ~US$ 405/t (jun/2026); StoneX, via Minuto MT / AF News — enxofre -42% no 1º semestre e risco de abastecimento de fosfatados (jul/2026); CNA — restrições chinesas ao MAP e queda de 13,7% na importação (jan–ago) (2026); Spazio Agro — China pode manter restrições até o 2º semestre; alerta do MAPA de déficit de 1–3 Mt (abr/2026); Conecta Agro — ureia teve a maior disparada percentual de 2026, com correção posterior (ago/2026).</w:t>
      </w:r>
    </w:p>
    <w:p>
      <w:pPr>
        <w:spacing w:after="40"/>
      </w:pPr>
      <w:r>
        <w:rPr>
          <w:i/>
          <w:iCs/>
          <w:color w:val="6B7585"/>
          <w:sz w:val="15"/>
          <w:szCs w:val="15"/>
        </w:rPr>
        <w:t xml:space="preserve">Análise de contexto com caráter informativo, revisada manualmente. As datas e cenários mudam; confirme com as fontes antes de decisões de compra.</w:t>
      </w:r>
    </w:p>
    <w:p>
      <w:pPr>
        <w:spacing w:after="40" w:before="60"/>
      </w:pPr>
      <w:r>
        <w:rPr>
          <w:i/>
          <w:iCs/>
          <w:color w:val="6B7585"/>
          <w:sz w:val="15"/>
          <w:szCs w:val="15"/>
        </w:rPr>
        <w:t xml:space="preserve">Observação: as causas qualitativas (notícias, geopolítica, safra) devem ser revisadas manualmente — este resumo é gerado a partir das variações numéricas.</w:t>
      </w:r>
    </w:p>
    <w:p>
      <w:pPr>
        <w:pBdr>
          <w:bottom w:val="single" w:color="1E2A44" w:sz="6" w:space="2"/>
        </w:pBdr>
        <w:spacing w:after="100" w:before="220"/>
      </w:pPr>
      <w:r>
        <w:rPr>
          <w:b/>
          <w:bCs/>
          <w:color w:val="1E2A44"/>
          <w:sz w:val="22"/>
          <w:szCs w:val="22"/>
        </w:rPr>
        <w:t xml:space="preserve">7. Fontes e Notas Metodológicas</w:t>
      </w:r>
    </w:p>
    <w:p>
      <w:pPr>
        <w:spacing w:after="40"/>
      </w:pPr>
      <w:r>
        <w:rPr>
          <w:color w:val="6B7585"/>
          <w:sz w:val="15"/>
          <w:szCs w:val="15"/>
        </w:rPr>
        <w:t xml:space="preserve">Fontes automáticas: AwesomeAPI (câmbio), CEPEA/ESALQ (soja), ANP (diesel), stooq (BDI). Fertilizantes e gás natural: override manual (fertilizers-override.json). Status desta execução: {"soja":"ok (Noticias Agricolas / CEPEA-PR 17/08/2026)","sojaRegional":"ok (Oeste da Bahia/BA (AIBA))","bdi":"ok (HANDYBULK, 17/08/2026)","cambio":"ok (BCB PTAX)","diesel":"falha: Petrobras: HTTP 403 | PortalCanaa: HTTP 403","_comexPeriodo":"com-filtro-ncm | 2026-07 | 4 linhas","_comexNcmsEncontrados":"31042090,31021010,31054000,31042010","ureia":"ok (ComexStat 2026-07)","map":"ok (ComexStat 2026-07)","kcl":"ok (ComexStat 2026-07)","gas":"ok (EIA Henry Hub)","noticias":"ok (40 de https://www.noticiasagricolas.com.br/tags/fertilizantes/)"}.</w:t>
      </w:r>
    </w:p>
    <w:p>
      <w:r>
        <w:rPr>
          <w:color w:val="6B7585"/>
          <w:sz w:val="15"/>
          <w:szCs w:val="15"/>
        </w:rPr>
        <w:t xml:space="preserve">Notas: preços FOB de fertilizantes usam benchmark de importação (COMEX) e dependem de atualização manual periódica. Variações são calculadas frente à leitura anterior registrada. Relações de troca são derivadas (preço FOB em R$ ÷ preço da soja) e têm caráter indicativo.</w:t>
      </w:r>
    </w:p>
    <w:sectPr>
      <w:headerReference w:type="default" r:id="rId7"/>
      <w:footerReference w:type="default" r:id="rId8"/>
      <w:pgSz w:w="12240" w:h="15840" w:orient="portrait"/>
      <w:pgMar w:top="1500" w:right="1440" w:bottom="1080" w:left="1440" w:header="480" w:footer="4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jc w:val="center"/>
    </w:pPr>
    <w:r>
      <w:rPr>
        <w:color w:val="6B7585"/>
        <w:sz w:val="15"/>
        <w:szCs w:val="15"/>
      </w:rPr>
      <w:t xml:space="preserve">Inteligência de Mercado · Ago/2026  ·  Página </w:t>
    </w:r>
    <w:r>
      <w:rPr>
        <w:color w:val="6B758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6B7585"/>
        <w:sz w:val="15"/>
        <w:szCs w:val="15"/>
      </w:rPr>
      <w:t xml:space="preserve"> de </w:t>
    </w:r>
    <w:r>
      <w:rPr>
        <w:color w:val="6B758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600200" cy="571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0200" cy="571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d544d50b38efcc008037490f810a17aff9ecda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Executivo — Inteligência de Mercado de Insumos Florestais</dc:title>
  <dc:creator>Equipe de Planejamento, Controle e Pesquisa Florestal</dc:creator>
  <cp:lastModifiedBy>Un-named</cp:lastModifiedBy>
  <cp:revision>1</cp:revision>
  <dcterms:created xsi:type="dcterms:W3CDTF">2026-08-18T17:28:40.909Z</dcterms:created>
  <dcterms:modified xsi:type="dcterms:W3CDTF">2026-08-18T17:28:40.909Z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