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11/09/2026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1.287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24,9%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89,4%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1.287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−24,9%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89,4%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1.360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−20,7%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77,1%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560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63,6%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550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1.485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45,9%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1.578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−8,0%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26,1%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205 mm sobrea climatologia e adiciona 2 meses de solo esgotado. O excedente hídrico cai de 619 mm para 397 mm — redução de 36%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59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1.287 mm para 1.360 mm e a probabilidade de ano seco de 89,4% para 77,1%,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11/09/2026.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