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ago/2026 – jul/2027  ·  Emissão 21/08/2026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2,55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1.470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14,3%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50,9%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64% a 99%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+2,10°C (semana 15/jul/2026)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+0,95°C (AMJ/2026)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2,55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9/jul/2026):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ago/2026 – jul/2027,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1.470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−14,3%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50,9%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476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1.541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−10,1%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32,6%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440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1.592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−7,1%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24,0%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414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1.683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−1,8%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11,2%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361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1.786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+4,2%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3,9%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308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105 mm sobrea climatologia e adiciona 2 meses de solo esgotado. O excedente hídrico cai de 619 mm para 479 mm — redução de 23%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6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212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64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21/ago/2026).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1.470 mm para 1.541 mm e a probabilidade de ano seco de 50,9% para 32,6%,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(2,55 °C). Documento gerado automaticamente em 21/08/2026.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