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21/08/2026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1.409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17,8%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66,9%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12% a 19%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1.409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−17,8%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66,9%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477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1.491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−13,0%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45,9%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457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−9,8%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34,2%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444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1.636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−4,6%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16,2%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1.736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+1,3%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381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106 mm sobrea climatologia e adiciona 2 meses de solo esgotado. O excedente hídrico cai de 619 mm para 420 mm — redução de 32%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4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101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137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1.409 mm para 1.491 mm e a probabilidade de ano seco de 66,9% para 45,9%,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21/08/2026.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