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13/08/2026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1.469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14,3%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51,6%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64% a 99%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1.469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−14,3%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51,6%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524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1.540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−10,2%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33,9%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1.592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−7,1%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24,8%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464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1.682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−1,9%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11,1%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417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1.786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+4,2%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153 mm sobrea climatologia e adiciona 2 meses de solo esgotado. O excedente hídrico cai de 619 mm para 527 mm — redução de 15%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212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64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1.469 mm para 1.540 mm e a probabilidade de ano seco de 51,6% para 33,9%,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13/08/2026.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