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11/09/2026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89,2%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89,2%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76,4%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64,9%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25,6%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89,2% para 76,4%,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11/09/2026.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