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21/08/2026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1.469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52,1%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1.469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52,1%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−10,2%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34,2%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23,8%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−1,9%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105 mm sobrea climatologia e adiciona 2 meses de solo esgotado. O excedente hídrico cai de 619 mm para 479 mm — redução de 23%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1.469 mm para 1.540 mm e a probabilidade de ano seco de 52,1% para 34,2%,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21/08/2026.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