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</w:pPr>
      <w:r>
        <w:rPr>
          <w:rFonts w:ascii="Calibri" w:hAnsi="Calibri"/>
          <w:b/>
          <w:i w:val="0"/>
          <w:color w:val="3E7D52"/>
          <w:sz w:val="15"/>
          <w:spacing w:val="40"/>
        </w:rPr>
        <w:t>SINOBRAS FLORESTAL  ·  PLANEJAMENTO E OPERAÇÕES</w:t>
      </w:r>
    </w:p>
    <w:p>
      <w:pPr>
        <w:spacing w:after="40"/>
      </w:pPr>
      <w:r>
        <w:rPr>
          <w:rFonts w:ascii="Calibri" w:hAnsi="Calibri"/>
          <w:b/>
          <w:i w:val="0"/>
          <w:color w:val="1F4D2E"/>
          <w:sz w:val="30"/>
        </w:rPr>
        <w:t>Relatório Executivo — Clima Operacional</w:t>
      </w:r>
    </w:p>
    <w:p>
      <w:pPr>
        <w:spacing w:after="180"/>
        <w:pBdr>
          <w:bottom w:val="single" w:sz="12" w:space="4" w:color="1F4D2E"/>
        </w:pBdr>
      </w:pPr>
      <w:r>
        <w:rPr>
          <w:rFonts w:ascii="Calibri" w:hAnsi="Calibri"/>
          <w:b w:val="0"/>
          <w:i w:val="0"/>
          <w:color w:val="595959"/>
          <w:sz w:val="17"/>
        </w:rPr>
        <w:t>Norte do Tocantins  ·  Horizonte set/2026 – ago/2027  ·  Emissão 19/10/2026</w:t>
      </w:r>
    </w:p>
    <w:p>
      <w:pPr>
        <w:spacing w:before="240" w:after="100"/>
        <w:pBdr>
          <w:bottom w:val="single" w:sz="6" w:space="4" w:color="3E7D52"/>
        </w:pBdr>
      </w:pPr>
      <w:r>
        <w:rPr>
          <w:rFonts w:ascii="Calibri" w:hAnsi="Calibri"/>
          <w:b/>
          <w:i w:val="0"/>
          <w:color w:val="1F4D2E"/>
          <w:sz w:val="21"/>
          <w:spacing w:val="20"/>
        </w:rPr>
        <w:t>SUMÁRIO EXECUTIVO</w:t>
      </w:r>
    </w:p>
    <w:p>
      <w:pPr>
        <w:spacing w:after="100" w:before="0" w:line="264" w:lineRule="auto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O Pacífico equatorial encontra-se em </w:t>
      </w:r>
      <w:r>
        <w:rPr>
          <w:rFonts w:ascii="Calibri" w:hAnsi="Calibri"/>
          <w:b/>
          <w:i w:val="0"/>
          <w:color w:val="000000"/>
          <w:sz w:val="19"/>
        </w:rPr>
        <w:t>El Niño de intensidade forte</w:t>
      </w:r>
      <w:r>
        <w:rPr>
          <w:rFonts w:ascii="Calibri" w:hAnsi="Calibri"/>
          <w:b w:val="0"/>
          <w:i w:val="0"/>
          <w:color w:val="000000"/>
          <w:sz w:val="19"/>
        </w:rPr>
        <w:t xml:space="preserve">, com pico projetado de 2,70 °C no Niño 3.4. </w:t>
      </w:r>
      <w:r>
        <w:rPr>
          <w:rFonts w:ascii="Calibri" w:hAnsi="Calibri"/>
          <w:b w:val="0"/>
          <w:i w:val="0"/>
          <w:color w:val="000000"/>
          <w:sz w:val="19"/>
        </w:rPr>
        <w:t xml:space="preserve">CPC (tabela de probabilidades, emissão out/2026) e IRI (Quick Look, emissão 21/09/2026) convergem em probabilidade de até 100% e 100%, respectivamente, para a persistência do evento ao longo da estação chuvosa. </w:t>
      </w:r>
      <w:r>
        <w:rPr>
          <w:rFonts w:ascii="Calibri" w:hAnsi="Calibri"/>
          <w:b/>
          <w:i w:val="0"/>
          <w:color w:val="000000"/>
          <w:sz w:val="19"/>
        </w:rPr>
        <w:t>Para a safra isso se traduz em uma estação chuvosa mais curta e menos volumosa, com déficit hídrico ampliado nas bordas da janela de plantio.</w:t>
      </w:r>
    </w:p>
    <w:p>
      <w:pPr>
        <w:spacing w:after="100" w:before="0" w:line="264" w:lineRule="auto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O cenário central adotado — El Niño forte — projeta </w:t>
      </w:r>
      <w:r>
        <w:rPr>
          <w:rFonts w:ascii="Calibri" w:hAnsi="Calibri"/>
          <w:b/>
          <w:i w:val="0"/>
          <w:color w:val="A8322C"/>
          <w:sz w:val="19"/>
        </w:rPr>
        <w:t>1.287 mm</w:t>
      </w:r>
      <w:r>
        <w:rPr>
          <w:rFonts w:ascii="Calibri" w:hAnsi="Calibri"/>
          <w:b w:val="0"/>
          <w:i w:val="0"/>
          <w:color w:val="000000"/>
          <w:sz w:val="19"/>
        </w:rPr>
        <w:t xml:space="preserve"> no horizonte de 12 meses, </w:t>
      </w:r>
      <w:r>
        <w:rPr>
          <w:rFonts w:ascii="Calibri" w:hAnsi="Calibri"/>
          <w:b/>
          <w:i w:val="0"/>
          <w:color w:val="A8322C"/>
          <w:sz w:val="19"/>
        </w:rPr>
        <w:t>24,9% abaixo</w:t>
      </w:r>
      <w:r>
        <w:rPr>
          <w:rFonts w:ascii="Calibri" w:hAnsi="Calibri"/>
          <w:b w:val="0"/>
          <w:i w:val="0"/>
          <w:color w:val="000000"/>
          <w:sz w:val="19"/>
        </w:rPr>
        <w:t xml:space="preserve"> da média histórica de 1.714 mm (1981–2025), com 88,1% de probabilidade de ano seco. O núcleo chuvoso de dezembro a março permanece operacionalmente viável, com volumes </w:t>
      </w:r>
      <w:r>
        <w:rPr>
          <w:rFonts w:ascii="Calibri" w:hAnsi="Calibri"/>
          <w:b w:val="0"/>
          <w:i w:val="0"/>
          <w:color w:val="000000"/>
          <w:sz w:val="19"/>
        </w:rPr>
        <w:t>14% a 19% menores que a climatologia.</w:t>
      </w:r>
    </w:p>
    <w:p>
      <w:pPr>
        <w:spacing w:before="240" w:after="100"/>
        <w:pBdr>
          <w:bottom w:val="single" w:sz="6" w:space="4" w:color="3E7D52"/>
        </w:pBdr>
      </w:pPr>
      <w:r>
        <w:rPr>
          <w:rFonts w:ascii="Calibri" w:hAnsi="Calibri"/>
          <w:b/>
          <w:i w:val="0"/>
          <w:color w:val="1F4D2E"/>
          <w:sz w:val="21"/>
          <w:spacing w:val="20"/>
        </w:rPr>
        <w:t>1. SITUAÇÃO ENSO — MONITORAMENTO</w:t>
      </w:r>
    </w:p>
    <w:p>
      <w:pPr>
        <w:spacing w:after="100" w:before="0" w:line="264" w:lineRule="auto"/>
      </w:pPr>
      <w:r>
        <w:rPr>
          <w:rFonts w:ascii="Calibri" w:hAnsi="Calibri"/>
          <w:b/>
          <w:i w:val="0"/>
          <w:color w:val="000000"/>
          <w:sz w:val="19"/>
        </w:rPr>
        <w:t xml:space="preserve">Niño 3.4 semanal: </w:t>
      </w:r>
      <w:r>
        <w:rPr>
          <w:rFonts w:ascii="Calibri" w:hAnsi="Calibri"/>
          <w:b/>
          <w:i w:val="0"/>
          <w:color w:val="A8322C"/>
          <w:sz w:val="19"/>
        </w:rPr>
        <w:t>+3,10°C (semana 23/set/2026, CPC wksst9120.for)</w:t>
      </w:r>
      <w:r>
        <w:rPr>
          <w:rFonts w:ascii="Calibri" w:hAnsi="Calibri"/>
          <w:b w:val="0"/>
          <w:i w:val="0"/>
          <w:color w:val="000000"/>
          <w:sz w:val="19"/>
        </w:rPr>
        <w:t xml:space="preserve">  ·  </w:t>
      </w:r>
      <w:r>
        <w:rPr>
          <w:rFonts w:ascii="Calibri" w:hAnsi="Calibri"/>
          <w:b/>
          <w:i w:val="0"/>
          <w:color w:val="000000"/>
          <w:sz w:val="19"/>
        </w:rPr>
        <w:t xml:space="preserve">ONI: </w:t>
      </w:r>
      <w:r>
        <w:rPr>
          <w:rFonts w:ascii="Calibri" w:hAnsi="Calibri"/>
          <w:b/>
          <w:i w:val="0"/>
          <w:color w:val="000000"/>
          <w:sz w:val="19"/>
        </w:rPr>
        <w:t>+1,51°C (MJJ/2026, fonte IRI defasada — ver iri_trajetoria_status)</w:t>
      </w:r>
      <w:r>
        <w:rPr>
          <w:rFonts w:ascii="Calibri" w:hAnsi="Calibri"/>
          <w:b w:val="0"/>
          <w:i w:val="0"/>
          <w:color w:val="000000"/>
          <w:sz w:val="19"/>
        </w:rPr>
        <w:t xml:space="preserve">  ·  Pico projetado: </w:t>
      </w:r>
      <w:r>
        <w:rPr>
          <w:rFonts w:ascii="Calibri" w:hAnsi="Calibri"/>
          <w:b/>
          <w:i w:val="0"/>
          <w:color w:val="000000"/>
          <w:sz w:val="19"/>
        </w:rPr>
        <w:t>2,70 °C</w:t>
      </w:r>
    </w:p>
    <w:p>
      <w:pPr>
        <w:spacing w:after="100" w:before="0" w:line="264" w:lineRule="auto"/>
        <w:jc w:val="both"/>
      </w:pPr>
      <w:r>
        <w:rPr>
          <w:rFonts w:ascii="Calibri" w:hAnsi="Calibri"/>
          <w:b/>
          <w:i w:val="0"/>
          <w:color w:val="000000"/>
          <w:sz w:val="19"/>
        </w:rPr>
        <w:t xml:space="preserve">CPC (emissão 8/out/2026): </w:t>
      </w:r>
      <w:r>
        <w:rPr>
          <w:rFonts w:ascii="Calibri" w:hAnsi="Calibri"/>
          <w:b w:val="0"/>
          <w:i w:val="0"/>
          <w:color w:val="000000"/>
          <w:sz w:val="19"/>
        </w:rPr>
        <w:t xml:space="preserve">El Niño Advisory — forte-a-muito-forte provável até JFM/27 (&gt;83%). </w:t>
      </w:r>
      <w:r>
        <w:rPr>
          <w:rFonts w:ascii="Calibri" w:hAnsi="Calibri"/>
          <w:b/>
          <w:i w:val="0"/>
          <w:color w:val="000000"/>
          <w:sz w:val="19"/>
        </w:rPr>
        <w:t xml:space="preserve">IRI (Quick Look 21/09/2026): </w:t>
      </w:r>
      <w:r>
        <w:rPr>
          <w:rFonts w:ascii="Calibri" w:hAnsi="Calibri"/>
          <w:b w:val="0"/>
          <w:i w:val="0"/>
          <w:color w:val="000000"/>
          <w:sz w:val="19"/>
        </w:rPr>
        <w:t xml:space="preserve">probabilidade de até 100% nos trimestres da estação chuvosa. </w:t>
      </w:r>
      <w:r>
        <w:rPr>
          <w:rFonts w:ascii="Calibri" w:hAnsi="Calibri"/>
          <w:b w:val="0"/>
          <w:i w:val="0"/>
          <w:color w:val="000000"/>
          <w:sz w:val="19"/>
        </w:rPr>
        <w:t xml:space="preserve">A maior divergência entre os dois centros no horizonte é de 45 pontos percentuais, em AMJ/27. </w:t>
      </w:r>
      <w:r>
        <w:rPr>
          <w:rFonts w:ascii="Calibri" w:hAnsi="Calibri"/>
          <w:b w:val="0"/>
          <w:i w:val="0"/>
          <w:color w:val="595959"/>
          <w:sz w:val="17"/>
        </w:rPr>
        <w:t xml:space="preserve">Nota: a comparação usa fontes de emissões diferentes — CPC (out/2026) e IRI (21/09/2026) — não são o mesmo ciclo de publicação. </w:t>
      </w:r>
      <w:r>
        <w:rPr>
          <w:rFonts w:ascii="Calibri" w:hAnsi="Calibri"/>
          <w:b w:val="0"/>
          <w:i w:val="0"/>
          <w:color w:val="000000"/>
          <w:sz w:val="19"/>
        </w:rPr>
        <w:t>Divergências acima de 10 pontos percentuais indicam incerteza elevada e recomendam postura mais conservadora na janela de transição.</w:t>
      </w:r>
    </w:p>
    <w:p>
      <w:pPr>
        <w:spacing w:after="100" w:before="0" w:line="264" w:lineRule="auto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>O Boletim do Painel El Niño nº 3 (INMET, INPE, ANA, CEMADEN, SGB, SEDEC e CENSIPAM) situa o Tocantins entre as áreas de maior probabilidade de chuva abaixo da média em SON/2026, e como uma das regiões de maior intensificação de seca severa já registrada em julho/2026 pelo Índice Integrado de Seca (IIS-3) — classificação que já alcança 157 municípios brasileiros. A ANA reporta os reservatórios de Serra da Mesa (53,6%, −3,1 p.p. sobre julho) e Tucuruí (77,7%, −7,5 p.p.) na bacia do Tocantins — ambos em Faixa Normal, porém em queda.</w:t>
      </w:r>
    </w:p>
    <w:p>
      <w:pPr>
        <w:spacing w:after="100" w:before="0" w:line="264" w:lineRule="auto"/>
        <w:jc w:val="both"/>
      </w:pPr>
      <w:r>
        <w:rPr>
          <w:rFonts w:ascii="Calibri" w:hAnsi="Calibri"/>
          <w:b/>
          <w:i w:val="0"/>
          <w:color w:val="595959"/>
          <w:sz w:val="19"/>
        </w:rPr>
        <w:t xml:space="preserve">Nota de limite: </w:t>
      </w:r>
      <w:r>
        <w:rPr>
          <w:rFonts w:ascii="Calibri" w:hAnsi="Calibri"/>
          <w:b w:val="0"/>
          <w:i w:val="0"/>
          <w:color w:val="595959"/>
          <w:sz w:val="17"/>
        </w:rPr>
        <w:t>o Monitor de Secas da ANA não classifica a Região Norte com foco de seca grave em julho/2026 — quadro melhor que o observado em 2023/24. Isso não contradiz o IIS-3 do CEMADEN: são índices diferentes, e o Tocantins situa-se na fronteira entre as classificações regionais Norte/Centro-Oeste usadas em cada base.</w:t>
      </w:r>
    </w:p>
    <w:p>
      <w:pPr>
        <w:spacing w:before="240" w:after="100"/>
        <w:pBdr>
          <w:bottom w:val="single" w:sz="6" w:space="4" w:color="3E7D52"/>
        </w:pBdr>
      </w:pPr>
      <w:r>
        <w:rPr>
          <w:rFonts w:ascii="Calibri" w:hAnsi="Calibri"/>
          <w:b/>
          <w:i w:val="0"/>
          <w:color w:val="1F4D2E"/>
          <w:sz w:val="21"/>
          <w:spacing w:val="20"/>
        </w:rPr>
        <w:t>2. PROJEÇÃO DE PRECIPITAÇÃO POR CENÁRIO</w:t>
      </w:r>
    </w:p>
    <w:p>
      <w:pPr>
        <w:spacing w:after="80" w:before="0" w:line="264" w:lineRule="auto"/>
        <w:jc w:val="both"/>
      </w:pPr>
      <w:r>
        <w:rPr>
          <w:rFonts w:ascii="Calibri" w:hAnsi="Calibri"/>
          <w:b w:val="0"/>
          <w:i w:val="0"/>
          <w:color w:val="595959"/>
          <w:sz w:val="17"/>
        </w:rPr>
        <w:t>Totais acumulados para o horizonte set/2026 – ago/2027, gerados por SARIMAX condicionado a Niño 3.4, TSA e PDO. Déficit e meses críticos referem-se ao balanço hídrico com CAD de 100 mm; meses críticos são aqueles com armazenamento de água no solo abaixo de 20 mm.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none" w:sz="0" w:space="0" w:color="FFFFFF"/>
          <w:right w:val="none" w:sz="0" w:space="0" w:color="FFFFFF"/>
          <w:insideH w:val="single" w:sz="2" w:space="0" w:color="D9D9D9"/>
          <w:insideV w:val="none" w:sz="0" w:space="0" w:color="FFFFFF"/>
        </w:tblBorders>
        <w:tblCellMar>
          <w:top w:w="60" w:type="dxa"/>
          <w:bottom w:w="60" w:type="dxa"/>
          <w:left w:w="90" w:type="dxa"/>
          <w:right w:w="90" w:type="dxa"/>
        </w:tblCellMar>
        <w:tblLayout w:type="fixed"/>
        <w:tblW w:w="9746" w:type="dxa"/>
      </w:tblPr>
      <w:tblGrid>
        <w:gridCol w:w="2646"/>
        <w:gridCol w:w="1600"/>
        <w:gridCol w:w="1500"/>
        <w:gridCol w:w="1400"/>
        <w:gridCol w:w="1300"/>
        <w:gridCol w:w="1300"/>
      </w:tblGrid>
      <w:tr>
        <w:tc>
          <w:tcPr>
            <w:tcW w:type="dxa" w:w="2646"/>
            <w:shd w:val="clear" w:color="auto" w:fill="1F4D2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Cenário ENSO</w:t>
            </w:r>
          </w:p>
        </w:tc>
        <w:tc>
          <w:tcPr>
            <w:tcW w:type="dxa" w:w="1600"/>
            <w:shd w:val="clear" w:color="auto" w:fill="1F4D2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Total (mm)</w:t>
            </w:r>
          </w:p>
        </w:tc>
        <w:tc>
          <w:tcPr>
            <w:tcW w:type="dxa" w:w="1500"/>
            <w:shd w:val="clear" w:color="auto" w:fill="1F4D2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Anomalia</w:t>
            </w:r>
          </w:p>
        </w:tc>
        <w:tc>
          <w:tcPr>
            <w:tcW w:type="dxa" w:w="1400"/>
            <w:shd w:val="clear" w:color="auto" w:fill="1F4D2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P(seca)</w:t>
            </w:r>
          </w:p>
        </w:tc>
        <w:tc>
          <w:tcPr>
            <w:tcW w:type="dxa" w:w="1300"/>
            <w:shd w:val="clear" w:color="auto" w:fill="1F4D2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Déficit</w:t>
            </w:r>
          </w:p>
        </w:tc>
        <w:tc>
          <w:tcPr>
            <w:tcW w:type="dxa" w:w="1300"/>
            <w:shd w:val="clear" w:color="auto" w:fill="1F4D2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Meses críticos</w:t>
            </w:r>
          </w:p>
        </w:tc>
      </w:tr>
      <w:tr>
        <w:tc>
          <w:tcPr>
            <w:tcW w:type="dxa" w:w="2646"/>
            <w:shd w:val="clear" w:color="auto" w:fill="F2F6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A8322C"/>
                <w:sz w:val="17"/>
              </w:rPr>
              <w:t>El Niño forte</w:t>
            </w:r>
          </w:p>
        </w:tc>
        <w:tc>
          <w:tcPr>
            <w:tcW w:type="dxa" w:w="16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A8322C"/>
                <w:sz w:val="17"/>
              </w:rPr>
              <w:t>1.287</w:t>
            </w:r>
          </w:p>
        </w:tc>
        <w:tc>
          <w:tcPr>
            <w:tcW w:type="dxa" w:w="15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A8322C"/>
                <w:sz w:val="17"/>
              </w:rPr>
              <w:t>−24,9%</w:t>
            </w:r>
          </w:p>
        </w:tc>
        <w:tc>
          <w:tcPr>
            <w:tcW w:type="dxa" w:w="14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A8322C"/>
                <w:sz w:val="17"/>
              </w:rPr>
              <w:t>88,1%</w:t>
            </w:r>
          </w:p>
        </w:tc>
        <w:tc>
          <w:tcPr>
            <w:tcW w:type="dxa" w:w="13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A8322C"/>
                <w:sz w:val="17"/>
              </w:rPr>
              <w:t>576</w:t>
            </w:r>
          </w:p>
        </w:tc>
        <w:tc>
          <w:tcPr>
            <w:tcW w:type="dxa" w:w="13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A8322C"/>
                <w:sz w:val="17"/>
              </w:rPr>
              <w:t>6</w:t>
            </w:r>
          </w:p>
        </w:tc>
      </w:tr>
      <w:tr>
        <w:tc>
          <w:tcPr>
            <w:tcW w:type="dxa" w:w="264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 Niño moderado</w:t>
            </w:r>
          </w:p>
        </w:tc>
        <w:tc>
          <w:tcPr>
            <w:tcW w:type="dxa" w:w="16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1.360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−20,7%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77,5%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560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2646"/>
            <w:shd w:val="clear" w:color="auto" w:fill="F2F6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 Niño fraco</w:t>
            </w:r>
          </w:p>
        </w:tc>
        <w:tc>
          <w:tcPr>
            <w:tcW w:type="dxa" w:w="16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1.409</w:t>
            </w:r>
          </w:p>
        </w:tc>
        <w:tc>
          <w:tcPr>
            <w:tcW w:type="dxa" w:w="15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−17,8%</w:t>
            </w:r>
          </w:p>
        </w:tc>
        <w:tc>
          <w:tcPr>
            <w:tcW w:type="dxa" w:w="14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64,2%</w:t>
            </w:r>
          </w:p>
        </w:tc>
        <w:tc>
          <w:tcPr>
            <w:tcW w:type="dxa" w:w="13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550</w:t>
            </w:r>
          </w:p>
        </w:tc>
        <w:tc>
          <w:tcPr>
            <w:tcW w:type="dxa" w:w="13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264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Neutro</w:t>
            </w:r>
          </w:p>
        </w:tc>
        <w:tc>
          <w:tcPr>
            <w:tcW w:type="dxa" w:w="16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1.485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−13,4%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45,5%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531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2646"/>
            <w:shd w:val="clear" w:color="auto" w:fill="F2F6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Niña fraca</w:t>
            </w:r>
          </w:p>
        </w:tc>
        <w:tc>
          <w:tcPr>
            <w:tcW w:type="dxa" w:w="16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1.578</w:t>
            </w:r>
          </w:p>
        </w:tc>
        <w:tc>
          <w:tcPr>
            <w:tcW w:type="dxa" w:w="15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−8,0%</w:t>
            </w:r>
          </w:p>
        </w:tc>
        <w:tc>
          <w:tcPr>
            <w:tcW w:type="dxa" w:w="14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26,2%</w:t>
            </w:r>
          </w:p>
        </w:tc>
        <w:tc>
          <w:tcPr>
            <w:tcW w:type="dxa" w:w="13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495</w:t>
            </w:r>
          </w:p>
        </w:tc>
        <w:tc>
          <w:tcPr>
            <w:tcW w:type="dxa" w:w="13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</w:tr>
      <w:tr>
        <w:tc>
          <w:tcPr>
            <w:tcW w:type="dxa" w:w="2646"/>
            <w:shd w:val="clear" w:color="auto" w:fill="E8EE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000000"/>
                <w:sz w:val="17"/>
              </w:rPr>
              <w:t>Média 1981–2025</w:t>
            </w:r>
          </w:p>
        </w:tc>
        <w:tc>
          <w:tcPr>
            <w:tcW w:type="dxa" w:w="1600"/>
            <w:shd w:val="clear" w:color="auto" w:fill="E8EEE9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/>
                <w:color w:val="000000"/>
                <w:sz w:val="17"/>
              </w:rPr>
              <w:t>1.714</w:t>
            </w:r>
          </w:p>
        </w:tc>
        <w:tc>
          <w:tcPr>
            <w:tcW w:type="dxa" w:w="1500"/>
            <w:shd w:val="clear" w:color="auto" w:fill="E8EEE9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400"/>
            <w:shd w:val="clear" w:color="auto" w:fill="E8EEE9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val="clear" w:color="auto" w:fill="E8EEE9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/>
                <w:color w:val="000000"/>
                <w:sz w:val="17"/>
              </w:rPr>
              <w:t>371</w:t>
            </w:r>
          </w:p>
        </w:tc>
        <w:tc>
          <w:tcPr>
            <w:tcW w:type="dxa" w:w="1300"/>
            <w:shd w:val="clear" w:color="auto" w:fill="E8EEE9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/>
                <w:color w:val="000000"/>
                <w:sz w:val="17"/>
              </w:rPr>
              <w:t>4</w:t>
            </w:r>
          </w:p>
        </w:tc>
      </w:tr>
    </w:tbl>
    <w:p>
      <w:pPr>
        <w:spacing w:after="0" w:before="80" w:line="264" w:lineRule="auto"/>
        <w:jc w:val="both"/>
      </w:pPr>
      <w:r>
        <w:rPr>
          <w:rFonts w:ascii="Calibri" w:hAnsi="Calibri"/>
          <w:b/>
          <w:i w:val="0"/>
          <w:color w:val="595959"/>
          <w:sz w:val="17"/>
        </w:rPr>
        <w:t xml:space="preserve">Leitura: </w:t>
      </w:r>
      <w:r>
        <w:rPr>
          <w:rFonts w:ascii="Calibri" w:hAnsi="Calibri"/>
          <w:b w:val="0"/>
          <w:i w:val="0"/>
          <w:color w:val="595959"/>
          <w:sz w:val="17"/>
        </w:rPr>
        <w:t>o cenário central eleva o déficit anual em 205 mm sobrea climatologia e adiciona 2 meses de solo esgotado. O excedente hídrico cai de 619 mm para 397 mm — redução de 36% na recarga do perfil.</w:t>
      </w:r>
    </w:p>
    <w:p>
      <w:pPr>
        <w:spacing w:before="240" w:after="100"/>
        <w:pBdr>
          <w:bottom w:val="single" w:sz="6" w:space="4" w:color="3E7D52"/>
        </w:pBdr>
      </w:pPr>
      <w:r>
        <w:rPr>
          <w:rFonts w:ascii="Calibri" w:hAnsi="Calibri"/>
          <w:b/>
          <w:i w:val="0"/>
          <w:color w:val="1F4D2E"/>
          <w:sz w:val="21"/>
          <w:spacing w:val="20"/>
        </w:rPr>
        <w:t>3. BALANÇO HÍDRICO E IMPLICAÇÃO DE CAMPO</w:t>
      </w:r>
    </w:p>
    <w:p>
      <w:pPr>
        <w:spacing w:after="100" w:before="0" w:line="264" w:lineRule="auto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No cenário El Niño forte, o solo permanece abaixo de 20 mm de armazenamento por </w:t>
      </w:r>
      <w:r>
        <w:rPr>
          <w:rFonts w:ascii="Calibri" w:hAnsi="Calibri"/>
          <w:b/>
          <w:i w:val="0"/>
          <w:color w:val="A8322C"/>
          <w:sz w:val="19"/>
        </w:rPr>
        <w:t>6 meses</w:t>
      </w:r>
      <w:r>
        <w:rPr>
          <w:rFonts w:ascii="Calibri" w:hAnsi="Calibri"/>
          <w:b w:val="0"/>
          <w:i w:val="0"/>
          <w:color w:val="000000"/>
          <w:sz w:val="19"/>
        </w:rPr>
        <w:t xml:space="preserve"> do horizonte — sendo a maior sequência contínua de 3 meses —, contra 4 na climatologia. </w:t>
      </w:r>
      <w:r>
        <w:rPr>
          <w:rFonts w:ascii="Calibri" w:hAnsi="Calibri"/>
          <w:b w:val="0"/>
          <w:i w:val="0"/>
          <w:color w:val="000000"/>
          <w:sz w:val="19"/>
        </w:rPr>
        <w:t>Na entrada da estação chuvosa, outubro projeta 59 mm contra 120 mm da climatologia</w:t>
      </w:r>
      <w:r>
        <w:rPr>
          <w:rFonts w:ascii="Calibri" w:hAnsi="Calibri"/>
          <w:b w:val="0"/>
          <w:i w:val="0"/>
          <w:color w:val="000000"/>
          <w:sz w:val="19"/>
        </w:rPr>
        <w:t xml:space="preserve"> e novembro, 113 mm contra 159 mm</w:t>
      </w:r>
      <w:r>
        <w:rPr>
          <w:rFonts w:ascii="Calibri" w:hAnsi="Calibri"/>
          <w:b w:val="0"/>
          <w:i w:val="0"/>
          <w:color w:val="000000"/>
          <w:sz w:val="19"/>
        </w:rPr>
        <w:t>.</w:t>
      </w:r>
    </w:p>
    <w:p>
      <w:pPr>
        <w:spacing w:after="100" w:before="0" w:line="264" w:lineRule="auto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A consequência operacional é direta: </w:t>
      </w:r>
      <w:r>
        <w:rPr>
          <w:rFonts w:ascii="Calibri" w:hAnsi="Calibri"/>
          <w:b/>
          <w:i w:val="0"/>
          <w:color w:val="000000"/>
          <w:sz w:val="19"/>
        </w:rPr>
        <w:t>a recarga do perfil de solo atrasa</w:t>
      </w:r>
      <w:r>
        <w:rPr>
          <w:rFonts w:ascii="Calibri" w:hAnsi="Calibri"/>
          <w:b w:val="0"/>
          <w:i w:val="0"/>
          <w:color w:val="000000"/>
          <w:sz w:val="19"/>
        </w:rPr>
        <w:t>. Mudas plantadas na janela de transição enfrentarão maior risco de estresse hídrico no estabelecimento, justamente na faixa em que historicamente se antecipa parte do plantio para aliviar o pico logístico do núcleo chuvoso.</w:t>
      </w:r>
    </w:p>
    <w:p>
      <w:pPr>
        <w:spacing w:before="240" w:after="100"/>
        <w:pBdr>
          <w:bottom w:val="single" w:sz="6" w:space="4" w:color="3E7D52"/>
        </w:pBdr>
      </w:pPr>
      <w:r>
        <w:rPr>
          <w:rFonts w:ascii="Calibri" w:hAnsi="Calibri"/>
          <w:b/>
          <w:i w:val="0"/>
          <w:color w:val="1F4D2E"/>
          <w:sz w:val="21"/>
          <w:spacing w:val="20"/>
        </w:rPr>
        <w:t>4. RECOMENDAÇÃO OPERACIONAL — JANELA DE PLANTIO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none" w:sz="0" w:space="0" w:color="FFFFFF"/>
          <w:right w:val="none" w:sz="0" w:space="0" w:color="FFFFFF"/>
          <w:insideH w:val="single" w:sz="2" w:space="0" w:color="D9D9D9"/>
          <w:insideV w:val="none" w:sz="0" w:space="0" w:color="FFFFFF"/>
        </w:tblBorders>
        <w:tblCellMar>
          <w:top w:w="60" w:type="dxa"/>
          <w:bottom w:w="60" w:type="dxa"/>
          <w:left w:w="90" w:type="dxa"/>
          <w:right w:w="90" w:type="dxa"/>
        </w:tblCellMar>
        <w:tblLayout w:type="fixed"/>
        <w:tblW w:w="9746" w:type="dxa"/>
      </w:tblPr>
      <w:tblGrid>
        <w:gridCol w:w="1800"/>
        <w:gridCol w:w="1500"/>
        <w:gridCol w:w="6446"/>
      </w:tblGrid>
      <w:tr>
        <w:tc>
          <w:tcPr>
            <w:tcW w:type="dxa" w:w="1800"/>
            <w:shd w:val="clear" w:color="auto" w:fill="1F4D2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Período</w:t>
            </w:r>
          </w:p>
        </w:tc>
        <w:tc>
          <w:tcPr>
            <w:tcW w:type="dxa" w:w="1500"/>
            <w:shd w:val="clear" w:color="auto" w:fill="1F4D2E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Postura</w:t>
            </w:r>
          </w:p>
        </w:tc>
        <w:tc>
          <w:tcPr>
            <w:tcW w:type="dxa" w:w="6446"/>
            <w:shd w:val="clear" w:color="auto" w:fill="1F4D2E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Orientação operacional</w:t>
            </w:r>
          </w:p>
        </w:tc>
      </w:tr>
      <w:tr>
        <w:tc>
          <w:tcPr>
            <w:tcW w:type="dxa" w:w="1800"/>
            <w:shd w:val="clear" w:color="auto" w:fill="F2F6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Dez – Mar</w:t>
            </w:r>
          </w:p>
        </w:tc>
        <w:tc>
          <w:tcPr>
            <w:tcW w:type="dxa" w:w="15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1FA05A"/>
                <w:sz w:val="17"/>
              </w:rPr>
              <w:t>Núcleo</w:t>
            </w:r>
          </w:p>
        </w:tc>
        <w:tc>
          <w:tcPr>
            <w:tcW w:type="dxa" w:w="6446"/>
            <w:shd w:val="clear" w:color="auto" w:fill="F2F6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Plantio pleno — solo em capacidade de campo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Out – Nov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D18B2C"/>
                <w:sz w:val="17"/>
              </w:rPr>
              <w:t>Atenção</w:t>
            </w:r>
          </w:p>
        </w:tc>
        <w:tc>
          <w:tcPr>
            <w:tcW w:type="dxa" w:w="644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Liberar por talhão, com ONI e chuva acumulada</w:t>
            </w:r>
          </w:p>
        </w:tc>
      </w:tr>
      <w:tr>
        <w:tc>
          <w:tcPr>
            <w:tcW w:type="dxa" w:w="1800"/>
            <w:shd w:val="clear" w:color="auto" w:fill="F2F6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Abr</w:t>
            </w:r>
          </w:p>
        </w:tc>
        <w:tc>
          <w:tcPr>
            <w:tcW w:type="dxa" w:w="15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D18B2C"/>
                <w:sz w:val="17"/>
              </w:rPr>
              <w:t>Atenção</w:t>
            </w:r>
          </w:p>
        </w:tc>
        <w:tc>
          <w:tcPr>
            <w:tcW w:type="dxa" w:w="6446"/>
            <w:shd w:val="clear" w:color="auto" w:fill="F2F6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Encerrar plantio; priorizar áreas de menor risco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Mai / Set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A8322C"/>
                <w:sz w:val="17"/>
              </w:rPr>
              <w:t>Restrito</w:t>
            </w:r>
          </w:p>
        </w:tc>
        <w:tc>
          <w:tcPr>
            <w:tcW w:type="dxa" w:w="644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Somente com irrigação de salvamento</w:t>
            </w:r>
          </w:p>
        </w:tc>
      </w:tr>
      <w:tr>
        <w:tc>
          <w:tcPr>
            <w:tcW w:type="dxa" w:w="1800"/>
            <w:shd w:val="clear" w:color="auto" w:fill="F2F6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Jun – Ago</w:t>
            </w:r>
          </w:p>
        </w:tc>
        <w:tc>
          <w:tcPr>
            <w:tcW w:type="dxa" w:w="1500"/>
            <w:shd w:val="clear" w:color="auto" w:fill="F2F6F3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6E6E6E"/>
                <w:sz w:val="17"/>
              </w:rPr>
              <w:t>Fechado</w:t>
            </w:r>
          </w:p>
        </w:tc>
        <w:tc>
          <w:tcPr>
            <w:tcW w:type="dxa" w:w="6446"/>
            <w:shd w:val="clear" w:color="auto" w:fill="F2F6F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Estação seca estrutural — sem plantio</w:t>
            </w:r>
          </w:p>
        </w:tc>
      </w:tr>
    </w:tbl>
    <w:p>
      <w:pPr>
        <w:spacing w:after="100" w:before="120" w:line="264" w:lineRule="auto"/>
      </w:pPr>
      <w:r>
        <w:rPr>
          <w:rFonts w:ascii="Calibri" w:hAnsi="Calibri"/>
          <w:b/>
          <w:i w:val="0"/>
          <w:color w:val="1F4D2E"/>
          <w:sz w:val="19"/>
        </w:rPr>
        <w:t>Ajustes recomendados para a safra:</w:t>
      </w:r>
    </w:p>
    <w:p>
      <w:pPr>
        <w:spacing w:after="100" w:before="0" w:line="264" w:lineRule="auto"/>
        <w:jc w:val="both"/>
      </w:pPr>
      <w:r>
        <w:rPr>
          <w:rFonts w:ascii="Calibri" w:hAnsi="Calibri"/>
          <w:b/>
          <w:i w:val="0"/>
          <w:color w:val="000000"/>
          <w:sz w:val="19"/>
        </w:rPr>
        <w:t xml:space="preserve">a) Concentrar o plantio no núcleo. </w:t>
      </w:r>
      <w:r>
        <w:rPr>
          <w:rFonts w:ascii="Calibri" w:hAnsi="Calibri"/>
          <w:b w:val="0"/>
          <w:i w:val="0"/>
          <w:color w:val="000000"/>
          <w:sz w:val="19"/>
        </w:rPr>
        <w:t>Deslocar para o núcleo chuvoso o volume que normalmente seria antecipado para a janela de transição, aceitando maior pressão logística em troca de menor risco de replantio.</w:t>
      </w:r>
    </w:p>
    <w:p>
      <w:pPr>
        <w:spacing w:after="100" w:before="0" w:line="264" w:lineRule="auto"/>
        <w:jc w:val="both"/>
      </w:pPr>
      <w:r>
        <w:rPr>
          <w:rFonts w:ascii="Calibri" w:hAnsi="Calibri"/>
          <w:b/>
          <w:i w:val="0"/>
          <w:color w:val="000000"/>
          <w:sz w:val="19"/>
        </w:rPr>
        <w:t xml:space="preserve">b) Condicionar a janela de atenção a gatilhos objetivos. </w:t>
      </w:r>
      <w:r>
        <w:rPr>
          <w:rFonts w:ascii="Calibri" w:hAnsi="Calibri"/>
          <w:b w:val="0"/>
          <w:i w:val="0"/>
          <w:color w:val="000000"/>
          <w:sz w:val="19"/>
        </w:rPr>
        <w:t>Liberar plantio nos meses de atenção apenas por talhão e mediante critérios de chuva acumulada e armazenamento de solo definidos pela operação — os limiares devem ser calibrados com o histórico de pegamento de cada região.</w:t>
      </w:r>
    </w:p>
    <w:p>
      <w:pPr>
        <w:spacing w:after="100" w:before="0" w:line="264" w:lineRule="auto"/>
        <w:jc w:val="both"/>
      </w:pPr>
      <w:r>
        <w:rPr>
          <w:rFonts w:ascii="Calibri" w:hAnsi="Calibri"/>
          <w:b/>
          <w:i w:val="0"/>
          <w:color w:val="000000"/>
          <w:sz w:val="19"/>
        </w:rPr>
        <w:t xml:space="preserve">c) Dimensionar contingência de replantio. </w:t>
      </w:r>
      <w:r>
        <w:rPr>
          <w:rFonts w:ascii="Calibri" w:hAnsi="Calibri"/>
          <w:b w:val="0"/>
          <w:i w:val="0"/>
          <w:color w:val="000000"/>
          <w:sz w:val="19"/>
        </w:rPr>
        <w:t>Provisionar mudas adicionais para as áreas plantadas fora do núcleo, cuja taxa de perda tende a ser superior à média em anos de forçante ENSO ativa.</w:t>
      </w:r>
    </w:p>
    <w:p>
      <w:pPr>
        <w:spacing w:after="100" w:before="0" w:line="264" w:lineRule="auto"/>
        <w:jc w:val="both"/>
      </w:pPr>
      <w:r>
        <w:rPr>
          <w:rFonts w:ascii="Calibri" w:hAnsi="Calibri"/>
          <w:b/>
          <w:i w:val="0"/>
          <w:color w:val="000000"/>
          <w:sz w:val="19"/>
        </w:rPr>
        <w:t xml:space="preserve">d) Revisar mensalmente. </w:t>
      </w:r>
      <w:r>
        <w:rPr>
          <w:rFonts w:ascii="Calibri" w:hAnsi="Calibri"/>
          <w:b w:val="0"/>
          <w:i w:val="0"/>
          <w:color w:val="000000"/>
          <w:sz w:val="19"/>
        </w:rPr>
        <w:t xml:space="preserve">O dashboard é reprocessado automaticamente com os dados do mês anterior e os índices oceânicos atualizados (próxima atualização: 21/out/2026). </w:t>
      </w:r>
      <w:r>
        <w:rPr>
          <w:rFonts w:ascii="Calibri" w:hAnsi="Calibri"/>
          <w:b w:val="0"/>
          <w:i w:val="0"/>
          <w:color w:val="000000"/>
          <w:sz w:val="19"/>
        </w:rPr>
        <w:t>Uma reclassificação do evento para El Niño moderado altera a projeção de 1.287 mm para 1.360 mm e a probabilidade de ano seco de 88,1% para 77,5%, o que redefine a postura da janela de transição.</w:t>
      </w:r>
    </w:p>
    <w:p>
      <w:pPr>
        <w:spacing w:before="240" w:after="100"/>
        <w:pBdr>
          <w:bottom w:val="single" w:sz="6" w:space="4" w:color="3E7D52"/>
        </w:pBdr>
      </w:pPr>
      <w:r>
        <w:rPr>
          <w:rFonts w:ascii="Calibri" w:hAnsi="Calibri"/>
          <w:b/>
          <w:i w:val="0"/>
          <w:color w:val="1F4D2E"/>
          <w:sz w:val="21"/>
          <w:spacing w:val="20"/>
        </w:rPr>
        <w:t>FONTES CONSULTADAS</w:t>
      </w:r>
    </w:p>
    <w:p>
      <w:pPr>
        <w:spacing w:after="40" w:before="0" w:line="264" w:lineRule="auto"/>
      </w:pPr>
      <w:r>
        <w:rPr>
          <w:rFonts w:ascii="Calibri" w:hAnsi="Calibri"/>
          <w:b w:val="0"/>
          <w:i/>
          <w:color w:val="595959"/>
          <w:sz w:val="16"/>
        </w:rPr>
        <w:t xml:space="preserve">CPC ENSO Diagnostic Discussion. </w:t>
      </w:r>
      <w:r>
        <w:rPr>
          <w:rFonts w:ascii="Calibri" w:hAnsi="Calibri"/>
          <w:b w:val="0"/>
          <w:i w:val="0"/>
          <w:color w:val="595959"/>
          <w:sz w:val="16"/>
        </w:rPr>
        <w:t xml:space="preserve">NOAA/CPC, 13/08/2026. </w:t>
      </w:r>
      <w:hyperlink r:id="rId10">
        <w:r>
          <w:rPr>
            <w:rFonts w:ascii="Calibri" w:hAnsi="Calibri"/>
            <w:sz w:val="15"/>
            <w:color w:val="1155CC"/>
            <w:u w:val="single"/>
          </w:rPr>
          <w:t xml:space="preserve">https://www.cpc.ncep.noaa.gov/products/analysis_monitoring/enso_advisory/ensodisc.shtml</w:t>
        </w:r>
      </w:hyperlink>
      <w:r>
        <w:br/>
      </w:r>
      <w:r>
        <w:rPr>
          <w:rFonts w:ascii="Calibri" w:hAnsi="Calibri"/>
          <w:b w:val="0"/>
          <w:i/>
          <w:color w:val="595959"/>
          <w:sz w:val="16"/>
        </w:rPr>
        <w:t xml:space="preserve">De La Niña a um possível El Niño muito forte. </w:t>
      </w:r>
      <w:r>
        <w:rPr>
          <w:rFonts w:ascii="Calibri" w:hAnsi="Calibri"/>
          <w:b w:val="0"/>
          <w:i w:val="0"/>
          <w:color w:val="595959"/>
          <w:sz w:val="16"/>
        </w:rPr>
        <w:t xml:space="preserve">INMET, 10/09/2026. </w:t>
      </w:r>
      <w:hyperlink r:id="rId11">
        <w:r>
          <w:rPr>
            <w:rFonts w:ascii="Calibri" w:hAnsi="Calibri"/>
            <w:sz w:val="15"/>
            <w:color w:val="1155CC"/>
            <w:u w:val="single"/>
          </w:rPr>
          <w:t xml:space="preserve">https://portal.inmet.gov.br/noticias/de-la-ni%C3%B1a-a-um-poss%C3%ADvel-el-ni%C3%B1o-muito-forte-veja-a-evolu%C3%A7%C3%A3o-das-proje%C3%A7%C3%B5es-em-2026</w:t>
        </w:r>
      </w:hyperlink>
      <w:r>
        <w:br/>
      </w:r>
      <w:r>
        <w:rPr>
          <w:rFonts w:ascii="Calibri" w:hAnsi="Calibri"/>
          <w:b w:val="0"/>
          <w:i/>
          <w:color w:val="595959"/>
          <w:sz w:val="16"/>
        </w:rPr>
        <w:t xml:space="preserve">Boletim do Painel El Niño nº 03 — Agosto de 2026. </w:t>
      </w:r>
      <w:r>
        <w:rPr>
          <w:rFonts w:ascii="Calibri" w:hAnsi="Calibri"/>
          <w:b w:val="0"/>
          <w:i w:val="0"/>
          <w:color w:val="595959"/>
          <w:sz w:val="16"/>
        </w:rPr>
        <w:t xml:space="preserve">CEMADEN (INMET, INPE, ANA, CEMADEN, SGB, SEDEC, CENSIPAM), 02/09/2026. </w:t>
      </w:r>
      <w:hyperlink r:id="rId12">
        <w:r>
          <w:rPr>
            <w:rFonts w:ascii="Calibri" w:hAnsi="Calibri"/>
            <w:sz w:val="15"/>
            <w:color w:val="1155CC"/>
            <w:u w:val="single"/>
          </w:rPr>
          <w:t xml:space="preserve">https://www.gov.br/cemaden/pt-br/assuntos/monitoramento/el-nino/boletim-do-painel-el-nino-ndeg-03-agosto-de-2026-potenciais-impactos-e-orientacoes</w:t>
        </w:r>
      </w:hyperlink>
      <w:r>
        <w:br/>
      </w:r>
      <w:r>
        <w:rPr>
          <w:rFonts w:ascii="Calibri" w:hAnsi="Calibri"/>
          <w:b w:val="0"/>
          <w:i/>
          <w:color w:val="595959"/>
          <w:sz w:val="16"/>
        </w:rPr>
        <w:t xml:space="preserve">ANA aponta redução no armazenamento dos reservatórios do SIN. </w:t>
      </w:r>
      <w:r>
        <w:rPr>
          <w:rFonts w:ascii="Calibri" w:hAnsi="Calibri"/>
          <w:b w:val="0"/>
          <w:i w:val="0"/>
          <w:color w:val="595959"/>
          <w:sz w:val="16"/>
        </w:rPr>
        <w:t xml:space="preserve">ANA, 01/09/2026. </w:t>
      </w:r>
      <w:hyperlink r:id="rId13">
        <w:r>
          <w:rPr>
            <w:rFonts w:ascii="Calibri" w:hAnsi="Calibri"/>
            <w:sz w:val="15"/>
            <w:color w:val="1155CC"/>
            <w:u w:val="single"/>
          </w:rPr>
          <w:t xml:space="preserve">https://www.gov.br/ana/pt-br/assuntos/noticias-e-eventos/noticias-periodo-eleitoral-2026/ana-aponta-reducao-no-armazenamento-dos-reservatorios-do-sin-e-detalha-panorama-de-rios-e-da-seca-na-3a-edicao-do-painel-el-nino</w:t>
        </w:r>
      </w:hyperlink>
    </w:p>
    <w:p>
      <w:pPr>
        <w:spacing w:before="200"/>
        <w:pBdr>
          <w:top w:val="single" w:sz="6" w:space="6" w:color="BFBFBF"/>
        </w:pBdr>
      </w:pPr>
      <w:r>
        <w:rPr>
          <w:rFonts w:ascii="Calibri" w:hAnsi="Calibri"/>
          <w:b w:val="0"/>
          <w:i/>
          <w:color w:val="595959"/>
          <w:sz w:val="15"/>
        </w:rPr>
        <w:t>Fontes: NOAA/CPC · IRI Columbia · NASA MERRA-2 · ECMWF ERA5-Land (Open-Meteo) · rede de estações Sinobras Florestal. Cenário central classificado pelo pico projetado do Niño 3.4 (2,70 °C). Documento gerado automaticamente em 19/10/2026.</w:t>
      </w:r>
    </w:p>
    <w:sectPr w:rsidR="00FC693F" w:rsidRPr="0006063C" w:rsidSect="00034616">
      <w:headerReference w:type="default" r:id="rId9"/>
      <w:pgSz w:w="12240" w:h="15840"/>
      <w:pgMar w:top="1500" w:right="1080" w:bottom="900" w:left="1080" w:header="4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371600" cy="48808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sinobra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48808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www.cpc.ncep.noaa.gov/products/analysis_monitoring/enso_advisory/ensodisc.shtml" TargetMode="External"/><Relationship Id="rId11" Type="http://schemas.openxmlformats.org/officeDocument/2006/relationships/hyperlink" Target="https://portal.inmet.gov.br/noticias/de-la-ni%C3%B1a-a-um-poss%C3%ADvel-el-ni%C3%B1o-muito-forte-veja-a-evolu%C3%A7%C3%A3o-das-proje%C3%A7%C3%B5es-em-2026" TargetMode="External"/><Relationship Id="rId12" Type="http://schemas.openxmlformats.org/officeDocument/2006/relationships/hyperlink" Target="https://www.gov.br/cemaden/pt-br/assuntos/monitoramento/el-nino/boletim-do-painel-el-nino-ndeg-03-agosto-de-2026-potenciais-impactos-e-orientacoes" TargetMode="External"/><Relationship Id="rId13" Type="http://schemas.openxmlformats.org/officeDocument/2006/relationships/hyperlink" Target="https://www.gov.br/ana/pt-br/assuntos/noticias-e-eventos/noticias-periodo-eleitoral-2026/ana-aponta-reducao-no-armazenamento-dos-reservatorios-do-sin-e-detalha-panorama-de-rios-e-da-seca-na-3a-edicao-do-painel-el-nin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