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set/2026 – ago/2027  ·  Emissão 08/09/2026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2,70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1.524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11,1%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38,1%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60% a 97%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+2,70°C (semana 12/ago/2026)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+1,51°C (MJJ/2026)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2,70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13/ago/2026):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 — &gt;90% de evento muito forte em 2026-27.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ago/2026 (19/ago)):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set/2026 – ago/2027,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1.524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−11,1%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38,1%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439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1.602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−6,6%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21,4%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400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1.659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−3,2%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13,1%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370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1.763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+2,8%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5,4%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314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1.867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+8,9%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1,8%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264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68 mm sobrea climatologia e adiciona 2 meses de solo esgotado. O excedente hídrico cai de 619 mm para 497 mm — redução de 20%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6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234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83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21/set/2026).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1.524 mm para 1.602 mm e a probabilidade de ano seco de 38,1% para 21,4%,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(2,70 °C). Documento gerado automaticamente em 08/09/2026.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