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ago/2026 – jul/2027  ·  Emissão 21/08/2026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2,55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1.409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17,8%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65,9%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12% a 19%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+2,10°C (semana 15/jul/2026)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+0,95°C (AMJ/2026)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2,55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9/jul/2026):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ago/2026 – jul/2027,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1.409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−17,8%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65,9%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477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1.491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−13,0%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45,9%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457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1.546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−9,8%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33,4%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444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1.636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−4,6%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16,6%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417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1.736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+1,3%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4,5%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381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106 mm sobrea climatologia e adiciona 2 meses de solo esgotado. O excedente hídrico cai de 619 mm para 420 mm — redução de 32%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4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101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137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21/ago/2026).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1.409 mm para 1.491 mm e a probabilidade de ano seco de 65,9% para 45,9%,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(2,55 °C). Documento gerado automaticamente em 21/08/2026.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