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2E75B6"/>
          <w:sz w:val="22"/>
        </w:rPr>
        <w:t>CSPS17 — Coordination Sécurité et Protection de la Santé</w:t>
      </w:r>
    </w:p>
    <w:p/>
    <w:p>
      <w:pPr>
        <w:jc w:val="center"/>
      </w:pPr>
      <w:r>
        <w:rPr>
          <w:b/>
          <w:i w:val="0"/>
          <w:color w:val="1F4E79"/>
          <w:sz w:val="80"/>
        </w:rPr>
        <w:t>P.G.C</w:t>
      </w:r>
    </w:p>
    <w:p>
      <w:pPr>
        <w:jc w:val="center"/>
      </w:pPr>
      <w:r>
        <w:rPr>
          <w:b/>
          <w:i w:val="0"/>
          <w:sz w:val="32"/>
        </w:rPr>
        <w:t>CHANTIER DE CATÉGORIE {{categorie}}</w:t>
      </w:r>
    </w:p>
    <w:p>
      <w:pPr>
        <w:jc w:val="center"/>
      </w:pPr>
      <w:r>
        <w:rPr>
          <w:b w:val="0"/>
          <w:i w:val="0"/>
          <w:sz w:val="26"/>
        </w:rPr>
        <w:t>Plan Général de Coordination en matière de Sécurité et de Protection de la Santé</w:t>
      </w:r>
    </w:p>
    <w:p/>
    <w:tbl>
      <w:tblPr>
        <w:tblStyle w:val="TableGrid"/>
        <w:tblW w:type="auto" w:w="0"/>
        <w:jc w:val="center"/>
        <w:tblLook w:firstColumn="1" w:firstRow="1" w:lastColumn="0" w:lastRow="0" w:noHBand="0" w:noVBand="1" w:val="04A0"/>
      </w:tblPr>
      <w:tblGrid>
        <w:gridCol w:w="5270"/>
        <w:gridCol w:w="5270"/>
      </w:tblGrid>
      <w:tr>
        <w:tc>
          <w:tcPr>
            <w:tcW w:type="dxa" w:w="3118"/>
            <w:shd w:val="clear" w:fill="EBF3FB"/>
          </w:tcPr>
          <w:p>
            <w:r/>
            <w:r>
              <w:rPr>
                <w:b/>
                <w:sz w:val="20"/>
              </w:rPr>
              <w:t>Projet</w:t>
            </w:r>
          </w:p>
        </w:tc>
        <w:tc>
          <w:tcPr>
            <w:tcW w:type="dxa" w:w="6520"/>
          </w:tcPr>
          <w:p>
            <w:r/>
            <w:r>
              <w:rPr>
                <w:b w:val="0"/>
                <w:sz w:val="20"/>
              </w:rPr>
              <w:t>{{chantier_nom}}</w:t>
              <w:br/>
              <w:t>{{chantier_adresse}}</w:t>
            </w:r>
          </w:p>
        </w:tc>
      </w:tr>
      <w:tr>
        <w:tc>
          <w:tcPr>
            <w:tcW w:type="dxa" w:w="3118"/>
            <w:shd w:val="clear" w:fill="EBF3FB"/>
          </w:tcPr>
          <w:p>
            <w:r/>
            <w:r>
              <w:rPr>
                <w:b/>
                <w:sz w:val="20"/>
              </w:rPr>
              <w:t>Type de chantier / nature des travaux</w:t>
            </w:r>
          </w:p>
        </w:tc>
        <w:tc>
          <w:tcPr>
            <w:tcW w:type="dxa" w:w="6520"/>
          </w:tcPr>
          <w:p>
            <w:r/>
            <w:r>
              <w:rPr>
                <w:b w:val="0"/>
                <w:sz w:val="20"/>
              </w:rPr>
              <w:t>{{chantier_nature}}</w:t>
            </w:r>
          </w:p>
        </w:tc>
      </w:tr>
      <w:tr>
        <w:tc>
          <w:tcPr>
            <w:tcW w:type="dxa" w:w="3118"/>
            <w:shd w:val="clear" w:fill="EBF3FB"/>
          </w:tcPr>
          <w:p>
            <w:r/>
            <w:r>
              <w:rPr>
                <w:b/>
                <w:sz w:val="20"/>
              </w:rPr>
              <w:t>Maître d'ouvrage</w:t>
            </w:r>
          </w:p>
        </w:tc>
        <w:tc>
          <w:tcPr>
            <w:tcW w:type="dxa" w:w="6520"/>
          </w:tcPr>
          <w:p>
            <w:r/>
            <w:r>
              <w:rPr>
                <w:b w:val="0"/>
                <w:sz w:val="20"/>
              </w:rPr>
              <w:t>{{moa_nom}}</w:t>
              <w:br/>
              <w:t>{{moa_adresse}}</w:t>
            </w:r>
          </w:p>
        </w:tc>
      </w:tr>
      <w:tr>
        <w:tc>
          <w:tcPr>
            <w:tcW w:type="dxa" w:w="3118"/>
            <w:shd w:val="clear" w:fill="EBF3FB"/>
          </w:tcPr>
          <w:p>
            <w:r/>
            <w:r>
              <w:rPr>
                <w:b/>
                <w:sz w:val="20"/>
              </w:rPr>
              <w:t>Contact MOA</w:t>
            </w:r>
          </w:p>
        </w:tc>
        <w:tc>
          <w:tcPr>
            <w:tcW w:type="dxa" w:w="6520"/>
          </w:tcPr>
          <w:p>
            <w:r/>
            <w:r>
              <w:rPr>
                <w:b w:val="0"/>
                <w:sz w:val="20"/>
              </w:rPr>
              <w:t>{{moa_contact}} — {{moa_tel}} — {{moa_mail}}</w:t>
            </w:r>
          </w:p>
        </w:tc>
      </w:tr>
      <w:tr>
        <w:tc>
          <w:tcPr>
            <w:tcW w:type="dxa" w:w="3118"/>
            <w:shd w:val="clear" w:fill="EBF3FB"/>
          </w:tcPr>
          <w:p>
            <w:r/>
            <w:r>
              <w:rPr>
                <w:b/>
                <w:sz w:val="20"/>
              </w:rPr>
              <w:t>Maître d'œuvre</w:t>
            </w:r>
          </w:p>
        </w:tc>
        <w:tc>
          <w:tcPr>
            <w:tcW w:type="dxa" w:w="6520"/>
          </w:tcPr>
          <w:p>
            <w:r/>
            <w:r>
              <w:rPr>
                <w:b w:val="0"/>
                <w:sz w:val="20"/>
              </w:rPr>
              <w:t>{{moe_nom}} — {{moe_contact}}</w:t>
            </w:r>
          </w:p>
        </w:tc>
      </w:tr>
      <w:tr>
        <w:tc>
          <w:tcPr>
            <w:tcW w:type="dxa" w:w="3118"/>
            <w:shd w:val="clear" w:fill="EBF3FB"/>
          </w:tcPr>
          <w:p>
            <w:r/>
            <w:r>
              <w:rPr>
                <w:b/>
                <w:sz w:val="20"/>
              </w:rPr>
              <w:t>Coordonnateur SPS Conception</w:t>
            </w:r>
          </w:p>
        </w:tc>
        <w:tc>
          <w:tcPr>
            <w:tcW w:type="dxa" w:w="6520"/>
          </w:tcPr>
          <w:p>
            <w:r/>
            <w:r>
              <w:rPr>
                <w:b w:val="0"/>
                <w:sz w:val="20"/>
              </w:rPr>
              <w:t>{{cspsc_nom}} — {{cspsc_tel}} — {{cspsc_mail}}</w:t>
            </w:r>
          </w:p>
        </w:tc>
      </w:tr>
      <w:tr>
        <w:tc>
          <w:tcPr>
            <w:tcW w:type="dxa" w:w="3118"/>
            <w:shd w:val="clear" w:fill="EBF3FB"/>
          </w:tcPr>
          <w:p>
            <w:r/>
            <w:r>
              <w:rPr>
                <w:b/>
                <w:sz w:val="20"/>
              </w:rPr>
              <w:t>Coordonnateur SPS Réalisation</w:t>
            </w:r>
          </w:p>
        </w:tc>
        <w:tc>
          <w:tcPr>
            <w:tcW w:type="dxa" w:w="6520"/>
          </w:tcPr>
          <w:p>
            <w:r/>
            <w:r>
              <w:rPr>
                <w:b w:val="0"/>
                <w:sz w:val="20"/>
              </w:rPr>
              <w:t>{{cspsr_nom}} — {{cspsr_tel}} — {{cspsr_mail}}</w:t>
            </w:r>
          </w:p>
        </w:tc>
      </w:tr>
      <w:tr>
        <w:tc>
          <w:tcPr>
            <w:tcW w:type="dxa" w:w="3118"/>
            <w:shd w:val="clear" w:fill="EBF3FB"/>
          </w:tcPr>
          <w:p>
            <w:r/>
            <w:r>
              <w:rPr>
                <w:b/>
                <w:sz w:val="20"/>
              </w:rPr>
              <w:t>Indice / Date</w:t>
            </w:r>
          </w:p>
        </w:tc>
        <w:tc>
          <w:tcPr>
            <w:tcW w:type="dxa" w:w="6520"/>
          </w:tcPr>
          <w:p>
            <w:r/>
            <w:r>
              <w:rPr>
                <w:b w:val="0"/>
                <w:sz w:val="20"/>
              </w:rPr>
              <w:t>{{pgc_indice}} — {{pgc_date}}</w:t>
            </w:r>
          </w:p>
        </w:tc>
      </w:tr>
    </w:tbl>
    <w:p>
      <w:r>
        <w:br w:type="page"/>
      </w:r>
    </w:p>
    <w:p>
      <w:pPr>
        <w:pStyle w:val="Heading1"/>
      </w:pPr>
      <w:r>
        <w:t>SOMMAIRE</w:t>
      </w:r>
    </w:p>
    <w:p>
      <w:pPr>
        <w:pStyle w:val="ListBullet"/>
      </w:pPr>
      <w:r>
        <w:rPr>
          <w:sz w:val="20"/>
        </w:rPr>
        <w:t>0. Note préliminaire</w:t>
      </w:r>
    </w:p>
    <w:p>
      <w:pPr>
        <w:pStyle w:val="ListBullet"/>
      </w:pPr>
      <w:r>
        <w:rPr>
          <w:sz w:val="20"/>
        </w:rPr>
        <w:t>1. Renseignements administratifs</w:t>
      </w:r>
    </w:p>
    <w:p>
      <w:pPr>
        <w:pStyle w:val="ListBullet"/>
      </w:pPr>
      <w:r>
        <w:rPr>
          <w:sz w:val="20"/>
        </w:rPr>
        <w:t>2. Mesures d'organisation générale du chantier</w:t>
      </w:r>
    </w:p>
    <w:p>
      <w:pPr>
        <w:pStyle w:val="ListBullet"/>
      </w:pPr>
      <w:r>
        <w:rPr>
          <w:sz w:val="20"/>
        </w:rPr>
        <w:t>3. Mesures de coordination et analyse des risques</w:t>
      </w:r>
    </w:p>
    <w:p>
      <w:pPr>
        <w:pStyle w:val="ListBullet"/>
      </w:pPr>
      <w:r>
        <w:rPr>
          <w:sz w:val="20"/>
        </w:rPr>
        <w:t>4. Maintien du chantier en bon ordre et salubrité</w:t>
      </w:r>
    </w:p>
    <w:p>
      <w:pPr>
        <w:pStyle w:val="ListBullet"/>
      </w:pPr>
      <w:r>
        <w:rPr>
          <w:sz w:val="20"/>
        </w:rPr>
        <w:t>5. Secours et évacuation</w:t>
      </w:r>
    </w:p>
    <w:p>
      <w:pPr>
        <w:pStyle w:val="ListBullet"/>
      </w:pPr>
      <w:r>
        <w:rPr>
          <w:sz w:val="20"/>
        </w:rPr>
        <w:t>6. Modalités de coopération</w:t>
      </w:r>
    </w:p>
    <w:p>
      <w:pPr>
        <w:pStyle w:val="ListBullet"/>
      </w:pPr>
      <w:r>
        <w:rPr>
          <w:sz w:val="20"/>
        </w:rPr>
        <w:t>Annexes</w:t>
      </w:r>
    </w:p>
    <w:p>
      <w:r>
        <w:br w:type="page"/>
      </w:r>
    </w:p>
    <w:p>
      <w:pPr>
        <w:pStyle w:val="Heading1"/>
      </w:pPr>
      <w:r>
        <w:t>0. NOTE PRÉLIMINAIRE</w:t>
      </w:r>
    </w:p>
    <w:p>
      <w:r>
        <w:rPr>
          <w:b w:val="0"/>
          <w:i w:val="0"/>
          <w:sz w:val="20"/>
        </w:rPr>
        <w:t>Le PGC SPS définit des mesures destinées à prévenir les risques découlant des interventions successives ou simultanées sur le chantier. Ce document est requis pour toutes les opérations de catégories 1 ou 2, mais aussi celles de catégorie 3 (PGC SPS simplifié) comportant des travaux à risques particuliers. Établi dès la phase de conception de l'opération, il doit être tenu à jour et adapté à l'évolution du chantier. Il est joint aux dossiers d'appel d'offres.</w:t>
        <w:br/>
        <w:t>Le PGC SPS est établi en concertation avec la maîtrise d'œuvre par le coordonnateur SPS dès le début de la phase de conception, à partir des éléments recueillis sur le site ou fournis par le maître d'ouvrage. Il est :</w:t>
      </w:r>
    </w:p>
    <w:p>
      <w:pPr>
        <w:pStyle w:val="ListBullet"/>
      </w:pPr>
      <w:r>
        <w:rPr>
          <w:sz w:val="20"/>
        </w:rPr>
        <w:t>Joint au dossier de consultation des entreprises,</w:t>
      </w:r>
    </w:p>
    <w:p>
      <w:pPr>
        <w:pStyle w:val="ListBullet"/>
      </w:pPr>
      <w:r>
        <w:rPr>
          <w:sz w:val="20"/>
        </w:rPr>
        <w:t>Mis à jour pendant toute la durée de l'opération,</w:t>
      </w:r>
    </w:p>
    <w:p>
      <w:pPr>
        <w:pStyle w:val="ListBullet"/>
      </w:pPr>
      <w:r>
        <w:rPr>
          <w:sz w:val="20"/>
        </w:rPr>
        <w:t>Mis à disposition de tous les acteurs du projet,</w:t>
      </w:r>
    </w:p>
    <w:p>
      <w:pPr>
        <w:pStyle w:val="ListBullet"/>
      </w:pPr>
      <w:r>
        <w:rPr>
          <w:sz w:val="20"/>
        </w:rPr>
        <w:t>Porteur de préconisations techniques et organisationnelles pour prévenir les risques sur le chantier.</w:t>
      </w:r>
    </w:p>
    <w:p>
      <w:r>
        <w:rPr>
          <w:b/>
          <w:i w:val="0"/>
          <w:color w:val="1F4E79"/>
          <w:sz w:val="20"/>
        </w:rPr>
        <w:t>RÈGLES COMMUNES</w:t>
      </w:r>
    </w:p>
    <w:p>
      <w:r>
        <w:rPr>
          <w:b w:val="0"/>
          <w:i w:val="0"/>
          <w:sz w:val="20"/>
        </w:rPr>
        <w:t>Ce document a été établi à la demande du Maître d'Ouvrage par le Coordonnateur Sécurité et Protection de la Santé pour répondre aux exigences de la loi n°93-1418 du 31 décembre 1993 et de son décret d'application n°94-1159. Il est fondé sur les principes généraux de prévention :</w:t>
      </w:r>
    </w:p>
    <w:p>
      <w:pPr>
        <w:pStyle w:val="ListBullet"/>
      </w:pPr>
      <w:r>
        <w:rPr>
          <w:sz w:val="20"/>
        </w:rPr>
        <w:t>a) Éviter les risques,</w:t>
      </w:r>
    </w:p>
    <w:p>
      <w:pPr>
        <w:pStyle w:val="ListBullet"/>
      </w:pPr>
      <w:r>
        <w:rPr>
          <w:sz w:val="20"/>
        </w:rPr>
        <w:t>b) Évaluer les risques qui ne peuvent pas être évités,</w:t>
      </w:r>
    </w:p>
    <w:p>
      <w:pPr>
        <w:pStyle w:val="ListBullet"/>
      </w:pPr>
      <w:r>
        <w:rPr>
          <w:sz w:val="20"/>
        </w:rPr>
        <w:t>c) Combattre les risques à la source,</w:t>
      </w:r>
    </w:p>
    <w:p>
      <w:pPr>
        <w:pStyle w:val="ListBullet"/>
      </w:pPr>
      <w:r>
        <w:rPr>
          <w:sz w:val="20"/>
        </w:rPr>
        <w:t>d) Adapter le travail à l'homme, en particulier en ce qui concerne la conception des postes de travail ainsi que le choix des équipements et des méthodes de travail et de production,</w:t>
      </w:r>
    </w:p>
    <w:p>
      <w:pPr>
        <w:pStyle w:val="ListBullet"/>
      </w:pPr>
      <w:r>
        <w:rPr>
          <w:sz w:val="20"/>
        </w:rPr>
        <w:t>e) Tenir compte de l'état d'évolution de la technique,</w:t>
      </w:r>
    </w:p>
    <w:p>
      <w:pPr>
        <w:pStyle w:val="ListBullet"/>
      </w:pPr>
      <w:r>
        <w:rPr>
          <w:sz w:val="20"/>
        </w:rPr>
        <w:t>f) Remplacer ce qui est dangereux par ce qui n'est pas dangereux ou par ce qui l'est moins,</w:t>
      </w:r>
    </w:p>
    <w:p>
      <w:pPr>
        <w:pStyle w:val="ListBullet"/>
      </w:pPr>
      <w:r>
        <w:rPr>
          <w:sz w:val="20"/>
        </w:rPr>
        <w:t>g) Planifier la prévention en y intégrant, dans un ensemble cohérent, la technique, l'organisation du travail, les conditions de travail, les relations sociales et l'influence des facteurs ambiants,</w:t>
      </w:r>
    </w:p>
    <w:p>
      <w:pPr>
        <w:pStyle w:val="ListBullet"/>
      </w:pPr>
      <w:r>
        <w:rPr>
          <w:sz w:val="20"/>
        </w:rPr>
        <w:t>h) Prendre des mesures de protection collective en leur donnant la priorité sur les mesures de protection individuelle,</w:t>
      </w:r>
    </w:p>
    <w:p>
      <w:pPr>
        <w:pStyle w:val="ListBullet"/>
      </w:pPr>
      <w:r>
        <w:rPr>
          <w:sz w:val="20"/>
        </w:rPr>
        <w:t>i) Donner les instructions appropriées aux travailleurs.</w:t>
      </w:r>
    </w:p>
    <w:p>
      <w:r>
        <w:rPr>
          <w:b w:val="0"/>
          <w:i/>
          <w:sz w:val="18"/>
        </w:rPr>
        <w:t>Les principes a, b, c, e, f, g et h sont applicables au maître d'ouvrage, au maître d'œuvre et au coordonnateur SPS ; les principes a à i aux entrepreneurs ; les principes a, b, c, e et f aux travailleurs indépendants.</w:t>
      </w:r>
    </w:p>
    <w:p>
      <w:r>
        <w:br w:type="page"/>
      </w:r>
    </w:p>
    <w:p>
      <w:pPr>
        <w:pStyle w:val="Heading1"/>
      </w:pPr>
      <w:r>
        <w:t>1. RENSEIGNEMENTS ADMINISTRATIFS</w:t>
      </w:r>
    </w:p>
    <w:p>
      <w:pPr>
        <w:pStyle w:val="Heading2"/>
      </w:pPr>
      <w:r>
        <w:t>1.1 Description de l'opération</w:t>
      </w:r>
    </w:p>
    <w:p>
      <w:r>
        <w:rPr>
          <w:b w:val="0"/>
          <w:i w:val="0"/>
          <w:sz w:val="20"/>
        </w:rPr>
        <w:t>{{chantier_nature}}, sis {{chantier_adresse}}.</w:t>
      </w:r>
    </w:p>
    <w:p>
      <w:pPr>
        <w:pStyle w:val="Heading2"/>
      </w:pPr>
      <w:r>
        <w:t>1.2 Renseignements généraux</w:t>
      </w:r>
    </w:p>
    <w:tbl>
      <w:tblPr>
        <w:tblStyle w:val="TableGrid"/>
        <w:tblW w:type="auto" w:w="0"/>
        <w:jc w:val="center"/>
        <w:tblLook w:firstColumn="1" w:firstRow="1" w:lastColumn="0" w:lastRow="0" w:noHBand="0" w:noVBand="1" w:val="04A0"/>
      </w:tblPr>
      <w:tblGrid>
        <w:gridCol w:w="5270"/>
        <w:gridCol w:w="5270"/>
      </w:tblGrid>
      <w:tr>
        <w:tc>
          <w:tcPr>
            <w:tcW w:type="dxa" w:w="3685"/>
            <w:shd w:val="clear" w:fill="EBF3FB"/>
          </w:tcPr>
          <w:p>
            <w:r/>
            <w:r>
              <w:rPr>
                <w:b/>
                <w:sz w:val="18"/>
              </w:rPr>
              <w:t>Déclaration préalable</w:t>
            </w:r>
          </w:p>
        </w:tc>
        <w:tc>
          <w:tcPr>
            <w:tcW w:type="dxa" w:w="5953"/>
          </w:tcPr>
          <w:p>
            <w:r/>
            <w:r>
              <w:rPr>
                <w:b w:val="0"/>
                <w:sz w:val="18"/>
              </w:rPr>
              <w:t>{{chantier_dp}}</w:t>
            </w:r>
          </w:p>
        </w:tc>
      </w:tr>
      <w:tr>
        <w:tc>
          <w:tcPr>
            <w:tcW w:type="dxa" w:w="3685"/>
            <w:shd w:val="clear" w:fill="EBF3FB"/>
          </w:tcPr>
          <w:p>
            <w:r/>
            <w:r>
              <w:rPr>
                <w:b/>
                <w:sz w:val="18"/>
              </w:rPr>
              <w:t>Permis de construire</w:t>
            </w:r>
          </w:p>
        </w:tc>
        <w:tc>
          <w:tcPr>
            <w:tcW w:type="dxa" w:w="5953"/>
          </w:tcPr>
          <w:p>
            <w:r/>
            <w:r>
              <w:rPr>
                <w:b w:val="0"/>
                <w:sz w:val="18"/>
              </w:rPr>
              <w:t>{{chantier_pc}}</w:t>
            </w:r>
          </w:p>
        </w:tc>
      </w:tr>
      <w:tr>
        <w:tc>
          <w:tcPr>
            <w:tcW w:type="dxa" w:w="3685"/>
            <w:shd w:val="clear" w:fill="EBF3FB"/>
          </w:tcPr>
          <w:p>
            <w:r/>
            <w:r>
              <w:rPr>
                <w:b/>
                <w:sz w:val="18"/>
              </w:rPr>
              <w:t>Montant estimé</w:t>
            </w:r>
          </w:p>
        </w:tc>
        <w:tc>
          <w:tcPr>
            <w:tcW w:type="dxa" w:w="5953"/>
          </w:tcPr>
          <w:p>
            <w:r/>
            <w:r>
              <w:rPr>
                <w:b w:val="0"/>
                <w:sz w:val="18"/>
              </w:rPr>
              <w:t>{{chantier_montant}}</w:t>
            </w:r>
          </w:p>
        </w:tc>
      </w:tr>
      <w:tr>
        <w:tc>
          <w:tcPr>
            <w:tcW w:type="dxa" w:w="3685"/>
            <w:shd w:val="clear" w:fill="EBF3FB"/>
          </w:tcPr>
          <w:p>
            <w:r/>
            <w:r>
              <w:rPr>
                <w:b/>
                <w:sz w:val="18"/>
              </w:rPr>
              <w:t>Durée prévisible</w:t>
            </w:r>
          </w:p>
        </w:tc>
        <w:tc>
          <w:tcPr>
            <w:tcW w:type="dxa" w:w="5953"/>
          </w:tcPr>
          <w:p>
            <w:r/>
            <w:r>
              <w:rPr>
                <w:b w:val="0"/>
                <w:sz w:val="18"/>
              </w:rPr>
              <w:t>{{chantier_duree}}</w:t>
            </w:r>
          </w:p>
        </w:tc>
      </w:tr>
      <w:tr>
        <w:tc>
          <w:tcPr>
            <w:tcW w:type="dxa" w:w="3685"/>
            <w:shd w:val="clear" w:fill="EBF3FB"/>
          </w:tcPr>
          <w:p>
            <w:r/>
            <w:r>
              <w:rPr>
                <w:b/>
                <w:sz w:val="18"/>
              </w:rPr>
              <w:t>Date présumée du début des travaux</w:t>
            </w:r>
          </w:p>
        </w:tc>
        <w:tc>
          <w:tcPr>
            <w:tcW w:type="dxa" w:w="5953"/>
          </w:tcPr>
          <w:p>
            <w:r/>
            <w:r>
              <w:rPr>
                <w:b w:val="0"/>
                <w:sz w:val="18"/>
              </w:rPr>
              <w:t>{{chantier_debut_fr}}</w:t>
            </w:r>
          </w:p>
        </w:tc>
      </w:tr>
      <w:tr>
        <w:tc>
          <w:tcPr>
            <w:tcW w:type="dxa" w:w="3685"/>
            <w:shd w:val="clear" w:fill="EBF3FB"/>
          </w:tcPr>
          <w:p>
            <w:r/>
            <w:r>
              <w:rPr>
                <w:b/>
                <w:sz w:val="18"/>
              </w:rPr>
              <w:t>Type de marché / attribution</w:t>
            </w:r>
          </w:p>
        </w:tc>
        <w:tc>
          <w:tcPr>
            <w:tcW w:type="dxa" w:w="5953"/>
          </w:tcPr>
          <w:p>
            <w:r/>
            <w:r>
              <w:rPr>
                <w:b w:val="0"/>
                <w:sz w:val="18"/>
              </w:rPr>
              <w:t>{{pgc_type_marche}}</w:t>
            </w:r>
          </w:p>
        </w:tc>
      </w:tr>
      <w:tr>
        <w:tc>
          <w:tcPr>
            <w:tcW w:type="dxa" w:w="3685"/>
            <w:shd w:val="clear" w:fill="EBF3FB"/>
          </w:tcPr>
          <w:p>
            <w:r/>
            <w:r>
              <w:rPr>
                <w:b/>
                <w:sz w:val="18"/>
              </w:rPr>
              <w:t>Catégorie SPS</w:t>
            </w:r>
          </w:p>
        </w:tc>
        <w:tc>
          <w:tcPr>
            <w:tcW w:type="dxa" w:w="5953"/>
          </w:tcPr>
          <w:p>
            <w:r/>
            <w:r>
              <w:rPr>
                <w:b w:val="0"/>
                <w:sz w:val="18"/>
              </w:rPr>
              <w:t>Catégorie {{categorie}}</w:t>
            </w:r>
          </w:p>
        </w:tc>
      </w:tr>
    </w:tbl>
    <w:p>
      <w:r>
        <w:rPr>
          <w:b/>
          <w:i w:val="0"/>
          <w:sz w:val="20"/>
        </w:rPr>
        <w:t>Liste des lots — Entreprises retenues :</w:t>
      </w:r>
    </w:p>
    <w:tbl>
      <w:tblPr>
        <w:tblStyle w:val="TableGrid"/>
        <w:tblW w:type="auto" w:w="0"/>
        <w:jc w:val="center"/>
        <w:tblLook w:firstColumn="1" w:firstRow="1" w:lastColumn="0" w:lastRow="0" w:noHBand="0" w:noVBand="1" w:val="04A0"/>
      </w:tblPr>
      <w:tblGrid>
        <w:gridCol w:w="5270"/>
        <w:gridCol w:w="5270"/>
      </w:tblGrid>
      <w:tr>
        <w:tc>
          <w:tcPr>
            <w:tcW w:type="dxa" w:w="4819"/>
            <w:shd w:val="clear" w:fill="D6E4F0"/>
          </w:tcPr>
          <w:p>
            <w:r/>
            <w:r>
              <w:rPr>
                <w:b/>
                <w:sz w:val="18"/>
              </w:rPr>
              <w:t>Lot</w:t>
            </w:r>
          </w:p>
        </w:tc>
        <w:tc>
          <w:tcPr>
            <w:tcW w:type="dxa" w:w="4819"/>
            <w:shd w:val="clear" w:fill="D6E4F0"/>
          </w:tcPr>
          <w:p>
            <w:r/>
            <w:r>
              <w:rPr>
                <w:b/>
                <w:sz w:val="18"/>
              </w:rPr>
              <w:t>Entreprise</w:t>
            </w:r>
          </w:p>
        </w:tc>
      </w:tr>
      <w:tr>
        <w:tc>
          <w:tcPr>
            <w:tcW w:type="dxa" w:w="4819"/>
          </w:tcPr>
          <w:p>
            <w:r/>
            <w:r>
              <w:rPr>
                <w:b w:val="0"/>
                <w:sz w:val="18"/>
              </w:rPr>
              <w:t>{{#lots}}{{lot}}</w:t>
            </w:r>
          </w:p>
        </w:tc>
        <w:tc>
          <w:tcPr>
            <w:tcW w:type="dxa" w:w="4819"/>
          </w:tcPr>
          <w:p>
            <w:r/>
            <w:r>
              <w:rPr>
                <w:b w:val="0"/>
                <w:sz w:val="18"/>
              </w:rPr>
              <w:t>{{nom}}{{/lots}}</w:t>
            </w:r>
          </w:p>
        </w:tc>
      </w:tr>
    </w:tbl>
    <w:p>
      <w:r>
        <w:rPr>
          <w:b w:val="0"/>
          <w:i/>
          <w:sz w:val="18"/>
        </w:rPr>
        <w:t>Dossier en appel d'offres au jour de la rédaction des présentes pour les lots non attribués.</w:t>
      </w:r>
    </w:p>
    <w:p>
      <w:r>
        <w:rPr>
          <w:b/>
          <w:i w:val="0"/>
          <w:sz w:val="20"/>
        </w:rPr>
        <w:t>Organismes de prévention :</w:t>
      </w:r>
    </w:p>
    <w:tbl>
      <w:tblPr>
        <w:tblStyle w:val="TableGrid"/>
        <w:tblW w:type="auto" w:w="0"/>
        <w:jc w:val="center"/>
        <w:tblLook w:firstColumn="1" w:firstRow="1" w:lastColumn="0" w:lastRow="0" w:noHBand="0" w:noVBand="1" w:val="04A0"/>
      </w:tblPr>
      <w:tblGrid>
        <w:gridCol w:w="5270"/>
        <w:gridCol w:w="5270"/>
      </w:tblGrid>
      <w:tr>
        <w:tc>
          <w:tcPr>
            <w:tcW w:type="dxa" w:w="3969"/>
            <w:shd w:val="clear" w:fill="D6E4F0"/>
          </w:tcPr>
          <w:p>
            <w:r/>
            <w:r>
              <w:rPr>
                <w:b/>
                <w:sz w:val="18"/>
              </w:rPr>
              <w:t>Organisme</w:t>
            </w:r>
          </w:p>
        </w:tc>
        <w:tc>
          <w:tcPr>
            <w:tcW w:type="dxa" w:w="5669"/>
            <w:shd w:val="clear" w:fill="D6E4F0"/>
          </w:tcPr>
          <w:p>
            <w:r/>
            <w:r>
              <w:rPr>
                <w:b/>
                <w:sz w:val="18"/>
              </w:rPr>
              <w:t>Coordonnées</w:t>
            </w:r>
          </w:p>
        </w:tc>
      </w:tr>
      <w:tr>
        <w:tc>
          <w:tcPr>
            <w:tcW w:type="dxa" w:w="3969"/>
          </w:tcPr>
          <w:p>
            <w:r/>
            <w:r>
              <w:rPr>
                <w:b/>
                <w:sz w:val="18"/>
              </w:rPr>
              <w:t>Inspection du travail (DREETS)</w:t>
            </w:r>
          </w:p>
        </w:tc>
        <w:tc>
          <w:tcPr>
            <w:tcW w:type="dxa" w:w="5669"/>
          </w:tcPr>
          <w:p>
            <w:r/>
            <w:r>
              <w:rPr>
                <w:b w:val="0"/>
                <w:sz w:val="18"/>
              </w:rPr>
              <w:t>{{dreets_nom}}</w:t>
              <w:br/>
              <w:t>{{dreets_adresse}}</w:t>
            </w:r>
          </w:p>
        </w:tc>
      </w:tr>
      <w:tr>
        <w:tc>
          <w:tcPr>
            <w:tcW w:type="dxa" w:w="3969"/>
          </w:tcPr>
          <w:p>
            <w:r/>
            <w:r>
              <w:rPr>
                <w:b/>
                <w:sz w:val="18"/>
              </w:rPr>
              <w:t>CARSAT</w:t>
            </w:r>
          </w:p>
        </w:tc>
        <w:tc>
          <w:tcPr>
            <w:tcW w:type="dxa" w:w="5669"/>
          </w:tcPr>
          <w:p>
            <w:r/>
            <w:r>
              <w:rPr>
                <w:b w:val="0"/>
                <w:sz w:val="18"/>
              </w:rPr>
              <w:t>{{carsat_nom}}</w:t>
              <w:br/>
              <w:t>{{carsat_adresse}}</w:t>
            </w:r>
          </w:p>
        </w:tc>
      </w:tr>
      <w:tr>
        <w:tc>
          <w:tcPr>
            <w:tcW w:type="dxa" w:w="3969"/>
          </w:tcPr>
          <w:p>
            <w:r/>
            <w:r>
              <w:rPr>
                <w:b/>
                <w:sz w:val="18"/>
              </w:rPr>
              <w:t>OPPBTP</w:t>
            </w:r>
          </w:p>
        </w:tc>
        <w:tc>
          <w:tcPr>
            <w:tcW w:type="dxa" w:w="5669"/>
          </w:tcPr>
          <w:p>
            <w:r/>
            <w:r>
              <w:rPr>
                <w:b w:val="0"/>
                <w:sz w:val="18"/>
              </w:rPr>
              <w:t>{{oppbtp_nom}}</w:t>
              <w:br/>
              <w:t>{{oppbtp_adresse}}</w:t>
            </w:r>
          </w:p>
        </w:tc>
      </w:tr>
    </w:tbl>
    <w:p>
      <w:pPr>
        <w:pStyle w:val="Heading2"/>
      </w:pPr>
      <w:r>
        <w:t>1.3 Démarches et autorisations administratives</w:t>
      </w:r>
    </w:p>
    <w:p>
      <w:r>
        <w:rPr>
          <w:b w:val="0"/>
          <w:i w:val="0"/>
          <w:sz w:val="20"/>
        </w:rPr>
        <w:t>Renseignements sur les réseaux : ensemble des concessionnaires — à la charge du Maître d'Ouvrage (DT).</w:t>
      </w:r>
    </w:p>
    <w:p>
      <w:r>
        <w:rPr>
          <w:b w:val="0"/>
          <w:i w:val="0"/>
          <w:sz w:val="20"/>
        </w:rPr>
        <w:t>L'entrepreneur du lot principal fera son affaire, auprès des services municipaux, de toutes demandes et autorisations nécessaires à la mise en place du chantier (grue, échafaudage, implantation ou stockage sur le domaine public).</w:t>
      </w:r>
    </w:p>
    <w:p>
      <w:r>
        <w:rPr>
          <w:b w:val="0"/>
          <w:i w:val="0"/>
          <w:sz w:val="20"/>
        </w:rPr>
        <w:t>Démarches particulières : {{pgc_demarches}}</w:t>
      </w:r>
    </w:p>
    <w:p>
      <w:pPr>
        <w:pStyle w:val="Heading2"/>
      </w:pPr>
      <w:r>
        <w:t>1.4 Interférences avec les activités d'exploitation sur le site ou à proximité</w:t>
      </w:r>
    </w:p>
    <w:p>
      <w:r>
        <w:rPr>
          <w:b w:val="0"/>
          <w:i w:val="0"/>
          <w:sz w:val="20"/>
        </w:rPr>
        <w:t>{{pgc_interferences}}</w:t>
      </w:r>
    </w:p>
    <w:p>
      <w:pPr>
        <w:pStyle w:val="Heading2"/>
      </w:pPr>
      <w:r>
        <w:t>1.5 Réseaux</w:t>
      </w:r>
    </w:p>
    <w:p>
      <w:r>
        <w:rPr>
          <w:b/>
          <w:i w:val="0"/>
          <w:sz w:val="20"/>
        </w:rPr>
        <w:t>ATTENTION : les présents renseignements ne dédouanent pas l'entreprise d'effectuer les DICT obligatoires.</w:t>
      </w:r>
    </w:p>
    <w:p>
      <w:r>
        <w:rPr>
          <w:b w:val="0"/>
          <w:i w:val="0"/>
          <w:sz w:val="20"/>
        </w:rPr>
        <w:t>{{pgc_reseaux}}</w:t>
      </w:r>
    </w:p>
    <w:p>
      <w:r>
        <w:rPr>
          <w:b/>
          <w:i w:val="0"/>
          <w:sz w:val="20"/>
        </w:rPr>
        <w:t>DICT et DT OBLIGATOIRES. Si travaux à proximité de réseaux, le personnel devra être formé et détenir l'AIPR.</w:t>
      </w:r>
    </w:p>
    <w:p>
      <w:r>
        <w:br w:type="page"/>
      </w:r>
    </w:p>
    <w:p>
      <w:pPr>
        <w:pStyle w:val="Heading1"/>
      </w:pPr>
      <w:r>
        <w:t>2. MESURES D'ORGANISATION GÉNÉRALE DU CHANTIER ARRÊTÉES PAR LE MAÎTRE D'ŒUVRE EN CONCERTATION AVEC LE COORDONNATEUR</w:t>
      </w:r>
    </w:p>
    <w:p>
      <w:r>
        <w:rPr>
          <w:b w:val="0"/>
          <w:i/>
          <w:sz w:val="20"/>
        </w:rPr>
        <w:t>Voir les pièces écrites de la Maîtrise d'œuvre.</w:t>
      </w:r>
    </w:p>
    <w:p>
      <w:r>
        <w:rPr>
          <w:b w:val="0"/>
          <w:i w:val="0"/>
          <w:sz w:val="20"/>
        </w:rPr>
        <w:t>Phasage du chantier : {{pgc_phasage}}</w:t>
      </w:r>
    </w:p>
    <w:p>
      <w:r>
        <w:rPr>
          <w:b/>
          <w:i w:val="0"/>
          <w:sz w:val="20"/>
        </w:rPr>
        <w:t>Plan d'Installation de Chantier (PIC) : DANS LES DIX PREMIERS JOURS SUIVANT L'ORDRE DE SERVICE, l'entreprise du lot principal remettra pour approbation au CSPS et au Maître d'œuvre un ou plusieurs plans d'installation de chantier et un planning de montage/démontage des installations communes. Sur ces plans devront figurer :</w:t>
      </w:r>
    </w:p>
    <w:p>
      <w:pPr>
        <w:pStyle w:val="ListBullet"/>
      </w:pPr>
      <w:r>
        <w:rPr>
          <w:sz w:val="20"/>
        </w:rPr>
        <w:t>a) l'emplacement des bureaux de chantier,</w:t>
      </w:r>
    </w:p>
    <w:p>
      <w:pPr>
        <w:pStyle w:val="ListBullet"/>
      </w:pPr>
      <w:r>
        <w:rPr>
          <w:sz w:val="20"/>
        </w:rPr>
        <w:t>b) l'emplacement des centrales à béton, ateliers de ferraillage, de préfabrication et de coffrage,</w:t>
      </w:r>
    </w:p>
    <w:p>
      <w:pPr>
        <w:pStyle w:val="ListBullet"/>
      </w:pPr>
      <w:r>
        <w:rPr>
          <w:sz w:val="20"/>
        </w:rPr>
        <w:t>c) l'emplacement des voies de grues avec surfaces desservies, périodes de travail et de transfert,</w:t>
      </w:r>
    </w:p>
    <w:p>
      <w:pPr>
        <w:pStyle w:val="ListBullet"/>
      </w:pPr>
      <w:r>
        <w:rPr>
          <w:sz w:val="20"/>
        </w:rPr>
        <w:t>d) l'emplacement des monte-matériaux s'il y a lieu,</w:t>
      </w:r>
    </w:p>
    <w:p>
      <w:pPr>
        <w:pStyle w:val="ListBullet"/>
      </w:pPr>
      <w:r>
        <w:rPr>
          <w:sz w:val="20"/>
        </w:rPr>
        <w:t>e) les baraquements de stockage matériel/matériaux de chaque entreprise et surfaces de stockage à l'air libre,</w:t>
      </w:r>
    </w:p>
    <w:p>
      <w:pPr>
        <w:pStyle w:val="ListBullet"/>
      </w:pPr>
      <w:r>
        <w:rPr>
          <w:sz w:val="20"/>
        </w:rPr>
        <w:t>f) les postes de transformation de chantier, surpresseurs et réservoirs d'eau s'il y a lieu,</w:t>
      </w:r>
    </w:p>
    <w:p>
      <w:pPr>
        <w:pStyle w:val="ListBullet"/>
      </w:pPr>
      <w:r>
        <w:rPr>
          <w:sz w:val="20"/>
        </w:rPr>
        <w:t>g) les schémas de branchements provisoires d'eau et d'électricité,</w:t>
      </w:r>
    </w:p>
    <w:p>
      <w:pPr>
        <w:pStyle w:val="ListBullet"/>
      </w:pPr>
      <w:r>
        <w:rPr>
          <w:sz w:val="20"/>
        </w:rPr>
        <w:t>h) les bureaux de gardiennage s'il y a lieu,</w:t>
      </w:r>
    </w:p>
    <w:p>
      <w:pPr>
        <w:pStyle w:val="ListBullet"/>
      </w:pPr>
      <w:r>
        <w:rPr>
          <w:sz w:val="20"/>
        </w:rPr>
        <w:t>i) les installations destinées au personnel (base vie),</w:t>
      </w:r>
    </w:p>
    <w:p>
      <w:pPr>
        <w:pStyle w:val="ListBullet"/>
      </w:pPr>
      <w:r>
        <w:rPr>
          <w:sz w:val="20"/>
        </w:rPr>
        <w:t>j) la voirie provisoire pour véhicules et piétons, les accès et sens de circulation,</w:t>
      </w:r>
    </w:p>
    <w:p>
      <w:pPr>
        <w:pStyle w:val="ListBullet"/>
      </w:pPr>
      <w:r>
        <w:rPr>
          <w:sz w:val="20"/>
        </w:rPr>
        <w:t>k) les tracés de clôture de chantier avec accès et types de clôture,</w:t>
      </w:r>
    </w:p>
    <w:p>
      <w:pPr>
        <w:pStyle w:val="ListBullet"/>
      </w:pPr>
      <w:r>
        <w:rPr>
          <w:sz w:val="20"/>
        </w:rPr>
        <w:t>l) l'emplacement des points lumineux pour l'éclairage provisoire,</w:t>
      </w:r>
    </w:p>
    <w:p>
      <w:pPr>
        <w:pStyle w:val="ListBullet"/>
      </w:pPr>
      <w:r>
        <w:rPr>
          <w:sz w:val="20"/>
        </w:rPr>
        <w:t>m) l'emplacement des postes provisoires de lutte contre l'incendie,</w:t>
      </w:r>
    </w:p>
    <w:p>
      <w:pPr>
        <w:pStyle w:val="ListBullet"/>
      </w:pPr>
      <w:r>
        <w:rPr>
          <w:sz w:val="20"/>
        </w:rPr>
        <w:t>n) l'emplacement des parkings provisoires,</w:t>
      </w:r>
    </w:p>
    <w:p>
      <w:pPr>
        <w:pStyle w:val="ListBullet"/>
      </w:pPr>
      <w:r>
        <w:rPr>
          <w:sz w:val="20"/>
        </w:rPr>
        <w:t>o) les zones de dépôt provisoire des terres et déblais, et les zones d'accès interdites,</w:t>
      </w:r>
    </w:p>
    <w:p>
      <w:pPr>
        <w:pStyle w:val="ListBullet"/>
      </w:pPr>
      <w:r>
        <w:rPr>
          <w:sz w:val="20"/>
        </w:rPr>
        <w:t>p) tout détail utile que les entrepreneurs jugeraient bon d'ajouter.</w:t>
      </w:r>
    </w:p>
    <w:p>
      <w:r>
        <w:rPr>
          <w:b w:val="0"/>
          <w:i w:val="0"/>
          <w:sz w:val="20"/>
        </w:rPr>
        <w:t>Base vie : {{pgc_base_vie}}</w:t>
      </w:r>
    </w:p>
    <w:p>
      <w:r>
        <w:rPr>
          <w:b w:val="0"/>
          <w:i w:val="0"/>
          <w:sz w:val="20"/>
        </w:rPr>
        <w:t>Accès au site : {{pgc_acces}}</w:t>
      </w:r>
    </w:p>
    <w:p>
      <w:r>
        <w:rPr>
          <w:b w:val="0"/>
          <w:i w:val="0"/>
          <w:sz w:val="20"/>
        </w:rPr>
        <w:t>Sécurisation / clôtures : {{pgc_securisation}}</w:t>
      </w:r>
    </w:p>
    <w:p>
      <w:r>
        <w:rPr>
          <w:b w:val="0"/>
          <w:i w:val="0"/>
          <w:sz w:val="20"/>
        </w:rPr>
        <w:t>Énergie provisoire : {{pgc_energie}}</w:t>
      </w:r>
    </w:p>
    <w:p>
      <w:r>
        <w:br w:type="page"/>
      </w:r>
    </w:p>
    <w:p>
      <w:pPr>
        <w:pStyle w:val="Heading1"/>
      </w:pPr>
      <w:r>
        <w:t>3. MESURES DE COORDINATION PRISES PAR LE COORDONNATEUR EN MATIÈRE DE SÉCURITÉ ET DE SANTÉ ET SUJÉTIONS QUI EN DÉCOULENT</w:t>
      </w:r>
    </w:p>
    <w:p>
      <w:r>
        <w:rPr>
          <w:b w:val="0"/>
          <w:i w:val="0"/>
          <w:sz w:val="20"/>
        </w:rPr>
        <w:t>Périodes de coactivité pressenties (suivant planning MOE) : {{pgc_coactivite}}</w:t>
      </w:r>
    </w:p>
    <w:p>
      <w:r>
        <w:rPr>
          <w:b/>
          <w:i w:val="0"/>
          <w:sz w:val="20"/>
        </w:rPr>
        <w:t>Coactivité SIMULTANÉE : lors des opérations présentant des risques particuliers (démolition, désamiantage, levage...), aucune autre intervention de quelque nature que ce soit ne doit être entreprise dans le même périmètre. Il ne pourra donc y avoir de superposition de corps d'état ; le planning de la Maîtrise d'œuvre devra tenir compte de cette sujétion.</w:t>
      </w:r>
    </w:p>
    <w:p>
      <w:r>
        <w:rPr>
          <w:b w:val="0"/>
          <w:i w:val="0"/>
          <w:sz w:val="20"/>
        </w:rPr>
        <w:t>Coactivité SUCCESSIVE : chaque lot devra laisser le terrain exempt de toute construction, élément ou ouvrage pouvant entraîner un risque pour les corps d'état devant lui succéder.</w:t>
      </w:r>
    </w:p>
    <w:p>
      <w:r>
        <w:rPr>
          <w:b/>
          <w:i w:val="0"/>
          <w:color w:val="1F4E79"/>
          <w:sz w:val="20"/>
        </w:rPr>
        <w:t>{{#a_amiante}}</w:t>
      </w:r>
    </w:p>
    <w:p>
      <w:r>
        <w:rPr>
          <w:b/>
        </w:rPr>
        <w:t xml:space="preserve">CAS DES OPÉRATIONS DE DÉSAMIANTAGE — PLOMB — HAP</w:t>
      </w:r>
    </w:p>
    <w:p>
      <w:r>
        <w:rPr>
          <w:b w:val="0"/>
          <w:i w:val="0"/>
          <w:sz w:val="20"/>
        </w:rPr>
        <w:t>{{amiante_detail}}</w:t>
      </w:r>
    </w:p>
    <w:p>
      <w:r>
        <w:rPr>
          <w:b/>
          <w:i w:val="0"/>
          <w:sz w:val="20"/>
        </w:rPr>
        <w:t>SUJÉTIONS :</w:t>
      </w:r>
    </w:p>
    <w:p>
      <w:pPr>
        <w:pStyle w:val="ListBullet"/>
      </w:pPr>
      <w:r>
        <w:rPr>
          <w:sz w:val="20"/>
        </w:rPr>
        <w:t>Entreprise qualifiée en sous-section 3 (SS3) pour le retrait.</w:t>
      </w:r>
    </w:p>
    <w:p>
      <w:pPr>
        <w:pStyle w:val="ListBullet"/>
      </w:pPr>
      <w:r>
        <w:rPr>
          <w:sz w:val="20"/>
        </w:rPr>
        <w:t>Prise en compte du diagnostic (RAAT) présent dans les pièces de marché ; vérification du périmètre travaux et du périmètre d'investigation du diagnostiqueur.</w:t>
      </w:r>
    </w:p>
    <w:p>
      <w:pPr>
        <w:pStyle w:val="ListBullet"/>
      </w:pPr>
      <w:r>
        <w:rPr>
          <w:sz w:val="20"/>
        </w:rPr>
        <w:t>PRA (plan de retrait amiante) avec validation de l'inspection du travail.</w:t>
      </w:r>
    </w:p>
    <w:p>
      <w:pPr>
        <w:pStyle w:val="ListBullet"/>
      </w:pPr>
      <w:r>
        <w:rPr>
          <w:sz w:val="20"/>
        </w:rPr>
        <w:t>Zone délimitée pour stockage avant évacuation des MPCA.</w:t>
      </w:r>
    </w:p>
    <w:p>
      <w:pPr>
        <w:pStyle w:val="ListBullet"/>
      </w:pPr>
      <w:r>
        <w:rPr>
          <w:sz w:val="20"/>
        </w:rPr>
        <w:t>Aucune autre activité durant la phase de désamiantage / démolition.</w:t>
      </w:r>
    </w:p>
    <w:p>
      <w:pPr>
        <w:pStyle w:val="ListBullet"/>
      </w:pPr>
      <w:r>
        <w:rPr>
          <w:sz w:val="20"/>
        </w:rPr>
        <w:t>BSDA à fournir au maître d'ouvrage.</w:t>
      </w:r>
    </w:p>
    <w:p>
      <w:r>
        <w:rPr>
          <w:b w:val="0"/>
          <w:i w:val="0"/>
          <w:sz w:val="20"/>
        </w:rPr>
        <w:t>{{/a_amiante}}</w:t>
      </w:r>
    </w:p>
    <w:p>
      <w:r>
        <w:rPr>
          <w:b/>
          <w:i w:val="0"/>
          <w:sz w:val="20"/>
        </w:rPr>
        <w:t>ANALYSE DE L'ENVIRONNEMENT :</w:t>
      </w:r>
    </w:p>
    <w:p>
      <w:r>
        <w:rPr>
          <w:b w:val="0"/>
          <w:i w:val="0"/>
          <w:sz w:val="20"/>
        </w:rPr>
        <w:t>{{pgc_environnement}}</w:t>
      </w:r>
    </w:p>
    <w:p>
      <w:r>
        <w:rPr>
          <w:b/>
          <w:i w:val="0"/>
          <w:sz w:val="20"/>
        </w:rPr>
        <w:t>RISQUES DUS AUX TRAVAUX À PROXIMITÉ DE RÉSEAUX AÉRIENS OU ENTERRÉS :</w:t>
      </w:r>
    </w:p>
    <w:p>
      <w:pPr>
        <w:pStyle w:val="ListBullet"/>
      </w:pPr>
      <w:r>
        <w:rPr>
          <w:sz w:val="20"/>
        </w:rPr>
        <w:t>Prendre en compte les plans et recommandations de sécurité contenus dans la DT et la DICT avant tous travaux.</w:t>
      </w:r>
    </w:p>
    <w:p>
      <w:pPr>
        <w:pStyle w:val="ListBullet"/>
      </w:pPr>
      <w:r>
        <w:rPr>
          <w:sz w:val="20"/>
        </w:rPr>
        <w:t>La première entreprise intervenant sur le site sera chargée du marquage/piquetage des réseaux enterrés ; les entreprises suivantes maintiendront ce repérage.</w:t>
      </w:r>
    </w:p>
    <w:p>
      <w:pPr>
        <w:pStyle w:val="ListBullet"/>
      </w:pPr>
      <w:r>
        <w:rPr>
          <w:sz w:val="20"/>
        </w:rPr>
        <w:t>Si le réseau est « sensible pour la sécurité » (électricité, gaz, hydrocarbures...), l'entreprise adressera au CSPS les récépissés obtenus en réponse aux DICT ; les travaux ne peuvent être entrepris avant obtention de tous les récépissés.</w:t>
      </w:r>
    </w:p>
    <w:p>
      <w:pPr>
        <w:pStyle w:val="ListBullet"/>
      </w:pPr>
      <w:r>
        <w:rPr>
          <w:sz w:val="20"/>
        </w:rPr>
        <w:t>Pour les réseaux électriques, solliciter dès la DICT la mise hors tension (art. R.4534-111) ; à défaut, protection du câble ou matérialisation des distances limites (3 m si ≤ 50 000 V, 5 m au-delà).</w:t>
      </w:r>
    </w:p>
    <w:p>
      <w:pPr>
        <w:pStyle w:val="ListBullet"/>
      </w:pPr>
      <w:r>
        <w:rPr>
          <w:sz w:val="20"/>
        </w:rPr>
        <w:t>Les opérateurs devront être formés en fonction de leur poste et détenir l'AIPR.</w:t>
      </w:r>
    </w:p>
    <w:p>
      <w:r>
        <w:br w:type="page"/>
      </w:r>
    </w:p>
    <w:p>
      <w:pPr>
        <w:pStyle w:val="Heading2"/>
      </w:pPr>
      <w:r>
        <w:t>3.1 Analyse des risques — dispositions de coordination (R.4532-44)</w:t>
      </w:r>
    </w:p>
    <w:p>
      <w:r>
        <w:rPr>
          <w:b w:val="0"/>
          <w:i/>
          <w:sz w:val="18"/>
        </w:rPr>
        <w:t>Le tableau ci-dessous liste les risques identifiés pour l'opération, les mesures de prévention et sujétions du CSPS, et les entreprises concernées. Liste non exhaustive, complétée au fil des mises à jour du PGC et des inspections communes.</w:t>
      </w:r>
    </w:p>
    <w:p>
      <w:r>
        <w:rPr>
          <w:b/>
          <w:i w:val="0"/>
          <w:color w:val="1F4E79"/>
          <w:sz w:val="20"/>
        </w:rPr>
        <w:t>Risques identifiés pour l'opération :</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041"/>
            <w:shd w:val="clear" w:fill="D6E4F0"/>
          </w:tcPr>
          <w:p>
            <w:r/>
            <w:r>
              <w:rPr>
                <w:b/>
                <w:sz w:val="16"/>
              </w:rPr>
              <w:t>Risque</w:t>
            </w:r>
          </w:p>
        </w:tc>
        <w:tc>
          <w:tcPr>
            <w:tcW w:type="dxa" w:w="4762"/>
            <w:shd w:val="clear" w:fill="D6E4F0"/>
          </w:tcPr>
          <w:p>
            <w:r/>
            <w:r>
              <w:rPr>
                <w:b/>
                <w:sz w:val="16"/>
              </w:rPr>
              <w:t>Mesures de prévention à prévoir — Sujétions du coordonnateur SPS à respecter par les entreprises</w:t>
            </w:r>
          </w:p>
        </w:tc>
        <w:tc>
          <w:tcPr>
            <w:tcW w:type="dxa" w:w="1417"/>
            <w:shd w:val="clear" w:fill="D6E4F0"/>
          </w:tcPr>
          <w:p>
            <w:r/>
            <w:r>
              <w:rPr>
                <w:b/>
                <w:sz w:val="16"/>
              </w:rPr>
              <w:t>Entreprise mettant en œuvre la mesure</w:t>
            </w:r>
          </w:p>
        </w:tc>
        <w:tc>
          <w:tcPr>
            <w:tcW w:type="dxa" w:w="1417"/>
            <w:shd w:val="clear" w:fill="D6E4F0"/>
          </w:tcPr>
          <w:p>
            <w:r/>
            <w:r>
              <w:rPr>
                <w:b/>
                <w:sz w:val="16"/>
              </w:rPr>
              <w:t>Entreprise bénéficiant de la mesure</w:t>
            </w:r>
          </w:p>
        </w:tc>
      </w:tr>
      <w:tr>
        <w:tc>
          <w:tcPr>
            <w:tcW w:type="dxa" w:w="2041"/>
          </w:tcPr>
          <w:p>
            <w:r/>
            <w:r>
              <w:rPr>
                <w:b/>
                <w:sz w:val="18"/>
              </w:rPr>
              <w:t>{{#risques}}{{label}}</w:t>
            </w:r>
          </w:p>
        </w:tc>
        <w:tc>
          <w:tcPr>
            <w:tcW w:type="dxa" w:w="4762"/>
          </w:tcPr>
          <w:p>
            <w:r/>
            <w:r>
              <w:rPr>
                <w:b w:val="0"/>
                <w:sz w:val="18"/>
              </w:rPr>
              <w:t>{{mesures}}</w:t>
            </w:r>
          </w:p>
        </w:tc>
        <w:tc>
          <w:tcPr>
            <w:tcW w:type="dxa" w:w="1417"/>
          </w:tcPr>
          <w:p>
            <w:r/>
            <w:r>
              <w:rPr>
                <w:b w:val="0"/>
                <w:sz w:val="18"/>
              </w:rPr>
              <w:t>{{oeuvre}}</w:t>
            </w:r>
          </w:p>
        </w:tc>
        <w:tc>
          <w:tcPr>
            <w:tcW w:type="dxa" w:w="1417"/>
          </w:tcPr>
          <w:p>
            <w:r/>
            <w:r>
              <w:rPr>
                <w:b w:val="0"/>
                <w:sz w:val="18"/>
              </w:rPr>
              <w:t>{{benef}}{{/risques}}</w:t>
            </w:r>
          </w:p>
        </w:tc>
      </w:tr>
    </w:tbl>
    <w:p>
      <w:r>
        <w:br w:type="page"/>
      </w:r>
    </w:p>
    <w:p>
      <w:pPr>
        <w:pStyle w:val="Heading1"/>
      </w:pPr>
      <w:r>
        <w:t>4. MESURES GÉNÉRALES PRISES POUR ASSURER LE MAINTIEN DU CHANTIER EN BON ORDRE ET EN ÉTAT DE SALUBRITÉ SUFFISANT</w:t>
      </w:r>
    </w:p>
    <w:p>
      <w:r>
        <w:rPr>
          <w:b w:val="0"/>
          <w:i/>
          <w:sz w:val="18"/>
        </w:rPr>
        <w:t>VRD PRÉALABLE (art. R.4533-1 CT) : lorsque le montant d'une opération de construction de bâtiment excède 760 000 €, le chantier dispose, en un point au moins de son périmètre, d'une desserte en voirie, d'un raccordement à des réseaux de distribution d'eau potable et d'électricité, et d'une évacuation des matières usées. Le maître d'ouvrage prend les mesures nécessaires avant toute intervention des entreprises.</w:t>
      </w:r>
    </w:p>
    <w:p>
      <w:r>
        <w:rPr>
          <w:b/>
          <w:i w:val="0"/>
          <w:color w:val="1F4E79"/>
          <w:sz w:val="20"/>
        </w:rPr>
        <w:t>BASE VIE COMMUNE — CANTONNEMENT</w:t>
      </w:r>
    </w:p>
    <w:p>
      <w:r>
        <w:rPr>
          <w:b w:val="0"/>
          <w:i w:val="0"/>
          <w:sz w:val="20"/>
        </w:rPr>
        <w:t>Les installations communes (vestiaires, réfectoire, sanitaires) devront être mises en place dès le démarrage du chantier et pour toute sa durée. Effectif prévisionnel en pointe : {{pgc_effectif}}.</w:t>
      </w:r>
    </w:p>
    <w:p>
      <w:r>
        <w:rPr>
          <w:b w:val="0"/>
          <w:i w:val="0"/>
          <w:sz w:val="20"/>
        </w:rPr>
        <w:t>Hygiène / dispositions particulières : {{pgc_hygiene}}</w:t>
      </w:r>
    </w:p>
    <w:p>
      <w:pPr>
        <w:pStyle w:val="ListBullet"/>
      </w:pPr>
      <w:r>
        <w:rPr>
          <w:sz w:val="20"/>
        </w:rPr>
        <w:t>Personnel féminin : vestiaires et sanitaires indépendants munis d'un système de fermeture.</w:t>
      </w:r>
    </w:p>
    <w:p>
      <w:pPr>
        <w:pStyle w:val="ListBullet"/>
      </w:pPr>
      <w:r>
        <w:rPr>
          <w:sz w:val="20"/>
        </w:rPr>
        <w:t>Locaux chauffés, éclairés, équipés de prises de courant ; vestiaires et réfectoire distincts.</w:t>
      </w:r>
    </w:p>
    <w:p>
      <w:pPr>
        <w:pStyle w:val="ListBullet"/>
      </w:pPr>
      <w:r>
        <w:rPr>
          <w:sz w:val="20"/>
        </w:rPr>
        <w:t>Nettoyage par une entreprise extérieure au minimum une fois par semaine.</w:t>
      </w:r>
    </w:p>
    <w:p>
      <w:pPr>
        <w:pStyle w:val="ListBullet"/>
      </w:pPr>
      <w:r>
        <w:rPr>
          <w:sz w:val="20"/>
        </w:rPr>
        <w:t>Aucun repliement d'installations provisoires sans contrepartie équivalente.</w:t>
      </w:r>
    </w:p>
    <w:p>
      <w:pPr>
        <w:pStyle w:val="ListBullet"/>
      </w:pPr>
      <w:r>
        <w:rPr>
          <w:sz w:val="20"/>
        </w:rPr>
        <w:t>Bloc sanitaire raccordé au réseau public ou à une fosse toutes eaux.</w:t>
      </w:r>
    </w:p>
    <w:p>
      <w:r>
        <w:rPr>
          <w:b/>
          <w:i w:val="0"/>
          <w:color w:val="1F4E79"/>
          <w:sz w:val="20"/>
        </w:rPr>
        <w:t>STOCKAGES</w:t>
      </w:r>
    </w:p>
    <w:p>
      <w:r>
        <w:rPr>
          <w:b w:val="0"/>
          <w:i w:val="0"/>
          <w:sz w:val="20"/>
        </w:rPr>
        <w:t>{{pgc_stockages}}</w:t>
        <w:br/>
        <w:t>AUCUN stockage ne sera toléré dans les circulations ni sur les voies d'accès. Pas de stockage en bordure de fouille ni en crête de talus. Pas de stockage, même ponctuel, en dehors de l'emprise chantier.</w:t>
      </w:r>
    </w:p>
    <w:p>
      <w:r>
        <w:rPr>
          <w:b/>
          <w:i w:val="0"/>
          <w:color w:val="1F4E79"/>
          <w:sz w:val="20"/>
        </w:rPr>
        <w:t>NETTOYAGE — DÉCHETS</w:t>
      </w:r>
    </w:p>
    <w:p>
      <w:r>
        <w:rPr>
          <w:b w:val="0"/>
          <w:i w:val="0"/>
          <w:sz w:val="20"/>
        </w:rPr>
        <w:t>{{pgc_dechets}}</w:t>
        <w:br/>
        <w:t>Chaque entreprise doit un nettoyage régulier (chaque soir) de ses postes de travail. En cas de non-respect et après mise en demeure, le gestionnaire du compte prorata fera nettoyer aux frais des entreprises défaillantes. Le rejet des eaux chargées de produits toxiques est interdit. Les feux de toute nature sont strictement interdits dans l'enceinte du chantier.</w:t>
      </w:r>
    </w:p>
    <w:p>
      <w:r>
        <w:br w:type="page"/>
      </w:r>
    </w:p>
    <w:p>
      <w:pPr>
        <w:pStyle w:val="Heading1"/>
      </w:pPr>
      <w:r>
        <w:t>5. SECOURS ET ÉVACUATION — RENSEIGNEMENTS PRATIQUES ET MESURES COMMUNES D'ORGANISATION</w:t>
      </w:r>
    </w:p>
    <w:p>
      <w:r>
        <w:rPr>
          <w:b w:val="0"/>
          <w:i w:val="0"/>
          <w:sz w:val="20"/>
        </w:rPr>
        <w:t>Organisation des secours : l'objectif est d'organiser les secours rapidement avant l'arrivée des secours extérieurs. Un téléphone (poste ou mobile) sera en permanence sur le site. Les numéros d'urgence figurent sur la fiche « En cas d'accident » (modèle OPPBTP en annexe 1), affichée visiblement dans le cantonnement. Les voies de circulation devront rester dégagées.</w:t>
      </w:r>
    </w:p>
    <w:tbl>
      <w:tblPr>
        <w:tblStyle w:val="TableGrid"/>
        <w:tblW w:type="auto" w:w="0"/>
        <w:jc w:val="center"/>
        <w:tblLook w:firstColumn="1" w:firstRow="1" w:lastColumn="0" w:lastRow="0" w:noHBand="0" w:noVBand="1" w:val="04A0"/>
      </w:tblPr>
      <w:tblGrid>
        <w:gridCol w:w="5270"/>
        <w:gridCol w:w="5270"/>
      </w:tblGrid>
      <w:tr>
        <w:tc>
          <w:tcPr>
            <w:tcW w:type="dxa" w:w="3402"/>
            <w:shd w:val="clear" w:fill="EBF3FB"/>
          </w:tcPr>
          <w:p>
            <w:r/>
            <w:r>
              <w:rPr>
                <w:b/>
                <w:sz w:val="18"/>
              </w:rPr>
              <w:t>Centre hospitalier le plus proche</w:t>
            </w:r>
          </w:p>
        </w:tc>
        <w:tc>
          <w:tcPr>
            <w:tcW w:type="dxa" w:w="6236"/>
          </w:tcPr>
          <w:p>
            <w:r/>
            <w:r>
              <w:rPr>
                <w:b w:val="0"/>
                <w:sz w:val="18"/>
              </w:rPr>
              <w:t>{{secours_hopital}}</w:t>
            </w:r>
          </w:p>
        </w:tc>
      </w:tr>
      <w:tr>
        <w:tc>
          <w:tcPr>
            <w:tcW w:type="dxa" w:w="3402"/>
            <w:shd w:val="clear" w:fill="EBF3FB"/>
          </w:tcPr>
          <w:p>
            <w:r/>
            <w:r>
              <w:rPr>
                <w:b/>
                <w:sz w:val="18"/>
              </w:rPr>
              <w:t>Numéros d'urgence</w:t>
            </w:r>
          </w:p>
        </w:tc>
        <w:tc>
          <w:tcPr>
            <w:tcW w:type="dxa" w:w="6236"/>
          </w:tcPr>
          <w:p>
            <w:r/>
            <w:r>
              <w:rPr>
                <w:b w:val="0"/>
                <w:sz w:val="18"/>
              </w:rPr>
              <w:t>{{secours_urgences}}</w:t>
            </w:r>
          </w:p>
        </w:tc>
      </w:tr>
      <w:tr>
        <w:tc>
          <w:tcPr>
            <w:tcW w:type="dxa" w:w="3402"/>
            <w:shd w:val="clear" w:fill="EBF3FB"/>
          </w:tcPr>
          <w:p>
            <w:r/>
            <w:r>
              <w:rPr>
                <w:b/>
                <w:sz w:val="18"/>
              </w:rPr>
              <w:t>Trousse de secours</w:t>
            </w:r>
          </w:p>
        </w:tc>
        <w:tc>
          <w:tcPr>
            <w:tcW w:type="dxa" w:w="6236"/>
          </w:tcPr>
          <w:p>
            <w:r/>
            <w:r>
              <w:rPr>
                <w:b w:val="0"/>
                <w:sz w:val="18"/>
              </w:rPr>
              <w:t>{{secours_trousse}}</w:t>
            </w:r>
          </w:p>
        </w:tc>
      </w:tr>
      <w:tr>
        <w:tc>
          <w:tcPr>
            <w:tcW w:type="dxa" w:w="3402"/>
            <w:shd w:val="clear" w:fill="EBF3FB"/>
          </w:tcPr>
          <w:p>
            <w:r/>
            <w:r>
              <w:rPr>
                <w:b/>
                <w:sz w:val="18"/>
              </w:rPr>
              <w:t>DAE (défibrillateur)</w:t>
            </w:r>
          </w:p>
        </w:tc>
        <w:tc>
          <w:tcPr>
            <w:tcW w:type="dxa" w:w="6236"/>
          </w:tcPr>
          <w:p>
            <w:r/>
            <w:r>
              <w:rPr>
                <w:b w:val="0"/>
                <w:sz w:val="18"/>
              </w:rPr>
              <w:t>{{secours_dae}}</w:t>
            </w:r>
          </w:p>
        </w:tc>
      </w:tr>
    </w:tbl>
    <w:p>
      <w:pPr>
        <w:pStyle w:val="ListBullet"/>
      </w:pPr>
      <w:r>
        <w:rPr>
          <w:sz w:val="20"/>
        </w:rPr>
        <w:t>Le CSPS est averti au plus tôt de tout accident, avec ou sans arrêt ; il reçoit deux exemplaires de la fiche d'accident de travail. L'inspection du travail doit être avertie des accidents graves.</w:t>
      </w:r>
    </w:p>
    <w:p>
      <w:pPr>
        <w:pStyle w:val="ListBullet"/>
      </w:pPr>
      <w:r>
        <w:rPr>
          <w:sz w:val="20"/>
        </w:rPr>
        <w:t>Accident grave : appeler le 18 (ou 112) et se conformer à la fiche « En cas d'accident ». Le blessé ne doit être manipulé que par un secouriste.</w:t>
      </w:r>
    </w:p>
    <w:p>
      <w:pPr>
        <w:pStyle w:val="ListBullet"/>
      </w:pPr>
      <w:r>
        <w:rPr>
          <w:sz w:val="20"/>
        </w:rPr>
        <w:t>Chaque entreprise doit posséder une trousse de premiers secours sur le chantier.</w:t>
      </w:r>
    </w:p>
    <w:p>
      <w:pPr>
        <w:pStyle w:val="ListBullet"/>
      </w:pPr>
      <w:r>
        <w:rPr>
          <w:sz w:val="20"/>
        </w:rPr>
        <w:t>Formation au secourisme : un SST pour 20 travailleurs minimum (objectif 10 % de l'effectif).</w:t>
      </w:r>
    </w:p>
    <w:p>
      <w:pPr>
        <w:pStyle w:val="ListBullet"/>
      </w:pPr>
      <w:r>
        <w:rPr>
          <w:sz w:val="20"/>
        </w:rPr>
        <w:t>Risque incendie : chaque entreprise dont les travaux font courir un risque d'incendie disposera d'extincteurs à proximité (permis de feu, travaux de soudage/étanchéité). Locaux de stockage, vestiaires et réfectoire équipés d'un extincteur vérifié annuellement.</w:t>
      </w:r>
    </w:p>
    <w:p>
      <w:r>
        <w:rPr>
          <w:b/>
          <w:i w:val="0"/>
          <w:sz w:val="20"/>
        </w:rPr>
        <w:t>LE MAÎTRE D'OUVRAGE, LE MAÎTRE D'ŒUVRE ET LE CSPS ONT LE DROIT D'INTERDIRE L'ENTRÉE DU CHANTIER À TOUTE PERSONNE EN CONTRAVENTION AVEC LA RÉGLEMENTATION EN VIGUEUR.</w:t>
      </w:r>
    </w:p>
    <w:p>
      <w:r>
        <w:br w:type="page"/>
      </w:r>
    </w:p>
    <w:p>
      <w:pPr>
        <w:pStyle w:val="Heading1"/>
      </w:pPr>
      <w:r>
        <w:t>6. MODALITÉS DE COOPÉRATION ENTRE LES ENTREPRISES, EMPLOYEURS ET TRAVAILLEURS INDÉPENDANTS</w:t>
      </w:r>
    </w:p>
    <w:p>
      <w:r>
        <w:rPr>
          <w:b/>
          <w:i w:val="0"/>
          <w:sz w:val="20"/>
        </w:rPr>
        <w:t>ACCÈS AU CHANTIER : seules les personnes autorisées peuvent pénétrer sur le chantier :</w:t>
      </w:r>
    </w:p>
    <w:p>
      <w:pPr>
        <w:pStyle w:val="ListBullet"/>
      </w:pPr>
      <w:r>
        <w:rPr>
          <w:sz w:val="20"/>
        </w:rPr>
        <w:t>Entreprises détentrices d'un marché de travaux,</w:t>
      </w:r>
    </w:p>
    <w:p>
      <w:pPr>
        <w:pStyle w:val="ListBullet"/>
      </w:pPr>
      <w:r>
        <w:rPr>
          <w:sz w:val="20"/>
        </w:rPr>
        <w:t>Sous-traitants ayant reçu l'agrément du Maître d'ouvrage (copie de l'agrément transmise au CSPS dès obtention),</w:t>
      </w:r>
    </w:p>
    <w:p>
      <w:pPr>
        <w:pStyle w:val="ListBullet"/>
      </w:pPr>
      <w:r>
        <w:rPr>
          <w:sz w:val="20"/>
        </w:rPr>
        <w:t>Entreprises, sous-traitants et travailleurs indépendants ayant visé le PGC,</w:t>
      </w:r>
    </w:p>
    <w:p>
      <w:pPr>
        <w:pStyle w:val="ListBullet"/>
      </w:pPr>
      <w:r>
        <w:rPr>
          <w:sz w:val="20"/>
        </w:rPr>
        <w:t>Entreprises ou sous-traitants ayant réalisé l'inspection commune avant intervention.</w:t>
      </w:r>
    </w:p>
    <w:p>
      <w:r>
        <w:rPr>
          <w:b/>
          <w:i w:val="0"/>
          <w:sz w:val="20"/>
        </w:rPr>
        <w:t>CARTE PROFESSIONNELLE BTP OBLIGATOIRE POUR TOUS, Y COMPRIS SOUS-TRAITANTS, INTÉRIMAIRES ET CDD.</w:t>
      </w:r>
    </w:p>
    <w:p>
      <w:r>
        <w:rPr>
          <w:b w:val="0"/>
          <w:i w:val="0"/>
          <w:sz w:val="20"/>
        </w:rPr>
        <w:t>VISA DES OBSERVATIONS DU CSPS : le CSPS émettra des observations ou notifications à l'issue de ses visites. Les entreprises devront s'y conformer ou, à défaut, formuler un avis contraire sous 48 h maximum. Un délai de 15 jours minimum est nécessaire entre la demande de rendez-vous et la visite in situ.</w:t>
      </w:r>
    </w:p>
    <w:p>
      <w:r>
        <w:rPr>
          <w:b/>
          <w:i w:val="0"/>
          <w:sz w:val="20"/>
        </w:rPr>
        <w:t>INSPECTION COMMUNE : toute entreprise, titulaire ou sous-traitante, doit procéder à une inspection commune avec le CSPS puis à l'élaboration de son PPSPS avant d'intervenir sur le chantier. Si le CSPS constate qu'une entreprise n'a pas effectué l'inspection commune, il demandera au Maître d'ouvrage de reporter son intervention tant que la situation n'est pas régularisée.</w:t>
      </w:r>
    </w:p>
    <w:p>
      <w:r>
        <w:rPr>
          <w:b/>
          <w:i w:val="0"/>
          <w:color w:val="1F4E79"/>
          <w:sz w:val="20"/>
        </w:rPr>
        <w:t>ENTREPRISES SOUMISES À L'OBLIGATION D'ÉTABLIR UN PPSPS</w:t>
      </w:r>
    </w:p>
    <w:p>
      <w:r>
        <w:rPr>
          <w:b w:val="0"/>
          <w:i w:val="0"/>
          <w:sz w:val="20"/>
        </w:rPr>
        <w:t>L'article L.4532-9 du Code du travail soumet à l'obligation d'établir un PPSPS toute entreprise « appelée à intervenir à un moment quelconque des travaux » sur un chantier soumis à PGC SPS. L'arrêt de la Cour de cassation du 14 janvier 2025 (n°23-84.130), dont la portée a été précisée par le Questions-Réponses de la Direction générale du travail de mars 2026, clarifie la portée de ce texte : l'obligation vise l'ensemble des entreprises dont les travaux concourent à la réalisation de l'opération, quel que soit leur statut contractuel (titulaire, sous-traitant, prestataire de services).</w:t>
      </w:r>
    </w:p>
    <w:p>
      <w:r>
        <w:rPr>
          <w:b w:val="0"/>
          <w:i w:val="0"/>
          <w:sz w:val="20"/>
        </w:rPr>
        <w:t>Sont concernées les entreprises effectuant des actions techniques sur le chantier impliquant une intervention directe sur l'ouvrage, ses équipements, ses installations provisoires ou les moyens nécessaires à sa réalisation, ainsi que les interventions techniques portant sur les moyens ou équipements mis en œuvre pour la réalisation ou la sécurisation des travaux (installation, maintenance, réglage, réparation, essais).</w:t>
      </w:r>
    </w:p>
    <w:p>
      <w:r>
        <w:rPr>
          <w:b w:val="0"/>
          <w:i w:val="0"/>
          <w:sz w:val="20"/>
        </w:rPr>
        <w:t>Ne sont pas soumises à l'obligation : les interventions sans action technique sur l'ouvrage et sans incidence sur le processus de réalisation (études et maîtrise d'œuvre, prestations intellectuelles ou de contrôle, livraisons sans mise en œuvre, relevés et mesures sans intervention physique). Ces interventions doivent relever d'autres dispositifs de prévention et être intégrées dans l'organisation générale du chantier.</w:t>
      </w:r>
    </w:p>
    <w:p>
      <w:r>
        <w:rPr>
          <w:b/>
          <w:i w:val="0"/>
          <w:sz w:val="20"/>
        </w:rPr>
        <w:t>LE PPSPS de chaque entreprise devra IMPÉRATIVEMENT mentionner : les RISQUES IMPORTÉS (que les autres corps d'état lui font courir) et les RISQUES EXPORTÉS (qu'elle fait courir aux autres), en fonction du planning réel de l'opération. Le PPSPS est disponible en permanence sur le chantier et conservé 5 ans à compter de la réception de l'ouvrage.</w:t>
      </w:r>
    </w:p>
    <w:p>
      <w:r>
        <w:rPr>
          <w:b w:val="0"/>
          <w:i w:val="0"/>
          <w:sz w:val="20"/>
        </w:rPr>
        <w:t>Travailleurs indépendants : soumis aux mêmes règles de prévention que les entreprises. Travail intérimaire : l'entreprise utilisatrice s'assure de l'aptitude médicale, de la formation à la sécurité et de l'information sur les consignes du site.</w:t>
      </w:r>
    </w:p>
    <w:p/>
    <w:tbl>
      <w:tblPr>
        <w:tblStyle w:val="TableGrid"/>
        <w:tblW w:type="auto" w:w="0"/>
        <w:jc w:val="center"/>
        <w:tblLook w:firstColumn="1" w:firstRow="1" w:lastColumn="0" w:lastRow="0" w:noHBand="0" w:noVBand="1" w:val="04A0"/>
      </w:tblPr>
      <w:tblGrid>
        <w:gridCol w:w="5270"/>
        <w:gridCol w:w="5270"/>
      </w:tblGrid>
      <w:tr>
        <w:tc>
          <w:tcPr>
            <w:tcW w:type="dxa" w:w="4819"/>
            <w:shd w:val="clear" w:fill="EBF3FB"/>
          </w:tcPr>
          <w:p>
            <w:r/>
            <w:r>
              <w:rPr>
                <w:b/>
                <w:sz w:val="18"/>
              </w:rPr>
              <w:t>Le Coordonnateur SPS</w:t>
            </w:r>
          </w:p>
        </w:tc>
        <w:tc>
          <w:tcPr>
            <w:tcW w:type="dxa" w:w="4819"/>
            <w:shd w:val="clear" w:fill="EBF3FB"/>
          </w:tcPr>
          <w:p>
            <w:r/>
            <w:r>
              <w:rPr>
                <w:b/>
                <w:sz w:val="18"/>
              </w:rPr>
              <w:t>Visa du Maître d'Ouvrage</w:t>
            </w:r>
          </w:p>
        </w:tc>
      </w:tr>
      <w:tr>
        <w:tc>
          <w:tcPr>
            <w:tcW w:type="dxa" w:w="4819"/>
          </w:tcPr>
          <w:p>
            <w:r/>
            <w:r>
              <w:rPr>
                <w:b w:val="0"/>
                <w:sz w:val="18"/>
              </w:rPr>
              <w:t>{{cspsr_nom}}</w:t>
              <w:br/>
              <w:t>Fait le {{pgc_date}}</w:t>
              <w:br/>
              <w:br/>
              <w:br/>
            </w:r>
          </w:p>
        </w:tc>
        <w:tc>
          <w:tcPr>
            <w:tcW w:type="dxa" w:w="4819"/>
          </w:tcPr>
          <w:p>
            <w:r/>
            <w:r>
              <w:rPr>
                <w:b w:val="0"/>
                <w:sz w:val="18"/>
              </w:rPr>
              <w:t>{{moa_nom}}</w:t>
              <w:br/>
              <w:br/>
              <w:br/>
              <w:br/>
            </w:r>
          </w:p>
        </w:tc>
      </w:tr>
    </w:tbl>
    <w:p>
      <w:r>
        <w:br w:type="page"/>
      </w:r>
    </w:p>
    <w:p>
      <w:pPr>
        <w:pStyle w:val="Heading1"/>
      </w:pPr>
      <w:r>
        <w:t>ANNEXES</w:t>
      </w:r>
    </w:p>
    <w:p>
      <w:r>
        <w:rPr>
          <w:b/>
          <w:i w:val="0"/>
          <w:sz w:val="20"/>
        </w:rPr>
        <w:t>ANNEXE 1 : Fiche urgence « En cas d'accident » (modèle OPPBTP) — à afficher au cantonnement.</w:t>
      </w:r>
    </w:p>
    <w:tbl>
      <w:tblPr>
        <w:tblStyle w:val="TableGrid"/>
        <w:tblW w:type="auto" w:w="0"/>
        <w:jc w:val="center"/>
        <w:tblLook w:firstColumn="1" w:firstRow="1" w:lastColumn="0" w:lastRow="0" w:noHBand="0" w:noVBand="1" w:val="04A0"/>
      </w:tblPr>
      <w:tblGrid>
        <w:gridCol w:w="5270"/>
        <w:gridCol w:w="5270"/>
      </w:tblGrid>
      <w:tr>
        <w:tc>
          <w:tcPr>
            <w:tcW w:type="dxa" w:w="3402"/>
            <w:shd w:val="clear" w:fill="FFF0CC"/>
          </w:tcPr>
          <w:p>
            <w:r/>
            <w:r>
              <w:rPr>
                <w:b/>
                <w:sz w:val="18"/>
              </w:rPr>
              <w:t>SAMU</w:t>
            </w:r>
          </w:p>
        </w:tc>
        <w:tc>
          <w:tcPr>
            <w:tcW w:type="dxa" w:w="6236"/>
          </w:tcPr>
          <w:p>
            <w:r/>
            <w:r>
              <w:rPr>
                <w:b w:val="0"/>
                <w:sz w:val="22"/>
              </w:rPr>
              <w:t>15</w:t>
            </w:r>
          </w:p>
        </w:tc>
      </w:tr>
      <w:tr>
        <w:tc>
          <w:tcPr>
            <w:tcW w:type="dxa" w:w="3402"/>
            <w:shd w:val="clear" w:fill="FFF0CC"/>
          </w:tcPr>
          <w:p>
            <w:r/>
            <w:r>
              <w:rPr>
                <w:b/>
                <w:sz w:val="18"/>
              </w:rPr>
              <w:t>Pompiers</w:t>
            </w:r>
          </w:p>
        </w:tc>
        <w:tc>
          <w:tcPr>
            <w:tcW w:type="dxa" w:w="6236"/>
          </w:tcPr>
          <w:p>
            <w:r/>
            <w:r>
              <w:rPr>
                <w:b w:val="0"/>
                <w:sz w:val="22"/>
              </w:rPr>
              <w:t>18</w:t>
            </w:r>
          </w:p>
        </w:tc>
      </w:tr>
      <w:tr>
        <w:tc>
          <w:tcPr>
            <w:tcW w:type="dxa" w:w="3402"/>
            <w:shd w:val="clear" w:fill="FFF0CC"/>
          </w:tcPr>
          <w:p>
            <w:r/>
            <w:r>
              <w:rPr>
                <w:b/>
                <w:sz w:val="18"/>
              </w:rPr>
              <w:t>Numéro d'urgence européen</w:t>
            </w:r>
          </w:p>
        </w:tc>
        <w:tc>
          <w:tcPr>
            <w:tcW w:type="dxa" w:w="6236"/>
          </w:tcPr>
          <w:p>
            <w:r/>
            <w:r>
              <w:rPr>
                <w:b w:val="0"/>
                <w:sz w:val="22"/>
              </w:rPr>
              <w:t>112</w:t>
            </w:r>
          </w:p>
        </w:tc>
      </w:tr>
      <w:tr>
        <w:tc>
          <w:tcPr>
            <w:tcW w:type="dxa" w:w="3402"/>
            <w:shd w:val="clear" w:fill="FFF0CC"/>
          </w:tcPr>
          <w:p>
            <w:r/>
            <w:r>
              <w:rPr>
                <w:b/>
                <w:sz w:val="18"/>
              </w:rPr>
              <w:t>Adresse du chantier</w:t>
            </w:r>
          </w:p>
        </w:tc>
        <w:tc>
          <w:tcPr>
            <w:tcW w:type="dxa" w:w="6236"/>
          </w:tcPr>
          <w:p>
            <w:r/>
            <w:r>
              <w:rPr>
                <w:b w:val="0"/>
                <w:sz w:val="22"/>
              </w:rPr>
              <w:t>{{chantier_adresse}}</w:t>
            </w:r>
          </w:p>
        </w:tc>
      </w:tr>
      <w:tr>
        <w:tc>
          <w:tcPr>
            <w:tcW w:type="dxa" w:w="3402"/>
            <w:shd w:val="clear" w:fill="FFF0CC"/>
          </w:tcPr>
          <w:p>
            <w:r/>
            <w:r>
              <w:rPr>
                <w:b/>
                <w:sz w:val="18"/>
              </w:rPr>
              <w:t>Hôpital le plus proche</w:t>
            </w:r>
          </w:p>
        </w:tc>
        <w:tc>
          <w:tcPr>
            <w:tcW w:type="dxa" w:w="6236"/>
          </w:tcPr>
          <w:p>
            <w:r/>
            <w:r>
              <w:rPr>
                <w:b w:val="0"/>
                <w:sz w:val="22"/>
              </w:rPr>
              <w:t>{{secours_hopital}}</w:t>
            </w:r>
          </w:p>
        </w:tc>
      </w:tr>
      <w:tr>
        <w:tc>
          <w:tcPr>
            <w:tcW w:type="dxa" w:w="3402"/>
            <w:shd w:val="clear" w:fill="FFF0CC"/>
          </w:tcPr>
          <w:p>
            <w:r/>
            <w:r>
              <w:rPr>
                <w:b/>
                <w:sz w:val="18"/>
              </w:rPr>
              <w:t>CSPS</w:t>
            </w:r>
          </w:p>
        </w:tc>
        <w:tc>
          <w:tcPr>
            <w:tcW w:type="dxa" w:w="6236"/>
          </w:tcPr>
          <w:p>
            <w:r/>
            <w:r>
              <w:rPr>
                <w:b w:val="0"/>
                <w:sz w:val="22"/>
              </w:rPr>
              <w:t>{{cspsr_nom}} — {{cspsr_tel}}</w:t>
            </w:r>
          </w:p>
        </w:tc>
      </w:tr>
    </w:tbl>
    <w:p/>
    <w:p>
      <w:r>
        <w:rPr>
          <w:b/>
          <w:i w:val="0"/>
          <w:sz w:val="20"/>
        </w:rPr>
        <w:t>ANNEXE 2 : Prescriptions techniques — travaux de terrassement à ciel ouvert (Code du travail, 4e partie, livre V, titre III, chap. IV, section 4)</w:t>
      </w:r>
    </w:p>
    <w:p>
      <w:r>
        <w:rPr>
          <w:b/>
          <w:i w:val="0"/>
          <w:sz w:val="18"/>
        </w:rPr>
        <w:t>Article R.4534-22</w:t>
      </w:r>
    </w:p>
    <w:p>
      <w:r>
        <w:rPr>
          <w:b w:val="0"/>
          <w:i w:val="0"/>
          <w:sz w:val="18"/>
        </w:rPr>
        <w:t>Avant de commencer des travaux de terrassement, l'employeur s'informe auprès du service de voirie compétent (domaine public) ou du propriétaire (domaine privé) : 1° de l'existence de terres rapportées ; 2° de l'emplacement et de la nature des canalisations ou câbles souterrains ; 3° des risques d'imprégnation du sous-sol par des émanations ou produits nocifs.</w:t>
      </w:r>
    </w:p>
    <w:p>
      <w:r>
        <w:rPr>
          <w:b/>
          <w:i w:val="0"/>
          <w:sz w:val="18"/>
        </w:rPr>
        <w:t>Article R.4534-23</w:t>
      </w:r>
    </w:p>
    <w:p>
      <w:r>
        <w:rPr>
          <w:b w:val="0"/>
          <w:i w:val="0"/>
          <w:sz w:val="18"/>
        </w:rPr>
        <w:t>Les arbres, blocs de pierre, matériels, matériaux et objets se trouvant à proximité de fouilles sont enlevés ou solidement maintenus si leur équilibre risque d'être compromis.</w:t>
      </w:r>
    </w:p>
    <w:p>
      <w:r>
        <w:rPr>
          <w:b/>
          <w:i w:val="0"/>
          <w:sz w:val="18"/>
        </w:rPr>
        <w:t>Article R.4534-24</w:t>
      </w:r>
    </w:p>
    <w:p>
      <w:r>
        <w:rPr>
          <w:b w:val="0"/>
          <w:i w:val="0"/>
          <w:sz w:val="18"/>
        </w:rPr>
        <w:t>Les fouilles en tranchée de plus de 1,30 m de profondeur et d'une largeur égale ou inférieure aux deux tiers de la profondeur sont, lorsque leurs parois sont verticales ou sensiblement verticales, blindées, étrésillonnées ou étayées. Les parois des autres fouilles sont aménagées de façon à prévenir les éboulements. Ces mesures sont prises avant toute descente d'un travailleur dans la fouille. Lorsque nul n'a à descendre, les zones dangereuses en bord de fouille sont délimitées et signalées.</w:t>
      </w:r>
    </w:p>
    <w:p>
      <w:r>
        <w:rPr>
          <w:b/>
          <w:i w:val="0"/>
          <w:sz w:val="20"/>
        </w:rPr>
        <w:t>ANNEXE 3 : Cadre pour établir le PPSPS (remis aux entreprises lors de l'inspection commune).</w:t>
      </w:r>
    </w:p>
    <w:sectPr w:rsidR="00FC693F" w:rsidRPr="0006063C"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5B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