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2E75B6"/>
          <w:sz w:val="22"/>
        </w:rPr>
        <w:t>CSPS17 — Coordination Sécurité et Protection de la Santé</w:t>
      </w:r>
    </w:p>
    <w:p/>
    <w:p>
      <w:pPr>
        <w:jc w:val="center"/>
      </w:pPr>
      <w:r>
        <w:rPr>
          <w:b/>
          <w:i w:val="0"/>
          <w:color w:val="1F4E79"/>
          <w:sz w:val="80"/>
        </w:rPr>
        <w:t>P.G.C</w:t>
      </w:r>
    </w:p>
    <w:p>
      <w:pPr>
        <w:jc w:val="center"/>
      </w:pPr>
      <w:r>
        <w:rPr>
          <w:b/>
          <w:i w:val="0"/>
          <w:sz w:val="32"/>
        </w:rPr>
        <w:t>CHANTIER DE CATÉGORIE 3 — TRAVAUX À RISQUES PARTICULIERS</w:t>
      </w:r>
    </w:p>
    <w:p>
      <w:pPr>
        <w:jc w:val="center"/>
      </w:pPr>
      <w:r>
        <w:rPr>
          <w:b w:val="0"/>
          <w:i w:val="0"/>
          <w:sz w:val="26"/>
        </w:rPr>
        <w:t>Plan Général Simplifié de Coordination SPS (art. R.4532-52 à R.4532-54 du Code du travail — arrêté du 25/02/2003)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Projet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{{chantier_nom}}</w:t>
              <w:br/>
              <w:t>{{chantier_adresse}}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Type de chantier / nature des travaux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{{chantier_nature}}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Maître d'ouvrage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{{moa_nom}}</w:t>
              <w:br/>
              <w:t>{{moa_adresse}}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Contact MOA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{{moa_contact}} — {{moa_tel}} — {{moa_mail}}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Maître d'œuvre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{{moe_nom}} — {{moe_contact}}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Coordonnateur SPS Conception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{{cspsc_nom}} — {{cspsc_tel}} — {{cspsc_mail}}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Coordonnateur SPS Réalisation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{{cspsr_nom}} — {{cspsr_tel}} — {{cspsr_mail}}</w:t>
            </w:r>
          </w:p>
        </w:tc>
      </w:tr>
      <w:tr>
        <w:tc>
          <w:tcPr>
            <w:tcW w:type="dxa" w:w="3118"/>
            <w:shd w:val="clear" w:fill="EBF3FB"/>
          </w:tcPr>
          <w:p>
            <w:r/>
            <w:r>
              <w:rPr>
                <w:b/>
                <w:sz w:val="20"/>
              </w:rPr>
              <w:t>Indice / Date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{{pgc_indice}} — {{pgc_date}}</w:t>
            </w:r>
          </w:p>
        </w:tc>
      </w:tr>
    </w:tbl>
    <w:p>
      <w:r>
        <w:br w:type="page"/>
      </w:r>
    </w:p>
    <w:p>
      <w:pPr>
        <w:pStyle w:val="Heading1"/>
      </w:pPr>
      <w:r>
        <w:t>0. NOTE PRÉLIMINAIRE</w:t>
      </w:r>
    </w:p>
    <w:p>
      <w:r>
        <w:rPr>
          <w:b w:val="0"/>
          <w:i w:val="0"/>
          <w:sz w:val="20"/>
        </w:rPr>
        <w:t>Le PGC SPS définit des mesures destinées à prévenir les risques découlant des interventions successives ou simultanées sur le chantier. Ce document est requis pour toutes les opérations de catégories 1 ou 2, mais aussi celles de catégorie 3 (PGC SPS simplifié) comportant des travaux à risques particuliers. Établi dès la phase de conception de l'opération, il doit être tenu à jour et adapté à l'évolution du chantier. Il est joint aux dossiers d'appel d'offres.</w:t>
        <w:br/>
        <w:t>Le PGC SPS est établi en concertation avec la maîtrise d'œuvre par le coordonnateur SPS dès le début de la phase de conception, à partir des éléments recueillis sur le site ou fournis par le maître d'ouvrage. Il est :</w:t>
      </w:r>
    </w:p>
    <w:p>
      <w:pPr>
        <w:pStyle w:val="ListBullet"/>
      </w:pPr>
      <w:r>
        <w:rPr>
          <w:sz w:val="20"/>
        </w:rPr>
        <w:t>Joint au dossier de consultation des entreprises,</w:t>
      </w:r>
    </w:p>
    <w:p>
      <w:pPr>
        <w:pStyle w:val="ListBullet"/>
      </w:pPr>
      <w:r>
        <w:rPr>
          <w:sz w:val="20"/>
        </w:rPr>
        <w:t>Mis à jour pendant toute la durée de l'opération,</w:t>
      </w:r>
    </w:p>
    <w:p>
      <w:pPr>
        <w:pStyle w:val="ListBullet"/>
      </w:pPr>
      <w:r>
        <w:rPr>
          <w:sz w:val="20"/>
        </w:rPr>
        <w:t>Mis à disposition de tous les acteurs du projet,</w:t>
      </w:r>
    </w:p>
    <w:p>
      <w:pPr>
        <w:pStyle w:val="ListBullet"/>
      </w:pPr>
      <w:r>
        <w:rPr>
          <w:sz w:val="20"/>
        </w:rPr>
        <w:t>Porteur de préconisations techniques et organisationnelles pour prévenir les risques sur le chantier.</w:t>
      </w:r>
    </w:p>
    <w:p>
      <w:r>
        <w:rPr>
          <w:b/>
          <w:i w:val="0"/>
          <w:sz w:val="20"/>
        </w:rPr>
        <w:t>Pour les opérations de catégorie 3, le coordonnateur SPS rédige une version simplifiée (articles R.4532-52 et R.4532-54 du Code du travail), uniquement lorsque l'opération comporte des travaux à risques particuliers (liste de l'arrêté du 25 février 2003). Le présent plan simplifié ne traite que des interférences qui peuvent être liées aux travaux dangereux prévus dans l'opération.</w:t>
      </w:r>
    </w:p>
    <w:p>
      <w:r>
        <w:rPr>
          <w:b/>
          <w:i w:val="0"/>
          <w:color w:val="1F4E79"/>
          <w:sz w:val="20"/>
        </w:rPr>
        <w:t>RÈGLES COMMUNES</w:t>
      </w:r>
    </w:p>
    <w:p>
      <w:r>
        <w:rPr>
          <w:b w:val="0"/>
          <w:i w:val="0"/>
          <w:sz w:val="20"/>
        </w:rPr>
        <w:t>Ce document a été établi à la demande du Maître d'Ouvrage par le Coordonnateur Sécurité et Protection de la Santé pour répondre aux exigences de la loi n°93-1418 du 31 décembre 1993 et de son décret d'application n°94-1159. Il est fondé sur les principes généraux de prévention :</w:t>
      </w:r>
    </w:p>
    <w:p>
      <w:pPr>
        <w:pStyle w:val="ListBullet"/>
      </w:pPr>
      <w:r>
        <w:rPr>
          <w:sz w:val="20"/>
        </w:rPr>
        <w:t>a) Éviter les risques,</w:t>
      </w:r>
    </w:p>
    <w:p>
      <w:pPr>
        <w:pStyle w:val="ListBullet"/>
      </w:pPr>
      <w:r>
        <w:rPr>
          <w:sz w:val="20"/>
        </w:rPr>
        <w:t>b) Évaluer les risques qui ne peuvent pas être évités,</w:t>
      </w:r>
    </w:p>
    <w:p>
      <w:pPr>
        <w:pStyle w:val="ListBullet"/>
      </w:pPr>
      <w:r>
        <w:rPr>
          <w:sz w:val="20"/>
        </w:rPr>
        <w:t>c) Combattre les risques à la source,</w:t>
      </w:r>
    </w:p>
    <w:p>
      <w:pPr>
        <w:pStyle w:val="ListBullet"/>
      </w:pPr>
      <w:r>
        <w:rPr>
          <w:sz w:val="20"/>
        </w:rPr>
        <w:t>d) Adapter le travail à l'homme, en particulier en ce qui concerne la conception des postes de travail ainsi que le choix des équipements et des méthodes de travail et de production,</w:t>
      </w:r>
    </w:p>
    <w:p>
      <w:pPr>
        <w:pStyle w:val="ListBullet"/>
      </w:pPr>
      <w:r>
        <w:rPr>
          <w:sz w:val="20"/>
        </w:rPr>
        <w:t>e) Tenir compte de l'état d'évolution de la technique,</w:t>
      </w:r>
    </w:p>
    <w:p>
      <w:pPr>
        <w:pStyle w:val="ListBullet"/>
      </w:pPr>
      <w:r>
        <w:rPr>
          <w:sz w:val="20"/>
        </w:rPr>
        <w:t>f) Remplacer ce qui est dangereux par ce qui n'est pas dangereux ou par ce qui l'est moins,</w:t>
      </w:r>
    </w:p>
    <w:p>
      <w:pPr>
        <w:pStyle w:val="ListBullet"/>
      </w:pPr>
      <w:r>
        <w:rPr>
          <w:sz w:val="20"/>
        </w:rPr>
        <w:t>g) Planifier la prévention en y intégrant, dans un ensemble cohérent, la technique, l'organisation du travail, les conditions de travail, les relations sociales et l'influence des facteurs ambiants,</w:t>
      </w:r>
    </w:p>
    <w:p>
      <w:pPr>
        <w:pStyle w:val="ListBullet"/>
      </w:pPr>
      <w:r>
        <w:rPr>
          <w:sz w:val="20"/>
        </w:rPr>
        <w:t>h) Prendre des mesures de protection collective en leur donnant la priorité sur les mesures de protection individuelle,</w:t>
      </w:r>
    </w:p>
    <w:p>
      <w:pPr>
        <w:pStyle w:val="ListBullet"/>
      </w:pPr>
      <w:r>
        <w:rPr>
          <w:sz w:val="20"/>
        </w:rPr>
        <w:t>i) Donner les instructions appropriées aux travailleurs.</w:t>
      </w:r>
    </w:p>
    <w:p>
      <w:r>
        <w:rPr>
          <w:b w:val="0"/>
          <w:i/>
          <w:sz w:val="18"/>
        </w:rPr>
        <w:t>Les principes a, b, c, e, f, g et h sont applicables au maître d'ouvrage, au maître d'œuvre et au coordonnateur SPS ; les principes a à i aux entrepreneurs ; les principes a, b, c, e et f aux travailleurs indépendants.</w:t>
      </w:r>
    </w:p>
    <w:p>
      <w:r>
        <w:br w:type="page"/>
      </w:r>
    </w:p>
    <w:p>
      <w:pPr>
        <w:pStyle w:val="Heading1"/>
      </w:pPr>
      <w:r>
        <w:t>1. RENSEIGNEMENTS ADMINISTRATIFS</w:t>
      </w:r>
    </w:p>
    <w:p>
      <w:pPr>
        <w:pStyle w:val="Heading2"/>
      </w:pPr>
      <w:r>
        <w:t>1.1 Description de l'opération</w:t>
      </w:r>
    </w:p>
    <w:p>
      <w:r>
        <w:rPr>
          <w:b w:val="0"/>
          <w:i w:val="0"/>
          <w:sz w:val="20"/>
        </w:rPr>
        <w:t>{{chantier_nature}}, sis {{chantier_adresse}}.</w:t>
      </w:r>
    </w:p>
    <w:p>
      <w:pPr>
        <w:pStyle w:val="Heading2"/>
      </w:pPr>
      <w:r>
        <w:t>1.2 Renseignements généraux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Déclaration préalable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{{chantier_dp}}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Permis de construire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{{chantier_pc}}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Montant estimé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{{chantier_montant}}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Durée prévisible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{{chantier_duree}}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Date présumée du début des travaux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{{chantier_debut_fr}}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Type de marché / attribution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{{pgc_type_marche}}</w:t>
            </w:r>
          </w:p>
        </w:tc>
      </w:tr>
      <w:tr>
        <w:tc>
          <w:tcPr>
            <w:tcW w:type="dxa" w:w="3685"/>
            <w:shd w:val="clear" w:fill="EBF3FB"/>
          </w:tcPr>
          <w:p>
            <w:r/>
            <w:r>
              <w:rPr>
                <w:b/>
                <w:sz w:val="18"/>
              </w:rPr>
              <w:t>Catégorie SPS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8"/>
              </w:rPr>
              <w:t>Catégorie {{categorie}}</w:t>
            </w:r>
          </w:p>
        </w:tc>
      </w:tr>
    </w:tbl>
    <w:p>
      <w:r>
        <w:rPr>
          <w:b/>
          <w:i w:val="0"/>
          <w:sz w:val="20"/>
        </w:rPr>
        <w:t>Liste des lots — Entreprises retenues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819"/>
            <w:shd w:val="clear" w:fill="D6E4F0"/>
          </w:tcPr>
          <w:p>
            <w:r/>
            <w:r>
              <w:rPr>
                <w:b/>
                <w:sz w:val="18"/>
              </w:rPr>
              <w:t>Lot</w:t>
            </w:r>
          </w:p>
        </w:tc>
        <w:tc>
          <w:tcPr>
            <w:tcW w:type="dxa" w:w="4819"/>
            <w:shd w:val="clear" w:fill="D6E4F0"/>
          </w:tcPr>
          <w:p>
            <w:r/>
            <w:r>
              <w:rPr>
                <w:b/>
                <w:sz w:val="18"/>
              </w:rPr>
              <w:t>Entreprise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{{#lots}}{{lot}}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{{nom}}{{/lots}}</w:t>
            </w:r>
          </w:p>
        </w:tc>
      </w:tr>
    </w:tbl>
    <w:p>
      <w:r>
        <w:rPr>
          <w:b w:val="0"/>
          <w:i/>
          <w:sz w:val="18"/>
        </w:rPr>
        <w:t>Dossier en appel d'offres au jour de la rédaction des présentes pour les lots non attribués.</w:t>
      </w:r>
    </w:p>
    <w:p>
      <w:r>
        <w:rPr>
          <w:b/>
          <w:i w:val="0"/>
          <w:sz w:val="20"/>
        </w:rPr>
        <w:t>Organismes de prévention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969"/>
            <w:shd w:val="clear" w:fill="D6E4F0"/>
          </w:tcPr>
          <w:p>
            <w:r/>
            <w:r>
              <w:rPr>
                <w:b/>
                <w:sz w:val="18"/>
              </w:rPr>
              <w:t>Organisme</w:t>
            </w:r>
          </w:p>
        </w:tc>
        <w:tc>
          <w:tcPr>
            <w:tcW w:type="dxa" w:w="5669"/>
            <w:shd w:val="clear" w:fill="D6E4F0"/>
          </w:tcPr>
          <w:p>
            <w:r/>
            <w:r>
              <w:rPr>
                <w:b/>
                <w:sz w:val="18"/>
              </w:rPr>
              <w:t>Coordonnées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Inspection du travail (DREETS)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{{dreets_nom}}</w:t>
              <w:br/>
              <w:t>{{dreets_adresse}}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CARSAT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{{carsat_nom}}</w:t>
              <w:br/>
              <w:t>{{carsat_adresse}}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OPPBTP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{{oppbtp_nom}}</w:t>
              <w:br/>
              <w:t>{{oppbtp_adresse}}</w:t>
            </w:r>
          </w:p>
        </w:tc>
      </w:tr>
    </w:tbl>
    <w:p>
      <w:r>
        <w:br w:type="page"/>
      </w:r>
    </w:p>
    <w:p>
      <w:pPr>
        <w:pStyle w:val="Heading1"/>
      </w:pPr>
      <w:r>
        <w:t>2. TRAVAUX À RISQUES PARTICULIERS ET INTERFÉRENCES</w:t>
      </w:r>
    </w:p>
    <w:p>
      <w:r>
        <w:rPr>
          <w:b w:val="0"/>
          <w:i/>
          <w:sz w:val="20"/>
        </w:rPr>
        <w:t>Le présent plan simplifié ne traite que des interférences liées aux travaux présentant des risques particuliers (liste de l'arrêté du 25 février 2003) prévus dans l'opération.</w:t>
      </w:r>
    </w:p>
    <w:p>
      <w:r>
        <w:rPr>
          <w:b/>
          <w:i w:val="0"/>
          <w:sz w:val="20"/>
        </w:rPr>
        <w:t>Travaux à risques particuliers identifiés : {{pgc_travaux_dangereux}}</w:t>
      </w:r>
    </w:p>
    <w:p>
      <w:r>
        <w:rPr>
          <w:b/>
          <w:i w:val="0"/>
          <w:sz w:val="20"/>
        </w:rPr>
        <w:t>{{#a_amiante}}</w:t>
      </w:r>
    </w:p>
    <w:p>
      <w:r>
        <w:rPr>
          <w:b/>
        </w:rPr>
        <w:t xml:space="preserve">PRÉSENCE D'AMIANTE : {{amiante_detail}}</w:t>
        <w:br/>
        <w:t>Entreprise SS3/SS4 selon travaux — RAAT dans les pièces de marché — PRA soumis à l'inspection du travail — aucune coactivité pendant le retrait.</w:t>
      </w:r>
    </w:p>
    <w:p>
      <w:r>
        <w:t xml:space="preserve">{{/a_amiante}}</w:t>
      </w:r>
    </w:p>
    <w:p>
      <w:r>
        <w:rPr>
          <w:b/>
          <w:i w:val="0"/>
          <w:color w:val="1F4E79"/>
          <w:sz w:val="20"/>
        </w:rPr>
        <w:t>Analyse des risques et mesures de coordination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041"/>
            <w:shd w:val="clear" w:fill="D6E4F0"/>
          </w:tcPr>
          <w:p>
            <w:r/>
            <w:r>
              <w:rPr>
                <w:b/>
                <w:sz w:val="16"/>
              </w:rPr>
              <w:t>Risque</w:t>
            </w:r>
          </w:p>
        </w:tc>
        <w:tc>
          <w:tcPr>
            <w:tcW w:type="dxa" w:w="4762"/>
            <w:shd w:val="clear" w:fill="D6E4F0"/>
          </w:tcPr>
          <w:p>
            <w:r/>
            <w:r>
              <w:rPr>
                <w:b/>
                <w:sz w:val="16"/>
              </w:rPr>
              <w:t>Mesures de prévention à prévoir — Sujétions du coordonnateur SPS à respecter par les entreprises</w:t>
            </w:r>
          </w:p>
        </w:tc>
        <w:tc>
          <w:tcPr>
            <w:tcW w:type="dxa" w:w="1417"/>
            <w:shd w:val="clear" w:fill="D6E4F0"/>
          </w:tcPr>
          <w:p>
            <w:r/>
            <w:r>
              <w:rPr>
                <w:b/>
                <w:sz w:val="16"/>
              </w:rPr>
              <w:t>Entreprise mettant en œuvre la mesure</w:t>
            </w:r>
          </w:p>
        </w:tc>
        <w:tc>
          <w:tcPr>
            <w:tcW w:type="dxa" w:w="1417"/>
            <w:shd w:val="clear" w:fill="D6E4F0"/>
          </w:tcPr>
          <w:p>
            <w:r/>
            <w:r>
              <w:rPr>
                <w:b/>
                <w:sz w:val="16"/>
              </w:rPr>
              <w:t>Entreprise bénéficiant de la mesure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{{#risques}}{{label}}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sz w:val="18"/>
              </w:rPr>
              <w:t>{{mesures}}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{{oeuvre}}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{{benef}}{{/risques}}</w:t>
            </w:r>
          </w:p>
        </w:tc>
      </w:tr>
    </w:tbl>
    <w:p>
      <w:r>
        <w:br w:type="page"/>
      </w:r>
    </w:p>
    <w:p>
      <w:pPr>
        <w:pStyle w:val="Heading1"/>
      </w:pPr>
      <w:r>
        <w:t>3. ORGANISATION DU CHANTIER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Accès &amp; véhicules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{{cat3_acces}}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Sécurisation / clôture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{{cat3_securisation}}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Hygiène &amp; base vie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{{cat3_hygiene}}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Énergie provisoire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{{cat3_energie}}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Stockages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{{cat3_stockages}}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Déchets &amp; bennes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{{cat3_dechets}}</w:t>
            </w:r>
          </w:p>
        </w:tc>
      </w:tr>
      <w:tr>
        <w:tc>
          <w:tcPr>
            <w:tcW w:type="dxa" w:w="2835"/>
            <w:shd w:val="clear" w:fill="EBF3FB"/>
          </w:tcPr>
          <w:p>
            <w:r/>
            <w:r>
              <w:rPr>
                <w:b/>
                <w:sz w:val="18"/>
              </w:rPr>
              <w:t>Secours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{{cat3_secours}}</w:t>
            </w:r>
          </w:p>
        </w:tc>
      </w:tr>
    </w:tbl>
    <w:p>
      <w:pPr>
        <w:pStyle w:val="Heading1"/>
      </w:pPr>
      <w:r>
        <w:t>5. SECOURS ET ÉVACUATION — RENSEIGNEMENTS PRATIQUES ET MESURES COMMUNES D'ORGANISATION</w:t>
      </w:r>
    </w:p>
    <w:p>
      <w:r>
        <w:rPr>
          <w:b w:val="0"/>
          <w:i w:val="0"/>
          <w:sz w:val="20"/>
        </w:rPr>
        <w:t>Organisation des secours : l'objectif est d'organiser les secours rapidement avant l'arrivée des secours extérieurs. Un téléphone (poste ou mobile) sera en permanence sur le site. Les numéros d'urgence figurent sur la fiche « En cas d'accident » (modèle OPPBTP en annexe 1), affichée visiblement dans le cantonnement. Les voies de circulation devront rester dégagées.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shd w:val="clear" w:fill="EBF3FB"/>
          </w:tcPr>
          <w:p>
            <w:r/>
            <w:r>
              <w:rPr>
                <w:b/>
                <w:sz w:val="18"/>
              </w:rPr>
              <w:t>Centre hospitalier le plus proche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8"/>
              </w:rPr>
              <w:t>{{secours_hopital}}</w:t>
            </w:r>
          </w:p>
        </w:tc>
      </w:tr>
      <w:tr>
        <w:tc>
          <w:tcPr>
            <w:tcW w:type="dxa" w:w="3402"/>
            <w:shd w:val="clear" w:fill="EBF3FB"/>
          </w:tcPr>
          <w:p>
            <w:r/>
            <w:r>
              <w:rPr>
                <w:b/>
                <w:sz w:val="18"/>
              </w:rPr>
              <w:t>Numéros d'urgence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8"/>
              </w:rPr>
              <w:t>{{secours_urgences}}</w:t>
            </w:r>
          </w:p>
        </w:tc>
      </w:tr>
      <w:tr>
        <w:tc>
          <w:tcPr>
            <w:tcW w:type="dxa" w:w="3402"/>
            <w:shd w:val="clear" w:fill="EBF3FB"/>
          </w:tcPr>
          <w:p>
            <w:r/>
            <w:r>
              <w:rPr>
                <w:b/>
                <w:sz w:val="18"/>
              </w:rPr>
              <w:t>Trousse de secours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8"/>
              </w:rPr>
              <w:t>{{secours_trousse}}</w:t>
            </w:r>
          </w:p>
        </w:tc>
      </w:tr>
      <w:tr>
        <w:tc>
          <w:tcPr>
            <w:tcW w:type="dxa" w:w="3402"/>
            <w:shd w:val="clear" w:fill="EBF3FB"/>
          </w:tcPr>
          <w:p>
            <w:r/>
            <w:r>
              <w:rPr>
                <w:b/>
                <w:sz w:val="18"/>
              </w:rPr>
              <w:t>DAE (défibrillateur)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8"/>
              </w:rPr>
              <w:t>{{secours_dae}}</w:t>
            </w:r>
          </w:p>
        </w:tc>
      </w:tr>
    </w:tbl>
    <w:p>
      <w:pPr>
        <w:pStyle w:val="ListBullet"/>
      </w:pPr>
      <w:r>
        <w:rPr>
          <w:sz w:val="20"/>
        </w:rPr>
        <w:t>Le CSPS est averti au plus tôt de tout accident, avec ou sans arrêt ; il reçoit deux exemplaires de la fiche d'accident de travail. L'inspection du travail doit être avertie des accidents graves.</w:t>
      </w:r>
    </w:p>
    <w:p>
      <w:pPr>
        <w:pStyle w:val="ListBullet"/>
      </w:pPr>
      <w:r>
        <w:rPr>
          <w:sz w:val="20"/>
        </w:rPr>
        <w:t>Accident grave : appeler le 18 (ou 112) et se conformer à la fiche « En cas d'accident ». Le blessé ne doit être manipulé que par un secouriste.</w:t>
      </w:r>
    </w:p>
    <w:p>
      <w:pPr>
        <w:pStyle w:val="ListBullet"/>
      </w:pPr>
      <w:r>
        <w:rPr>
          <w:sz w:val="20"/>
        </w:rPr>
        <w:t>Chaque entreprise doit posséder une trousse de premiers secours sur le chantier.</w:t>
      </w:r>
    </w:p>
    <w:p>
      <w:pPr>
        <w:pStyle w:val="ListBullet"/>
      </w:pPr>
      <w:r>
        <w:rPr>
          <w:sz w:val="20"/>
        </w:rPr>
        <w:t>Formation au secourisme : un SST pour 20 travailleurs minimum (objectif 10 % de l'effectif).</w:t>
      </w:r>
    </w:p>
    <w:p>
      <w:pPr>
        <w:pStyle w:val="ListBullet"/>
      </w:pPr>
      <w:r>
        <w:rPr>
          <w:sz w:val="20"/>
        </w:rPr>
        <w:t>Risque incendie : chaque entreprise dont les travaux font courir un risque d'incendie disposera d'extincteurs à proximité (permis de feu, travaux de soudage/étanchéité). Locaux de stockage, vestiaires et réfectoire équipés d'un extincteur vérifié annuellement.</w:t>
      </w:r>
    </w:p>
    <w:p>
      <w:r>
        <w:rPr>
          <w:b/>
          <w:i w:val="0"/>
          <w:sz w:val="20"/>
        </w:rPr>
        <w:t>LE MAÎTRE D'OUVRAGE, LE MAÎTRE D'ŒUVRE ET LE CSPS ONT LE DROIT D'INTERDIRE L'ENTRÉE DU CHANTIER À TOUTE PERSONNE EN CONTRAVENTION AVEC LA RÉGLEMENTATION EN VIGUEUR.</w:t>
      </w:r>
    </w:p>
    <w:p>
      <w:r>
        <w:br w:type="page"/>
      </w:r>
    </w:p>
    <w:p>
      <w:pPr>
        <w:pStyle w:val="Heading1"/>
      </w:pPr>
      <w:r>
        <w:t>5. COOPÉRATION — PPSPS SIMPLIFIÉS</w:t>
      </w:r>
    </w:p>
    <w:p>
      <w:r>
        <w:rPr>
          <w:b w:val="0"/>
          <w:i w:val="0"/>
          <w:sz w:val="20"/>
        </w:rPr>
        <w:t>Toute entreprise (titulaire, sous-traitant, prestataire dont les travaux concourent à la réalisation de l'opération — Cass. 14/01/2025 n°23-84.130, Q/R DGT mars 2026) doit procéder à une inspection commune avec le CSPS avant intervention et établir un PPSPS simplifié si elle exécute des travaux à risques particuliers. Le PPSPS mentionne impérativement les risques importés et exportés. Carte professionnelle BTP obligatoire. Les observations du CSPS sont à viser sous 48 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819"/>
            <w:shd w:val="clear" w:fill="EBF3FB"/>
          </w:tcPr>
          <w:p>
            <w:r/>
            <w:r>
              <w:rPr>
                <w:b/>
                <w:sz w:val="18"/>
              </w:rPr>
              <w:t>Le Coordonnateur SPS</w:t>
            </w:r>
          </w:p>
        </w:tc>
        <w:tc>
          <w:tcPr>
            <w:tcW w:type="dxa" w:w="4819"/>
            <w:shd w:val="clear" w:fill="EBF3FB"/>
          </w:tcPr>
          <w:p>
            <w:r/>
            <w:r>
              <w:rPr>
                <w:b/>
                <w:sz w:val="18"/>
              </w:rPr>
              <w:t>Visa du Maître d'Ouvrage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{{cspsr_nom}}</w:t>
              <w:br/>
              <w:t>Fait le {{pgc_date}}</w:t>
              <w:br/>
              <w:br/>
              <w:br/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{{moa_nom}}</w:t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