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eastAsia="Calibri" w:cs="Calibri"/>
          <w:b/>
          <w:color w:val="1F3864"/>
          <w:sz w:val="34"/>
        </w:rPr>
        <w:t>NBIX (Neurocrine Biosciences) — Part 12 workup, first pass</w:t>
      </w:r>
    </w:p>
    <w:p>
      <w:pPr>
        <w:spacing w:before="0" w:after="100"/>
      </w:pPr>
      <w:r>
        <w:rPr>
          <w:rFonts w:ascii="Calibri" w:hAnsi="Calibri" w:eastAsia="Calibri" w:cs="Calibri"/>
          <w:b w:val="0"/>
          <w:i/>
          <w:color w:val="595959"/>
          <w:sz w:val="19"/>
        </w:rPr>
        <w:t>Built 10/6/26 for your review. Nothing is written to the workbook or the score store: these are my proposals for the three judgment indicators (Moat, Revenue Visibility, Management Quality), with the evidence behind each, the composite they give, and the entry-rule checks. Primary sources: Neurocrine's 10-K FY2025, 10-Q and earnings release for Q2 2026 and its 5/18/26 8-K (SEC); Teva's results; Fidelity's research pages (10/6); consensus via yfinance. Press reports are marked as such. The scores and the buy decision are yours.</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10368"/>
      </w:tblGrid>
      <w:tr>
        <w:trPr>
          <w:cantSplit/>
        </w:trPr>
        <w:tc>
          <w:tcPr>
            <w:tcW w:w="10368" w:type="dxa"/>
            <w:shd w:val="clear" w:color="auto" w:fill="FFF2CC"/>
          </w:tcPr>
          <w:p>
            <w:pPr>
              <w:spacing w:before="0" w:after="40" w:line="240" w:lineRule="auto"/>
            </w:pPr>
            <w:r>
              <w:rPr>
                <w:rFonts w:ascii="Calibri" w:hAnsi="Calibri" w:eastAsia="Calibri" w:cs="Calibri"/>
                <w:b/>
                <w:sz w:val="21"/>
              </w:rPr>
              <w:t>Where it stands</w:t>
            </w:r>
          </w:p>
          <w:p>
            <w:pPr>
              <w:spacing w:before="0" w:after="40" w:line="240" w:lineRule="auto"/>
            </w:pPr>
            <w:r>
              <w:rPr>
                <w:rFonts w:ascii="Calibri" w:hAnsi="Calibri" w:eastAsia="Calibri" w:cs="Calibri"/>
                <w:b w:val="0"/>
                <w:sz w:val="21"/>
              </w:rPr>
              <w:t>• Quant side (fresh 10/6): FCF yield 4, revenue growth 5, FCF margin 4 (quant-only Tier 1 about 4.33); valuation 5, ROIC vs WACC 3, relative strength 2, technical 4. No Rule 5 flag; highest correlation with a holding 0.34; P/FCF 23x.</w:t>
            </w:r>
          </w:p>
          <w:p>
            <w:pPr>
              <w:spacing w:before="0" w:after="40" w:line="240" w:lineRule="auto"/>
            </w:pPr>
            <w:r>
              <w:rPr>
                <w:rFonts w:ascii="Calibri" w:hAnsi="Calibri" w:eastAsia="Calibri" w:cs="Calibri"/>
                <w:b w:val="0"/>
                <w:sz w:val="21"/>
              </w:rPr>
              <w:t>• Proposed judgment scores: Moat 3, Revenue Visibility 4, Management 3 (all medium confidence) → Composite 77.6, BUY. Moat 4 would give 80.6, STRONG BUY; the rubric's cross-checks support 3, not 4 (section 2).</w:t>
            </w:r>
          </w:p>
          <w:p>
            <w:pPr>
              <w:spacing w:before="0" w:after="40" w:line="240" w:lineRule="auto"/>
            </w:pPr>
            <w:r>
              <w:rPr>
                <w:rFonts w:ascii="Calibri" w:hAnsi="Calibri" w:eastAsia="Calibri" w:cs="Calibri"/>
                <w:b w:val="0"/>
                <w:sz w:val="21"/>
              </w:rPr>
              <w:t>• Rule 12 is a knife-edge: Base needs per-share FCF growth above 10% a year for five years at a flat 23.5x. Consensus is +16% for 2027, but a Medicare price step in 2029 would pull the five-year average to about 9.5% (Base fails); without it, about 11.6%.</w:t>
            </w:r>
          </w:p>
          <w:p>
            <w:pPr>
              <w:spacing w:before="0" w:after="40" w:line="240" w:lineRule="auto"/>
            </w:pPr>
            <w:r>
              <w:rPr>
                <w:rFonts w:ascii="Calibri" w:hAnsi="Calibri" w:eastAsia="Calibri" w:cs="Calibri"/>
                <w:b w:val="0"/>
                <w:sz w:val="21"/>
              </w:rPr>
              <w:t>• Two live event risks (Rule 11): safety reports on Vykat XR, the $2.8B Soleno asset, and a Justice Department inquiry into Ingrezza marketing. Q3 results are due 10/26.</w:t>
            </w:r>
          </w:p>
          <w:p>
            <w:pPr>
              <w:spacing w:before="0" w:after="40" w:line="240" w:lineRule="auto"/>
            </w:pPr>
            <w:r>
              <w:rPr>
                <w:rFonts w:ascii="Calibri" w:hAnsi="Calibri" w:eastAsia="Calibri" w:cs="Calibri"/>
                <w:b w:val="0"/>
                <w:sz w:val="21"/>
              </w:rPr>
              <w:t>• My read: a real candidate, neither a clean pass nor a fail. It needs your judgment on three things (section 7); the 10/22 tranche is too early, 11/7 after the print is the realistic slot.</w:t>
            </w:r>
          </w:p>
        </w:tc>
      </w:tr>
    </w:tbl>
    <w:p>
      <w:pPr>
        <w:keepNext/>
        <w:spacing w:before="200" w:after="60"/>
      </w:pPr>
      <w:r>
        <w:rPr>
          <w:rFonts w:ascii="Calibri" w:hAnsi="Calibri" w:eastAsia="Calibri" w:cs="Calibri"/>
          <w:b/>
          <w:color w:val="1F3864"/>
          <w:sz w:val="24"/>
        </w:rPr>
        <w:t>1. What it is</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2700"/>
        <w:gridCol w:w="1300"/>
        <w:gridCol w:w="3100"/>
        <w:gridCol w:w="3268"/>
      </w:tblGrid>
      <w:tr>
        <w:trPr>
          <w:cantSplit/>
          <w:tblHeader/>
        </w:trPr>
        <w:tc>
          <w:tcPr>
            <w:tcW w:w="2700" w:type="dxa"/>
            <w:shd w:val="clear" w:color="auto" w:fill="E7E6E6"/>
          </w:tcPr>
          <w:p>
            <w:pPr>
              <w:keepNext/>
              <w:spacing w:before="0" w:after="0" w:line="240" w:lineRule="auto"/>
            </w:pPr>
            <w:r>
              <w:rPr>
                <w:rFonts w:ascii="Calibri" w:hAnsi="Calibri" w:eastAsia="Calibri" w:cs="Calibri"/>
                <w:b/>
                <w:color w:val="1F3864"/>
                <w:sz w:val="18"/>
              </w:rPr>
              <w:t>Product</w:t>
            </w:r>
          </w:p>
        </w:tc>
        <w:tc>
          <w:tcPr>
            <w:tcW w:w="1300" w:type="dxa"/>
            <w:shd w:val="clear" w:color="auto" w:fill="E7E6E6"/>
          </w:tcPr>
          <w:p>
            <w:pPr>
              <w:keepNext/>
              <w:spacing w:before="0" w:after="0" w:line="240" w:lineRule="auto"/>
            </w:pPr>
            <w:r>
              <w:rPr>
                <w:rFonts w:ascii="Calibri" w:hAnsi="Calibri" w:eastAsia="Calibri" w:cs="Calibri"/>
                <w:b/>
                <w:color w:val="1F3864"/>
                <w:sz w:val="18"/>
              </w:rPr>
              <w:t>Q2 2026 sales</w:t>
            </w:r>
          </w:p>
        </w:tc>
        <w:tc>
          <w:tcPr>
            <w:tcW w:w="3100" w:type="dxa"/>
            <w:shd w:val="clear" w:color="auto" w:fill="E7E6E6"/>
          </w:tcPr>
          <w:p>
            <w:pPr>
              <w:keepNext/>
              <w:spacing w:before="0" w:after="0" w:line="240" w:lineRule="auto"/>
            </w:pPr>
            <w:r>
              <w:rPr>
                <w:rFonts w:ascii="Calibri" w:hAnsi="Calibri" w:eastAsia="Calibri" w:cs="Calibri"/>
                <w:b/>
                <w:color w:val="1F3864"/>
                <w:sz w:val="18"/>
              </w:rPr>
              <w:t>Growth / share of sales</w:t>
            </w:r>
          </w:p>
        </w:tc>
        <w:tc>
          <w:tcPr>
            <w:tcW w:w="3268" w:type="dxa"/>
            <w:shd w:val="clear" w:color="auto" w:fill="E7E6E6"/>
          </w:tcPr>
          <w:p>
            <w:pPr>
              <w:keepNext/>
              <w:spacing w:before="0" w:after="0" w:line="240" w:lineRule="auto"/>
            </w:pPr>
            <w:r>
              <w:rPr>
                <w:rFonts w:ascii="Calibri" w:hAnsi="Calibri" w:eastAsia="Calibri" w:cs="Calibri"/>
                <w:b/>
                <w:color w:val="1F3864"/>
                <w:sz w:val="18"/>
              </w:rPr>
              <w:t>Protection and competition</w:t>
            </w:r>
          </w:p>
        </w:tc>
      </w:tr>
      <w:tr>
        <w:trPr>
          <w:cantSplit/>
        </w:trPr>
        <w:tc>
          <w:tcPr>
            <w:tcW w:w="2700" w:type="dxa"/>
          </w:tcPr>
          <w:p>
            <w:pPr>
              <w:keepNext/>
              <w:spacing w:before="0" w:after="0" w:line="240" w:lineRule="auto"/>
            </w:pPr>
            <w:r>
              <w:rPr>
                <w:rFonts w:ascii="Calibri" w:hAnsi="Calibri" w:eastAsia="Calibri" w:cs="Calibri"/>
                <w:b/>
                <w:sz w:val="18"/>
              </w:rPr>
              <w:t>INGREZZA (tardive dyskinesia, Huntington chorea)</w:t>
            </w:r>
          </w:p>
        </w:tc>
        <w:tc>
          <w:tcPr>
            <w:tcW w:w="1300" w:type="dxa"/>
          </w:tcPr>
          <w:p>
            <w:pPr>
              <w:keepNext/>
              <w:spacing w:before="0" w:after="0" w:line="240" w:lineRule="auto"/>
            </w:pPr>
            <w:r>
              <w:rPr>
                <w:rFonts w:ascii="Calibri" w:hAnsi="Calibri" w:eastAsia="Calibri" w:cs="Calibri"/>
                <w:b w:val="0"/>
                <w:sz w:val="18"/>
              </w:rPr>
              <w:t>$716M</w:t>
            </w:r>
          </w:p>
        </w:tc>
        <w:tc>
          <w:tcPr>
            <w:tcW w:w="3100" w:type="dxa"/>
          </w:tcPr>
          <w:p>
            <w:pPr>
              <w:keepNext/>
              <w:spacing w:before="0" w:after="0" w:line="240" w:lineRule="auto"/>
            </w:pPr>
            <w:r>
              <w:rPr>
                <w:rFonts w:ascii="Calibri" w:hAnsi="Calibri" w:eastAsia="Calibri" w:cs="Calibri"/>
                <w:b w:val="0"/>
                <w:sz w:val="18"/>
              </w:rPr>
              <w:t>+15% YoY; 77.8% of H1 product sales; 2026 guide $2.825–2.875B</w:t>
            </w:r>
          </w:p>
        </w:tc>
        <w:tc>
          <w:tcPr>
            <w:tcW w:w="3268" w:type="dxa"/>
          </w:tcPr>
          <w:p>
            <w:pPr>
              <w:keepNext/>
              <w:spacing w:before="0" w:after="0" w:line="240" w:lineRule="auto"/>
            </w:pPr>
            <w:r>
              <w:rPr>
                <w:rFonts w:ascii="Calibri" w:hAnsi="Calibri" w:eastAsia="Calibri" w:cs="Calibri"/>
                <w:b w:val="0"/>
                <w:sz w:val="18"/>
              </w:rPr>
              <w:t>22 Orange Book patents expiring 2027–2040; settlements let generics in from 3/1/2038 (10-K). Rival: Teva's Austedo.</w:t>
            </w:r>
          </w:p>
        </w:tc>
      </w:tr>
      <w:tr>
        <w:trPr>
          <w:cantSplit/>
        </w:trPr>
        <w:tc>
          <w:tcPr>
            <w:tcW w:w="2700" w:type="dxa"/>
          </w:tcPr>
          <w:p>
            <w:pPr>
              <w:keepNext/>
              <w:spacing w:before="0" w:after="0" w:line="240" w:lineRule="auto"/>
            </w:pPr>
            <w:r>
              <w:rPr>
                <w:rFonts w:ascii="Calibri" w:hAnsi="Calibri" w:eastAsia="Calibri" w:cs="Calibri"/>
                <w:b/>
                <w:sz w:val="18"/>
              </w:rPr>
              <w:t>CRENESSITY (congenital adrenal hyperplasia)</w:t>
            </w:r>
          </w:p>
        </w:tc>
        <w:tc>
          <w:tcPr>
            <w:tcW w:w="1300" w:type="dxa"/>
          </w:tcPr>
          <w:p>
            <w:pPr>
              <w:keepNext/>
              <w:spacing w:before="0" w:after="0" w:line="240" w:lineRule="auto"/>
            </w:pPr>
            <w:r>
              <w:rPr>
                <w:rFonts w:ascii="Calibri" w:hAnsi="Calibri" w:eastAsia="Calibri" w:cs="Calibri"/>
                <w:b w:val="0"/>
                <w:sz w:val="18"/>
              </w:rPr>
              <w:t>$184M</w:t>
            </w:r>
          </w:p>
        </w:tc>
        <w:tc>
          <w:tcPr>
            <w:tcW w:w="3100" w:type="dxa"/>
          </w:tcPr>
          <w:p>
            <w:pPr>
              <w:keepNext/>
              <w:spacing w:before="0" w:after="0" w:line="240" w:lineRule="auto"/>
            </w:pPr>
            <w:r>
              <w:rPr>
                <w:rFonts w:ascii="Calibri" w:hAnsi="Calibri" w:eastAsia="Calibri" w:cs="Calibri"/>
                <w:b w:val="0"/>
                <w:sz w:val="18"/>
              </w:rPr>
              <w:t>$53M a year ago; about 15% of diagnosed patients treated</w:t>
            </w:r>
          </w:p>
        </w:tc>
        <w:tc>
          <w:tcPr>
            <w:tcW w:w="3268" w:type="dxa"/>
          </w:tcPr>
          <w:p>
            <w:pPr>
              <w:keepNext/>
              <w:spacing w:before="0" w:after="0" w:line="240" w:lineRule="auto"/>
            </w:pPr>
            <w:r>
              <w:rPr>
                <w:rFonts w:ascii="Calibri" w:hAnsi="Calibri" w:eastAsia="Calibri" w:cs="Calibri"/>
                <w:b w:val="0"/>
                <w:sz w:val="18"/>
              </w:rPr>
              <w:t>Seven-year orphan exclusivity; patents 2035–2041 (10-K). Competes with steroids; programs in development.</w:t>
            </w:r>
          </w:p>
        </w:tc>
      </w:tr>
      <w:tr>
        <w:trPr>
          <w:cantSplit/>
        </w:trPr>
        <w:tc>
          <w:tcPr>
            <w:tcW w:w="2700" w:type="dxa"/>
          </w:tcPr>
          <w:p>
            <w:pPr>
              <w:spacing w:before="0" w:after="0" w:line="240" w:lineRule="auto"/>
            </w:pPr>
            <w:r>
              <w:rPr>
                <w:rFonts w:ascii="Calibri" w:hAnsi="Calibri" w:eastAsia="Calibri" w:cs="Calibri"/>
                <w:b/>
                <w:sz w:val="18"/>
              </w:rPr>
              <w:t>VYKAT XR (Prader-Willi hyperphagia)</w:t>
            </w:r>
          </w:p>
        </w:tc>
        <w:tc>
          <w:tcPr>
            <w:tcW w:w="1300" w:type="dxa"/>
          </w:tcPr>
          <w:p>
            <w:pPr>
              <w:spacing w:before="0" w:after="0" w:line="240" w:lineRule="auto"/>
            </w:pPr>
            <w:r>
              <w:rPr>
                <w:rFonts w:ascii="Calibri" w:hAnsi="Calibri" w:eastAsia="Calibri" w:cs="Calibri"/>
                <w:b w:val="0"/>
                <w:sz w:val="18"/>
              </w:rPr>
              <w:t>$54M (from 5/18)</w:t>
            </w:r>
          </w:p>
        </w:tc>
        <w:tc>
          <w:tcPr>
            <w:tcW w:w="3100" w:type="dxa"/>
          </w:tcPr>
          <w:p>
            <w:pPr>
              <w:spacing w:before="0" w:after="0" w:line="240" w:lineRule="auto"/>
            </w:pPr>
            <w:r>
              <w:rPr>
                <w:rFonts w:ascii="Calibri" w:hAnsi="Calibri" w:eastAsia="Calibri" w:cs="Calibri"/>
                <w:b w:val="0"/>
                <w:sz w:val="18"/>
              </w:rPr>
              <w:t>$94M pro forma; 25–30% long-term discontinuation expected</w:t>
            </w:r>
          </w:p>
        </w:tc>
        <w:tc>
          <w:tcPr>
            <w:tcW w:w="3268" w:type="dxa"/>
          </w:tcPr>
          <w:p>
            <w:pPr>
              <w:spacing w:before="0" w:after="0" w:line="240" w:lineRule="auto"/>
            </w:pPr>
            <w:r>
              <w:rPr>
                <w:rFonts w:ascii="Calibri" w:hAnsi="Calibri" w:eastAsia="Calibri" w:cs="Calibri"/>
                <w:b w:val="0"/>
                <w:sz w:val="18"/>
              </w:rPr>
              <w:t>Bought with Soleno for $2.83B in cash (goodwill $495M, product rights $2,238M).</w:t>
            </w:r>
          </w:p>
        </w:tc>
      </w:tr>
    </w:tbl>
    <w:p>
      <w:pPr>
        <w:spacing w:before="60" w:after="40"/>
      </w:pPr>
      <w:r>
        <w:rPr>
          <w:rFonts w:ascii="Calibri" w:hAnsi="Calibri" w:eastAsia="Calibri" w:cs="Calibri"/>
          <w:b w:val="0"/>
          <w:i w:val="0"/>
          <w:sz w:val="19"/>
        </w:rPr>
        <w:t>Financials (SEC): TTM to 6/30/26 revenue $3.37B; FCF after stock comp $636M (18.8% margin). Cash and securities $482M, no borrowings, a $1.0B revolver (4.90%) that was drawn $600M and repaid in June. H1 2026 operating cash flow was $282M against $167M in H1 2025 (the first half is seasonally the weaker one: H2 2025 was $616M).</w:t>
      </w:r>
    </w:p>
    <w:p>
      <w:pPr>
        <w:keepNext/>
        <w:spacing w:before="200" w:after="60"/>
      </w:pPr>
      <w:r>
        <w:rPr>
          <w:rFonts w:ascii="Calibri" w:hAnsi="Calibri" w:eastAsia="Calibri" w:cs="Calibri"/>
          <w:b/>
          <w:color w:val="1F3864"/>
          <w:sz w:val="24"/>
        </w:rPr>
        <w:t>2. Competitive Moat Quality: proposed 3 (medium)</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2900"/>
        <w:gridCol w:w="5668"/>
        <w:gridCol w:w="1800"/>
      </w:tblGrid>
      <w:tr>
        <w:trPr>
          <w:cantSplit/>
          <w:tblHeader/>
        </w:trPr>
        <w:tc>
          <w:tcPr>
            <w:tcW w:w="2900" w:type="dxa"/>
            <w:shd w:val="clear" w:color="auto" w:fill="E7E6E6"/>
          </w:tcPr>
          <w:p>
            <w:pPr>
              <w:keepNext/>
              <w:spacing w:before="0" w:after="0" w:line="240" w:lineRule="auto"/>
            </w:pPr>
            <w:r>
              <w:rPr>
                <w:rFonts w:ascii="Calibri" w:hAnsi="Calibri" w:eastAsia="Calibri" w:cs="Calibri"/>
                <w:b/>
                <w:color w:val="1F3864"/>
                <w:sz w:val="18"/>
              </w:rPr>
              <w:t>Rubric cross-check (a 4 or 5 needs two)</w:t>
            </w:r>
          </w:p>
        </w:tc>
        <w:tc>
          <w:tcPr>
            <w:tcW w:w="5668" w:type="dxa"/>
            <w:shd w:val="clear" w:color="auto" w:fill="E7E6E6"/>
          </w:tcPr>
          <w:p>
            <w:pPr>
              <w:keepNext/>
              <w:spacing w:before="0" w:after="0" w:line="240" w:lineRule="auto"/>
            </w:pPr>
            <w:r>
              <w:rPr>
                <w:rFonts w:ascii="Calibri" w:hAnsi="Calibri" w:eastAsia="Calibri" w:cs="Calibri"/>
                <w:b/>
                <w:color w:val="1F3864"/>
                <w:sz w:val="18"/>
              </w:rPr>
              <w:t>Evidence</w:t>
            </w:r>
          </w:p>
        </w:tc>
        <w:tc>
          <w:tcPr>
            <w:tcW w:w="1800" w:type="dxa"/>
            <w:shd w:val="clear" w:color="auto" w:fill="E7E6E6"/>
          </w:tcPr>
          <w:p>
            <w:pPr>
              <w:keepNext/>
              <w:spacing w:before="0" w:after="0" w:line="240" w:lineRule="auto"/>
            </w:pPr>
            <w:r>
              <w:rPr>
                <w:rFonts w:ascii="Calibri" w:hAnsi="Calibri" w:eastAsia="Calibri" w:cs="Calibri"/>
                <w:b/>
                <w:color w:val="1F3864"/>
                <w:sz w:val="18"/>
              </w:rPr>
              <w:t>Read</w:t>
            </w:r>
          </w:p>
        </w:tc>
      </w:tr>
      <w:tr>
        <w:trPr>
          <w:cantSplit/>
        </w:trPr>
        <w:tc>
          <w:tcPr>
            <w:tcW w:w="2900" w:type="dxa"/>
          </w:tcPr>
          <w:p>
            <w:pPr>
              <w:keepNext/>
              <w:spacing w:before="0" w:after="0" w:line="240" w:lineRule="auto"/>
            </w:pPr>
            <w:r>
              <w:rPr>
                <w:rFonts w:ascii="Calibri" w:hAnsi="Calibri" w:eastAsia="Calibri" w:cs="Calibri"/>
                <w:b/>
                <w:sz w:val="18"/>
              </w:rPr>
              <w:t>(a) Pricing power above CPI without volume loss</w:t>
            </w:r>
          </w:p>
        </w:tc>
        <w:tc>
          <w:tcPr>
            <w:tcW w:w="5668" w:type="dxa"/>
          </w:tcPr>
          <w:p>
            <w:pPr>
              <w:keepNext/>
              <w:spacing w:before="0" w:after="0" w:line="240" w:lineRule="auto"/>
            </w:pPr>
            <w:r>
              <w:rPr>
                <w:rFonts w:ascii="Calibri" w:hAnsi="Calibri" w:eastAsia="Calibri" w:cs="Calibri"/>
                <w:b w:val="0"/>
                <w:sz w:val="18"/>
              </w:rPr>
              <w:t>Sales +15% on double-digit prescription growth, so price contributed little; management says Medicare pricing stays 'relatively consistent' under multi-year contracting covering 70% of Medicare lives. Medicare negotiation could apply to Ingrezza from 2029.</w:t>
            </w:r>
          </w:p>
        </w:tc>
        <w:tc>
          <w:tcPr>
            <w:tcW w:w="1800" w:type="dxa"/>
          </w:tcPr>
          <w:p>
            <w:pPr>
              <w:keepNext/>
              <w:spacing w:before="0" w:after="0" w:line="240" w:lineRule="auto"/>
            </w:pPr>
            <w:r>
              <w:rPr>
                <w:rFonts w:ascii="Calibri" w:hAnsi="Calibri" w:eastAsia="Calibri" w:cs="Calibri"/>
                <w:b w:val="0"/>
                <w:sz w:val="18"/>
              </w:rPr>
              <w:t>not evidenced</w:t>
            </w:r>
          </w:p>
        </w:tc>
      </w:tr>
      <w:tr>
        <w:trPr>
          <w:cantSplit/>
        </w:trPr>
        <w:tc>
          <w:tcPr>
            <w:tcW w:w="2900" w:type="dxa"/>
          </w:tcPr>
          <w:p>
            <w:pPr>
              <w:keepNext/>
              <w:spacing w:before="0" w:after="0" w:line="240" w:lineRule="auto"/>
            </w:pPr>
            <w:r>
              <w:rPr>
                <w:rFonts w:ascii="Calibri" w:hAnsi="Calibri" w:eastAsia="Calibri" w:cs="Calibri"/>
                <w:b/>
                <w:sz w:val="18"/>
              </w:rPr>
              <w:t>(b) Gross margin vs industry</w:t>
            </w:r>
          </w:p>
        </w:tc>
        <w:tc>
          <w:tcPr>
            <w:tcW w:w="5668" w:type="dxa"/>
          </w:tcPr>
          <w:p>
            <w:pPr>
              <w:keepNext/>
              <w:spacing w:before="0" w:after="0" w:line="240" w:lineRule="auto"/>
            </w:pPr>
            <w:r>
              <w:rPr>
                <w:rFonts w:ascii="Calibri" w:hAnsi="Calibri" w:eastAsia="Calibri" w:cs="Calibri"/>
                <w:b w:val="0"/>
                <w:sz w:val="18"/>
              </w:rPr>
              <w:t>Cost of revenues 2.1% of revenue in H1 2026 (about 98% gross margin).</w:t>
            </w:r>
          </w:p>
        </w:tc>
        <w:tc>
          <w:tcPr>
            <w:tcW w:w="1800" w:type="dxa"/>
          </w:tcPr>
          <w:p>
            <w:pPr>
              <w:keepNext/>
              <w:spacing w:before="0" w:after="0" w:line="240" w:lineRule="auto"/>
            </w:pPr>
            <w:r>
              <w:rPr>
                <w:rFonts w:ascii="Calibri" w:hAnsi="Calibri" w:eastAsia="Calibri" w:cs="Calibri"/>
                <w:b w:val="0"/>
                <w:sz w:val="18"/>
              </w:rPr>
              <w:t>supports the confidence tag only</w:t>
            </w:r>
          </w:p>
        </w:tc>
      </w:tr>
      <w:tr>
        <w:trPr>
          <w:cantSplit/>
        </w:trPr>
        <w:tc>
          <w:tcPr>
            <w:tcW w:w="2900" w:type="dxa"/>
          </w:tcPr>
          <w:p>
            <w:pPr>
              <w:keepNext/>
              <w:spacing w:before="0" w:after="0" w:line="240" w:lineRule="auto"/>
            </w:pPr>
            <w:r>
              <w:rPr>
                <w:rFonts w:ascii="Calibri" w:hAnsi="Calibri" w:eastAsia="Calibri" w:cs="Calibri"/>
                <w:b/>
                <w:sz w:val="18"/>
              </w:rPr>
              <w:t>(c) Retention / switching costs</w:t>
            </w:r>
          </w:p>
        </w:tc>
        <w:tc>
          <w:tcPr>
            <w:tcW w:w="5668" w:type="dxa"/>
          </w:tcPr>
          <w:p>
            <w:pPr>
              <w:keepNext/>
              <w:spacing w:before="0" w:after="0" w:line="240" w:lineRule="auto"/>
            </w:pPr>
            <w:r>
              <w:rPr>
                <w:rFonts w:ascii="Calibri" w:hAnsi="Calibri" w:eastAsia="Calibri" w:cs="Calibri"/>
                <w:b w:val="0"/>
                <w:sz w:val="18"/>
              </w:rPr>
              <w:t>Chronic daily therapy; 'most preferred and most prescribed VMAT2'; CRENESSITY 'high persistence'. No persistence rates disclosed.</w:t>
            </w:r>
          </w:p>
        </w:tc>
        <w:tc>
          <w:tcPr>
            <w:tcW w:w="1800" w:type="dxa"/>
          </w:tcPr>
          <w:p>
            <w:pPr>
              <w:keepNext/>
              <w:spacing w:before="0" w:after="0" w:line="240" w:lineRule="auto"/>
            </w:pPr>
            <w:r>
              <w:rPr>
                <w:rFonts w:ascii="Calibri" w:hAnsi="Calibri" w:eastAsia="Calibri" w:cs="Calibri"/>
                <w:b w:val="0"/>
                <w:sz w:val="18"/>
              </w:rPr>
              <w:t>partial</w:t>
            </w:r>
          </w:p>
        </w:tc>
      </w:tr>
      <w:tr>
        <w:trPr>
          <w:cantSplit/>
        </w:trPr>
        <w:tc>
          <w:tcPr>
            <w:tcW w:w="2900" w:type="dxa"/>
          </w:tcPr>
          <w:p>
            <w:pPr>
              <w:spacing w:before="0" w:after="0" w:line="240" w:lineRule="auto"/>
            </w:pPr>
            <w:r>
              <w:rPr>
                <w:rFonts w:ascii="Calibri" w:hAnsi="Calibri" w:eastAsia="Calibri" w:cs="Calibri"/>
                <w:b/>
                <w:sz w:val="18"/>
              </w:rPr>
              <w:t>(d) Share trend over 3+ years</w:t>
            </w:r>
          </w:p>
        </w:tc>
        <w:tc>
          <w:tcPr>
            <w:tcW w:w="5668" w:type="dxa"/>
          </w:tcPr>
          <w:p>
            <w:pPr>
              <w:spacing w:before="0" w:after="0" w:line="240" w:lineRule="auto"/>
            </w:pPr>
            <w:r>
              <w:rPr>
                <w:rFonts w:ascii="Calibri" w:hAnsi="Calibri" w:eastAsia="Calibri" w:cs="Calibri"/>
                <w:b w:val="0"/>
                <w:sz w:val="18"/>
              </w:rPr>
              <w:t>Ingrezza's share of the two VMAT2 brands: ~58% (2024: $2.31B vs Austedo ~$1.69B), ~53% (2025: $2.51B vs $2.26B), ~51% (Q2 2026: $716M vs $696M). Austedo grew +34% in 2025 and +40% in Q2; Ingrezza +9% and +15%.</w:t>
            </w:r>
          </w:p>
        </w:tc>
        <w:tc>
          <w:tcPr>
            <w:tcW w:w="1800" w:type="dxa"/>
          </w:tcPr>
          <w:p>
            <w:pPr>
              <w:spacing w:before="0" w:after="0" w:line="240" w:lineRule="auto"/>
            </w:pPr>
            <w:r>
              <w:rPr>
                <w:rFonts w:ascii="Calibri" w:hAnsi="Calibri" w:eastAsia="Calibri" w:cs="Calibri"/>
                <w:b w:val="0"/>
                <w:sz w:val="18"/>
              </w:rPr>
              <w:t>negative</w:t>
            </w:r>
          </w:p>
        </w:tc>
      </w:tr>
    </w:tbl>
    <w:p>
      <w:pPr>
        <w:spacing w:before="60" w:after="40"/>
      </w:pPr>
      <w:r>
        <w:rPr>
          <w:rFonts w:ascii="Calibri" w:hAnsi="Calibri" w:eastAsia="Calibri" w:cs="Calibri"/>
          <w:b w:val="0"/>
          <w:i w:val="0"/>
          <w:sz w:val="19"/>
        </w:rPr>
        <w:t>Why 3 and not 4: strictly no cross-check is clean. The real protection is regulatory and legal (patents and settlements to 2038, orphan exclusivity), which the rubric does not list among its four tests, and it is time-limited. Against it: a direct competitor gaining share every year, and Austedo's Medicare price is set under the 2027 negotiation (38% below its 2024 list price, CMS), so its Medicare price falls first. A 4 is defensible only if you weigh the patent runway above the share trend; I would not.</w:t>
      </w:r>
    </w:p>
    <w:p>
      <w:pPr>
        <w:keepNext/>
        <w:spacing w:before="200" w:after="60"/>
      </w:pPr>
      <w:r>
        <w:rPr>
          <w:rFonts w:ascii="Calibri" w:hAnsi="Calibri" w:eastAsia="Calibri" w:cs="Calibri"/>
          <w:b/>
          <w:color w:val="1F3864"/>
          <w:sz w:val="24"/>
        </w:rPr>
        <w:t>3. Revenue Visibility: proposed 4 (medium)</w:t>
      </w:r>
    </w:p>
    <w:p>
      <w:pPr>
        <w:spacing w:before="0" w:after="40"/>
      </w:pPr>
      <w:r>
        <w:rPr>
          <w:rFonts w:ascii="Calibri" w:hAnsi="Calibri" w:eastAsia="Calibri" w:cs="Calibri"/>
          <w:b w:val="0"/>
          <w:i w:val="0"/>
          <w:sz w:val="19"/>
        </w:rPr>
        <w:t>All three products are chronic therapies, so next-year revenue is mostly the existing patient base repeating, and Medicare contracting covers 70% of lives on stable pricing. But nothing is contractually committed the way a subscription is (compare VEEV 5/M), no persistence or backlog metric is disclosed, and a new product (Vykat XR) is losing 25–30% of patients to discontinuation. That is the same case as ABT's 4/M (a durable repeat-purchase pattern, not literally contracted).</w:t>
      </w:r>
    </w:p>
    <w:p>
      <w:pPr>
        <w:keepNext/>
        <w:spacing w:before="200" w:after="60"/>
      </w:pPr>
      <w:r>
        <w:rPr>
          <w:rFonts w:ascii="Calibri" w:hAnsi="Calibri" w:eastAsia="Calibri" w:cs="Calibri"/>
          <w:b/>
          <w:color w:val="1F3864"/>
          <w:sz w:val="24"/>
        </w:rPr>
        <w:t>4. Management Quality &amp; Capital Allocation: proposed 3 (medium)</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2700"/>
        <w:gridCol w:w="900"/>
        <w:gridCol w:w="900"/>
        <w:gridCol w:w="900"/>
        <w:gridCol w:w="900"/>
        <w:gridCol w:w="900"/>
        <w:gridCol w:w="3168"/>
      </w:tblGrid>
      <w:tr>
        <w:trPr>
          <w:cantSplit/>
          <w:tblHeader/>
        </w:trPr>
        <w:tc>
          <w:tcPr>
            <w:tcW w:w="2700" w:type="dxa"/>
            <w:shd w:val="clear" w:color="auto" w:fill="E7E6E6"/>
          </w:tcPr>
          <w:p>
            <w:pPr>
              <w:keepNext/>
              <w:spacing w:before="0" w:after="0" w:line="240" w:lineRule="auto"/>
            </w:pPr>
            <w:r>
              <w:rPr>
                <w:rFonts w:ascii="Calibri" w:hAnsi="Calibri" w:eastAsia="Calibri" w:cs="Calibri"/>
                <w:b/>
                <w:color w:val="1F3864"/>
                <w:sz w:val="18"/>
              </w:rPr>
              <w:t>$M</w:t>
            </w:r>
          </w:p>
        </w:tc>
        <w:tc>
          <w:tcPr>
            <w:tcW w:w="900" w:type="dxa"/>
            <w:shd w:val="clear" w:color="auto" w:fill="E7E6E6"/>
          </w:tcPr>
          <w:p>
            <w:pPr>
              <w:keepNext/>
              <w:spacing w:before="0" w:after="0" w:line="240" w:lineRule="auto"/>
            </w:pPr>
            <w:r>
              <w:rPr>
                <w:rFonts w:ascii="Calibri" w:hAnsi="Calibri" w:eastAsia="Calibri" w:cs="Calibri"/>
                <w:b/>
                <w:color w:val="1F3864"/>
                <w:sz w:val="18"/>
              </w:rPr>
              <w:t>2021</w:t>
            </w:r>
          </w:p>
        </w:tc>
        <w:tc>
          <w:tcPr>
            <w:tcW w:w="900" w:type="dxa"/>
            <w:shd w:val="clear" w:color="auto" w:fill="E7E6E6"/>
          </w:tcPr>
          <w:p>
            <w:pPr>
              <w:keepNext/>
              <w:spacing w:before="0" w:after="0" w:line="240" w:lineRule="auto"/>
            </w:pPr>
            <w:r>
              <w:rPr>
                <w:rFonts w:ascii="Calibri" w:hAnsi="Calibri" w:eastAsia="Calibri" w:cs="Calibri"/>
                <w:b/>
                <w:color w:val="1F3864"/>
                <w:sz w:val="18"/>
              </w:rPr>
              <w:t>2022</w:t>
            </w:r>
          </w:p>
        </w:tc>
        <w:tc>
          <w:tcPr>
            <w:tcW w:w="900" w:type="dxa"/>
            <w:shd w:val="clear" w:color="auto" w:fill="E7E6E6"/>
          </w:tcPr>
          <w:p>
            <w:pPr>
              <w:keepNext/>
              <w:spacing w:before="0" w:after="0" w:line="240" w:lineRule="auto"/>
            </w:pPr>
            <w:r>
              <w:rPr>
                <w:rFonts w:ascii="Calibri" w:hAnsi="Calibri" w:eastAsia="Calibri" w:cs="Calibri"/>
                <w:b/>
                <w:color w:val="1F3864"/>
                <w:sz w:val="18"/>
              </w:rPr>
              <w:t>2023</w:t>
            </w:r>
          </w:p>
        </w:tc>
        <w:tc>
          <w:tcPr>
            <w:tcW w:w="900" w:type="dxa"/>
            <w:shd w:val="clear" w:color="auto" w:fill="E7E6E6"/>
          </w:tcPr>
          <w:p>
            <w:pPr>
              <w:keepNext/>
              <w:spacing w:before="0" w:after="0" w:line="240" w:lineRule="auto"/>
            </w:pPr>
            <w:r>
              <w:rPr>
                <w:rFonts w:ascii="Calibri" w:hAnsi="Calibri" w:eastAsia="Calibri" w:cs="Calibri"/>
                <w:b/>
                <w:color w:val="1F3864"/>
                <w:sz w:val="18"/>
              </w:rPr>
              <w:t>2024</w:t>
            </w:r>
          </w:p>
        </w:tc>
        <w:tc>
          <w:tcPr>
            <w:tcW w:w="900" w:type="dxa"/>
            <w:shd w:val="clear" w:color="auto" w:fill="E7E6E6"/>
          </w:tcPr>
          <w:p>
            <w:pPr>
              <w:keepNext/>
              <w:spacing w:before="0" w:after="0" w:line="240" w:lineRule="auto"/>
            </w:pPr>
            <w:r>
              <w:rPr>
                <w:rFonts w:ascii="Calibri" w:hAnsi="Calibri" w:eastAsia="Calibri" w:cs="Calibri"/>
                <w:b/>
                <w:color w:val="1F3864"/>
                <w:sz w:val="18"/>
              </w:rPr>
              <w:t>2025</w:t>
            </w:r>
          </w:p>
        </w:tc>
        <w:tc>
          <w:tcPr>
            <w:tcW w:w="3168" w:type="dxa"/>
            <w:shd w:val="clear" w:color="auto" w:fill="E7E6E6"/>
          </w:tcPr>
          <w:p>
            <w:pPr>
              <w:keepNext/>
              <w:spacing w:before="0" w:after="0" w:line="240" w:lineRule="auto"/>
            </w:pPr>
            <w:r>
              <w:rPr>
                <w:rFonts w:ascii="Calibri" w:hAnsi="Calibri" w:eastAsia="Calibri" w:cs="Calibri"/>
                <w:b/>
                <w:color w:val="1F3864"/>
                <w:sz w:val="18"/>
              </w:rPr>
              <w:t>H1 2026</w:t>
            </w:r>
          </w:p>
        </w:tc>
      </w:tr>
      <w:tr>
        <w:trPr>
          <w:cantSplit/>
        </w:trPr>
        <w:tc>
          <w:tcPr>
            <w:tcW w:w="2700" w:type="dxa"/>
          </w:tcPr>
          <w:p>
            <w:pPr>
              <w:keepNext/>
              <w:spacing w:before="0" w:after="0" w:line="240" w:lineRule="auto"/>
            </w:pPr>
            <w:r>
              <w:rPr>
                <w:rFonts w:ascii="Calibri" w:hAnsi="Calibri" w:eastAsia="Calibri" w:cs="Calibri"/>
                <w:b/>
                <w:sz w:val="18"/>
              </w:rPr>
              <w:t>Cash from operations</w:t>
            </w:r>
          </w:p>
        </w:tc>
        <w:tc>
          <w:tcPr>
            <w:tcW w:w="900" w:type="dxa"/>
          </w:tcPr>
          <w:p>
            <w:pPr>
              <w:keepNext/>
              <w:spacing w:before="0" w:after="0" w:line="240" w:lineRule="auto"/>
            </w:pPr>
            <w:r>
              <w:rPr>
                <w:rFonts w:ascii="Calibri" w:hAnsi="Calibri" w:eastAsia="Calibri" w:cs="Calibri"/>
                <w:b w:val="0"/>
                <w:sz w:val="18"/>
              </w:rPr>
              <w:t>256</w:t>
            </w:r>
          </w:p>
        </w:tc>
        <w:tc>
          <w:tcPr>
            <w:tcW w:w="900" w:type="dxa"/>
          </w:tcPr>
          <w:p>
            <w:pPr>
              <w:keepNext/>
              <w:spacing w:before="0" w:after="0" w:line="240" w:lineRule="auto"/>
            </w:pPr>
            <w:r>
              <w:rPr>
                <w:rFonts w:ascii="Calibri" w:hAnsi="Calibri" w:eastAsia="Calibri" w:cs="Calibri"/>
                <w:b w:val="0"/>
                <w:sz w:val="18"/>
              </w:rPr>
              <w:t>339</w:t>
            </w:r>
          </w:p>
        </w:tc>
        <w:tc>
          <w:tcPr>
            <w:tcW w:w="900" w:type="dxa"/>
          </w:tcPr>
          <w:p>
            <w:pPr>
              <w:keepNext/>
              <w:spacing w:before="0" w:after="0" w:line="240" w:lineRule="auto"/>
            </w:pPr>
            <w:r>
              <w:rPr>
                <w:rFonts w:ascii="Calibri" w:hAnsi="Calibri" w:eastAsia="Calibri" w:cs="Calibri"/>
                <w:b w:val="0"/>
                <w:sz w:val="18"/>
              </w:rPr>
              <w:t>390</w:t>
            </w:r>
          </w:p>
        </w:tc>
        <w:tc>
          <w:tcPr>
            <w:tcW w:w="900" w:type="dxa"/>
          </w:tcPr>
          <w:p>
            <w:pPr>
              <w:keepNext/>
              <w:spacing w:before="0" w:after="0" w:line="240" w:lineRule="auto"/>
            </w:pPr>
            <w:r>
              <w:rPr>
                <w:rFonts w:ascii="Calibri" w:hAnsi="Calibri" w:eastAsia="Calibri" w:cs="Calibri"/>
                <w:b w:val="0"/>
                <w:sz w:val="18"/>
              </w:rPr>
              <w:t>595</w:t>
            </w:r>
          </w:p>
        </w:tc>
        <w:tc>
          <w:tcPr>
            <w:tcW w:w="900" w:type="dxa"/>
          </w:tcPr>
          <w:p>
            <w:pPr>
              <w:keepNext/>
              <w:spacing w:before="0" w:after="0" w:line="240" w:lineRule="auto"/>
            </w:pPr>
            <w:r>
              <w:rPr>
                <w:rFonts w:ascii="Calibri" w:hAnsi="Calibri" w:eastAsia="Calibri" w:cs="Calibri"/>
                <w:b w:val="0"/>
                <w:sz w:val="18"/>
              </w:rPr>
              <w:t>783</w:t>
            </w:r>
          </w:p>
        </w:tc>
        <w:tc>
          <w:tcPr>
            <w:tcW w:w="3168" w:type="dxa"/>
          </w:tcPr>
          <w:p>
            <w:pPr>
              <w:keepNext/>
              <w:spacing w:before="0" w:after="0" w:line="240" w:lineRule="auto"/>
            </w:pPr>
            <w:r>
              <w:rPr>
                <w:rFonts w:ascii="Calibri" w:hAnsi="Calibri" w:eastAsia="Calibri" w:cs="Calibri"/>
                <w:b w:val="0"/>
                <w:sz w:val="18"/>
              </w:rPr>
              <w:t>282</w:t>
            </w:r>
          </w:p>
        </w:tc>
      </w:tr>
      <w:tr>
        <w:trPr>
          <w:cantSplit/>
        </w:trPr>
        <w:tc>
          <w:tcPr>
            <w:tcW w:w="2700" w:type="dxa"/>
          </w:tcPr>
          <w:p>
            <w:pPr>
              <w:keepNext/>
              <w:spacing w:before="0" w:after="0" w:line="240" w:lineRule="auto"/>
            </w:pPr>
            <w:r>
              <w:rPr>
                <w:rFonts w:ascii="Calibri" w:hAnsi="Calibri" w:eastAsia="Calibri" w:cs="Calibri"/>
                <w:b/>
                <w:sz w:val="18"/>
              </w:rPr>
              <w:t>Stock-based compensation</w:t>
            </w:r>
          </w:p>
        </w:tc>
        <w:tc>
          <w:tcPr>
            <w:tcW w:w="900" w:type="dxa"/>
          </w:tcPr>
          <w:p>
            <w:pPr>
              <w:keepNext/>
              <w:spacing w:before="0" w:after="0" w:line="240" w:lineRule="auto"/>
            </w:pPr>
            <w:r>
              <w:rPr>
                <w:rFonts w:ascii="Calibri" w:hAnsi="Calibri" w:eastAsia="Calibri" w:cs="Calibri"/>
                <w:b w:val="0"/>
                <w:sz w:val="18"/>
              </w:rPr>
              <w:t>134</w:t>
            </w:r>
          </w:p>
        </w:tc>
        <w:tc>
          <w:tcPr>
            <w:tcW w:w="900" w:type="dxa"/>
          </w:tcPr>
          <w:p>
            <w:pPr>
              <w:keepNext/>
              <w:spacing w:before="0" w:after="0" w:line="240" w:lineRule="auto"/>
            </w:pPr>
            <w:r>
              <w:rPr>
                <w:rFonts w:ascii="Calibri" w:hAnsi="Calibri" w:eastAsia="Calibri" w:cs="Calibri"/>
                <w:b w:val="0"/>
                <w:sz w:val="18"/>
              </w:rPr>
              <w:t>173</w:t>
            </w:r>
          </w:p>
        </w:tc>
        <w:tc>
          <w:tcPr>
            <w:tcW w:w="900" w:type="dxa"/>
          </w:tcPr>
          <w:p>
            <w:pPr>
              <w:keepNext/>
              <w:spacing w:before="0" w:after="0" w:line="240" w:lineRule="auto"/>
            </w:pPr>
            <w:r>
              <w:rPr>
                <w:rFonts w:ascii="Calibri" w:hAnsi="Calibri" w:eastAsia="Calibri" w:cs="Calibri"/>
                <w:b w:val="0"/>
                <w:sz w:val="18"/>
              </w:rPr>
              <w:t>194</w:t>
            </w:r>
          </w:p>
        </w:tc>
        <w:tc>
          <w:tcPr>
            <w:tcW w:w="900" w:type="dxa"/>
          </w:tcPr>
          <w:p>
            <w:pPr>
              <w:keepNext/>
              <w:spacing w:before="0" w:after="0" w:line="240" w:lineRule="auto"/>
            </w:pPr>
            <w:r>
              <w:rPr>
                <w:rFonts w:ascii="Calibri" w:hAnsi="Calibri" w:eastAsia="Calibri" w:cs="Calibri"/>
                <w:b w:val="0"/>
                <w:sz w:val="18"/>
              </w:rPr>
              <w:t>196</w:t>
            </w:r>
          </w:p>
        </w:tc>
        <w:tc>
          <w:tcPr>
            <w:tcW w:w="900" w:type="dxa"/>
          </w:tcPr>
          <w:p>
            <w:pPr>
              <w:keepNext/>
              <w:spacing w:before="0" w:after="0" w:line="240" w:lineRule="auto"/>
            </w:pPr>
            <w:r>
              <w:rPr>
                <w:rFonts w:ascii="Calibri" w:hAnsi="Calibri" w:eastAsia="Calibri" w:cs="Calibri"/>
                <w:b w:val="0"/>
                <w:sz w:val="18"/>
              </w:rPr>
              <w:t>218</w:t>
            </w:r>
          </w:p>
        </w:tc>
        <w:tc>
          <w:tcPr>
            <w:tcW w:w="3168" w:type="dxa"/>
          </w:tcPr>
          <w:p>
            <w:pPr>
              <w:keepNext/>
              <w:spacing w:before="0" w:after="0" w:line="240" w:lineRule="auto"/>
            </w:pPr>
            <w:r>
              <w:rPr>
                <w:rFonts w:ascii="Calibri" w:hAnsi="Calibri" w:eastAsia="Calibri" w:cs="Calibri"/>
                <w:b w:val="0"/>
                <w:sz w:val="18"/>
              </w:rPr>
              <w:t>122</w:t>
            </w:r>
          </w:p>
        </w:tc>
      </w:tr>
      <w:tr>
        <w:trPr>
          <w:cantSplit/>
        </w:trPr>
        <w:tc>
          <w:tcPr>
            <w:tcW w:w="2700" w:type="dxa"/>
          </w:tcPr>
          <w:p>
            <w:pPr>
              <w:keepNext/>
              <w:spacing w:before="0" w:after="0" w:line="240" w:lineRule="auto"/>
            </w:pPr>
            <w:r>
              <w:rPr>
                <w:rFonts w:ascii="Calibri" w:hAnsi="Calibri" w:eastAsia="Calibri" w:cs="Calibri"/>
                <w:b/>
                <w:sz w:val="18"/>
              </w:rPr>
              <w:t>Share repurchases</w:t>
            </w:r>
          </w:p>
        </w:tc>
        <w:tc>
          <w:tcPr>
            <w:tcW w:w="900" w:type="dxa"/>
          </w:tcPr>
          <w:p>
            <w:pPr>
              <w:keepNext/>
              <w:spacing w:before="0" w:after="0" w:line="240" w:lineRule="auto"/>
            </w:pPr>
            <w:r>
              <w:rPr>
                <w:rFonts w:ascii="Calibri" w:hAnsi="Calibri" w:eastAsia="Calibri" w:cs="Calibri"/>
                <w:b w:val="0"/>
                <w:sz w:val="18"/>
              </w:rPr>
              <w:t>0</w:t>
            </w:r>
          </w:p>
        </w:tc>
        <w:tc>
          <w:tcPr>
            <w:tcW w:w="900" w:type="dxa"/>
          </w:tcPr>
          <w:p>
            <w:pPr>
              <w:keepNext/>
              <w:spacing w:before="0" w:after="0" w:line="240" w:lineRule="auto"/>
            </w:pPr>
            <w:r>
              <w:rPr>
                <w:rFonts w:ascii="Calibri" w:hAnsi="Calibri" w:eastAsia="Calibri" w:cs="Calibri"/>
                <w:b w:val="0"/>
                <w:sz w:val="18"/>
              </w:rPr>
              <w:t>0</w:t>
            </w:r>
          </w:p>
        </w:tc>
        <w:tc>
          <w:tcPr>
            <w:tcW w:w="900" w:type="dxa"/>
          </w:tcPr>
          <w:p>
            <w:pPr>
              <w:keepNext/>
              <w:spacing w:before="0" w:after="0" w:line="240" w:lineRule="auto"/>
            </w:pPr>
            <w:r>
              <w:rPr>
                <w:rFonts w:ascii="Calibri" w:hAnsi="Calibri" w:eastAsia="Calibri" w:cs="Calibri"/>
                <w:b w:val="0"/>
                <w:sz w:val="18"/>
              </w:rPr>
              <w:t>0</w:t>
            </w:r>
          </w:p>
        </w:tc>
        <w:tc>
          <w:tcPr>
            <w:tcW w:w="900" w:type="dxa"/>
          </w:tcPr>
          <w:p>
            <w:pPr>
              <w:keepNext/>
              <w:spacing w:before="0" w:after="0" w:line="240" w:lineRule="auto"/>
            </w:pPr>
            <w:r>
              <w:rPr>
                <w:rFonts w:ascii="Calibri" w:hAnsi="Calibri" w:eastAsia="Calibri" w:cs="Calibri"/>
                <w:b w:val="0"/>
                <w:sz w:val="18"/>
              </w:rPr>
              <w:t>300</w:t>
            </w:r>
          </w:p>
        </w:tc>
        <w:tc>
          <w:tcPr>
            <w:tcW w:w="900" w:type="dxa"/>
          </w:tcPr>
          <w:p>
            <w:pPr>
              <w:keepNext/>
              <w:spacing w:before="0" w:after="0" w:line="240" w:lineRule="auto"/>
            </w:pPr>
            <w:r>
              <w:rPr>
                <w:rFonts w:ascii="Calibri" w:hAnsi="Calibri" w:eastAsia="Calibri" w:cs="Calibri"/>
                <w:b w:val="0"/>
                <w:sz w:val="18"/>
              </w:rPr>
              <w:t>168</w:t>
            </w:r>
          </w:p>
        </w:tc>
        <w:tc>
          <w:tcPr>
            <w:tcW w:w="3168" w:type="dxa"/>
          </w:tcPr>
          <w:p>
            <w:pPr>
              <w:keepNext/>
              <w:spacing w:before="0" w:after="0" w:line="240" w:lineRule="auto"/>
            </w:pPr>
            <w:r>
              <w:rPr>
                <w:rFonts w:ascii="Calibri" w:hAnsi="Calibri" w:eastAsia="Calibri" w:cs="Calibri"/>
                <w:b w:val="0"/>
                <w:sz w:val="18"/>
              </w:rPr>
              <w:t>66</w:t>
            </w:r>
          </w:p>
        </w:tc>
      </w:tr>
      <w:tr>
        <w:trPr>
          <w:cantSplit/>
        </w:trPr>
        <w:tc>
          <w:tcPr>
            <w:tcW w:w="2700" w:type="dxa"/>
          </w:tcPr>
          <w:p>
            <w:pPr>
              <w:keepNext/>
              <w:spacing w:before="0" w:after="0" w:line="240" w:lineRule="auto"/>
            </w:pPr>
            <w:r>
              <w:rPr>
                <w:rFonts w:ascii="Calibri" w:hAnsi="Calibri" w:eastAsia="Calibri" w:cs="Calibri"/>
                <w:b/>
                <w:sz w:val="18"/>
              </w:rPr>
              <w:t>Diluted shares (M)</w:t>
            </w:r>
          </w:p>
        </w:tc>
        <w:tc>
          <w:tcPr>
            <w:tcW w:w="900" w:type="dxa"/>
          </w:tcPr>
          <w:p>
            <w:pPr>
              <w:keepNext/>
              <w:spacing w:before="0" w:after="0" w:line="240" w:lineRule="auto"/>
            </w:pPr>
            <w:r>
              <w:rPr>
                <w:rFonts w:ascii="Calibri" w:hAnsi="Calibri" w:eastAsia="Calibri" w:cs="Calibri"/>
                <w:b w:val="0"/>
                <w:sz w:val="18"/>
              </w:rPr>
              <w:t>97.9</w:t>
            </w:r>
          </w:p>
        </w:tc>
        <w:tc>
          <w:tcPr>
            <w:tcW w:w="900" w:type="dxa"/>
          </w:tcPr>
          <w:p>
            <w:pPr>
              <w:keepNext/>
              <w:spacing w:before="0" w:after="0" w:line="240" w:lineRule="auto"/>
            </w:pPr>
            <w:r>
              <w:rPr>
                <w:rFonts w:ascii="Calibri" w:hAnsi="Calibri" w:eastAsia="Calibri" w:cs="Calibri"/>
                <w:b w:val="0"/>
                <w:sz w:val="18"/>
              </w:rPr>
              <w:t>98.9</w:t>
            </w:r>
          </w:p>
        </w:tc>
        <w:tc>
          <w:tcPr>
            <w:tcW w:w="900" w:type="dxa"/>
          </w:tcPr>
          <w:p>
            <w:pPr>
              <w:keepNext/>
              <w:spacing w:before="0" w:after="0" w:line="240" w:lineRule="auto"/>
            </w:pPr>
            <w:r>
              <w:rPr>
                <w:rFonts w:ascii="Calibri" w:hAnsi="Calibri" w:eastAsia="Calibri" w:cs="Calibri"/>
                <w:b w:val="0"/>
                <w:sz w:val="18"/>
              </w:rPr>
              <w:t>101.0</w:t>
            </w:r>
          </w:p>
        </w:tc>
        <w:tc>
          <w:tcPr>
            <w:tcW w:w="900" w:type="dxa"/>
          </w:tcPr>
          <w:p>
            <w:pPr>
              <w:keepNext/>
              <w:spacing w:before="0" w:after="0" w:line="240" w:lineRule="auto"/>
            </w:pPr>
            <w:r>
              <w:rPr>
                <w:rFonts w:ascii="Calibri" w:hAnsi="Calibri" w:eastAsia="Calibri" w:cs="Calibri"/>
                <w:b w:val="0"/>
                <w:sz w:val="18"/>
              </w:rPr>
              <w:t>103.7</w:t>
            </w:r>
          </w:p>
        </w:tc>
        <w:tc>
          <w:tcPr>
            <w:tcW w:w="900" w:type="dxa"/>
          </w:tcPr>
          <w:p>
            <w:pPr>
              <w:keepNext/>
              <w:spacing w:before="0" w:after="0" w:line="240" w:lineRule="auto"/>
            </w:pPr>
            <w:r>
              <w:rPr>
                <w:rFonts w:ascii="Calibri" w:hAnsi="Calibri" w:eastAsia="Calibri" w:cs="Calibri"/>
                <w:b w:val="0"/>
                <w:sz w:val="18"/>
              </w:rPr>
              <w:t>102.5</w:t>
            </w:r>
          </w:p>
        </w:tc>
        <w:tc>
          <w:tcPr>
            <w:tcW w:w="3168" w:type="dxa"/>
          </w:tcPr>
          <w:p>
            <w:pPr>
              <w:keepNext/>
              <w:spacing w:before="0" w:after="0" w:line="240" w:lineRule="auto"/>
            </w:pPr>
            <w:r>
              <w:rPr>
                <w:rFonts w:ascii="Calibri" w:hAnsi="Calibri" w:eastAsia="Calibri" w:cs="Calibri"/>
                <w:b w:val="0"/>
                <w:sz w:val="18"/>
              </w:rPr>
              <w:t>103.9 (Q2)</w:t>
            </w:r>
          </w:p>
        </w:tc>
      </w:tr>
      <w:tr>
        <w:trPr>
          <w:cantSplit/>
        </w:trPr>
        <w:tc>
          <w:tcPr>
            <w:tcW w:w="2700" w:type="dxa"/>
          </w:tcPr>
          <w:p>
            <w:pPr>
              <w:spacing w:before="0" w:after="0" w:line="240" w:lineRule="auto"/>
            </w:pPr>
            <w:r>
              <w:rPr>
                <w:rFonts w:ascii="Calibri" w:hAnsi="Calibri" w:eastAsia="Calibri" w:cs="Calibri"/>
                <w:b/>
                <w:sz w:val="18"/>
              </w:rPr>
              <w:t>Acquisitions</w:t>
            </w:r>
          </w:p>
        </w:tc>
        <w:tc>
          <w:tcPr>
            <w:tcW w:w="900" w:type="dxa"/>
          </w:tcPr>
          <w:p>
            <w:pPr>
              <w:spacing w:before="0" w:after="0" w:line="240" w:lineRule="auto"/>
            </w:pPr>
            <w:r>
              <w:rPr>
                <w:rFonts w:ascii="Calibri" w:hAnsi="Calibri" w:eastAsia="Calibri" w:cs="Calibri"/>
                <w:b w:val="0"/>
                <w:sz w:val="18"/>
              </w:rPr>
              <w:t>0</w:t>
            </w:r>
          </w:p>
        </w:tc>
        <w:tc>
          <w:tcPr>
            <w:tcW w:w="900" w:type="dxa"/>
          </w:tcPr>
          <w:p>
            <w:pPr>
              <w:spacing w:before="0" w:after="0" w:line="240" w:lineRule="auto"/>
            </w:pPr>
            <w:r>
              <w:rPr>
                <w:rFonts w:ascii="Calibri" w:hAnsi="Calibri" w:eastAsia="Calibri" w:cs="Calibri"/>
                <w:b w:val="0"/>
                <w:sz w:val="18"/>
              </w:rPr>
              <w:t>43</w:t>
            </w:r>
          </w:p>
        </w:tc>
        <w:tc>
          <w:tcPr>
            <w:tcW w:w="900" w:type="dxa"/>
          </w:tcPr>
          <w:p>
            <w:pPr>
              <w:spacing w:before="0" w:after="0" w:line="240" w:lineRule="auto"/>
            </w:pPr>
            <w:r>
              <w:rPr>
                <w:rFonts w:ascii="Calibri" w:hAnsi="Calibri" w:eastAsia="Calibri" w:cs="Calibri"/>
                <w:b w:val="0"/>
                <w:sz w:val="18"/>
              </w:rPr>
              <w:t>0</w:t>
            </w:r>
          </w:p>
        </w:tc>
        <w:tc>
          <w:tcPr>
            <w:tcW w:w="900" w:type="dxa"/>
          </w:tcPr>
          <w:p>
            <w:pPr>
              <w:spacing w:before="0" w:after="0" w:line="240" w:lineRule="auto"/>
            </w:pPr>
            <w:r>
              <w:rPr>
                <w:rFonts w:ascii="Calibri" w:hAnsi="Calibri" w:eastAsia="Calibri" w:cs="Calibri"/>
                <w:b w:val="0"/>
                <w:sz w:val="18"/>
              </w:rPr>
              <w:t>0</w:t>
            </w:r>
          </w:p>
        </w:tc>
        <w:tc>
          <w:tcPr>
            <w:tcW w:w="900" w:type="dxa"/>
          </w:tcPr>
          <w:p>
            <w:pPr>
              <w:spacing w:before="0" w:after="0" w:line="240" w:lineRule="auto"/>
            </w:pPr>
            <w:r>
              <w:rPr>
                <w:rFonts w:ascii="Calibri" w:hAnsi="Calibri" w:eastAsia="Calibri" w:cs="Calibri"/>
                <w:b w:val="0"/>
                <w:sz w:val="18"/>
              </w:rPr>
              <w:t>0</w:t>
            </w:r>
          </w:p>
        </w:tc>
        <w:tc>
          <w:tcPr>
            <w:tcW w:w="3168" w:type="dxa"/>
          </w:tcPr>
          <w:p>
            <w:pPr>
              <w:spacing w:before="0" w:after="0" w:line="240" w:lineRule="auto"/>
            </w:pPr>
            <w:r>
              <w:rPr>
                <w:rFonts w:ascii="Calibri" w:hAnsi="Calibri" w:eastAsia="Calibri" w:cs="Calibri"/>
                <w:b w:val="0"/>
                <w:sz w:val="18"/>
              </w:rPr>
              <w:t>2,830 (Soleno)</w:t>
            </w:r>
          </w:p>
        </w:tc>
      </w:tr>
    </w:tbl>
    <w:p>
      <w:pPr>
        <w:spacing w:before="60" w:after="40"/>
      </w:pPr>
      <w:r>
        <w:rPr>
          <w:rFonts w:ascii="Calibri" w:hAnsi="Calibri" w:eastAsia="Calibri" w:cs="Calibri"/>
          <w:b w:val="0"/>
          <w:i w:val="0"/>
          <w:sz w:val="19"/>
        </w:rPr>
        <w:t>Rubric: a CEO new in the role defaults to 3 until a record exists. Kyle Gano became CEO in October 2024 (he was chief business officer before). Credits: the CRENESSITY launch ($301M in 2025, $184M in Q2 2026), no debt, buybacks of $534M since October 2024. Concerns: share count keeps rising despite them (99.7M in 2/2025 to 101.65M in 7/2026) because stock comp outruns repurchases; the first large deal, Soleno, is a single-product, 19%-of-market-cap bet that drew safety reports within three months of closing; a Justice Department civil investigative demand on Ingrezza sales and marketing (8/2025) is open. Leverage trajectory: none before, none now (flat at zero).</w:t>
      </w:r>
    </w:p>
    <w:p>
      <w:pPr>
        <w:keepNext/>
        <w:spacing w:before="200" w:after="60"/>
      </w:pPr>
      <w:r>
        <w:rPr>
          <w:rFonts w:ascii="Calibri" w:hAnsi="Calibri" w:eastAsia="Calibri" w:cs="Calibri"/>
          <w:b/>
          <w:color w:val="1F3864"/>
          <w:sz w:val="24"/>
        </w:rPr>
        <w:t>5. What the scores give</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1700"/>
        <w:gridCol w:w="1700"/>
        <w:gridCol w:w="1700"/>
        <w:gridCol w:w="1500"/>
        <w:gridCol w:w="1500"/>
        <w:gridCol w:w="2268"/>
      </w:tblGrid>
      <w:tr>
        <w:trPr>
          <w:cantSplit/>
          <w:tblHeader/>
        </w:trPr>
        <w:tc>
          <w:tcPr>
            <w:tcW w:w="1700" w:type="dxa"/>
            <w:shd w:val="clear" w:color="auto" w:fill="E7E6E6"/>
          </w:tcPr>
          <w:p>
            <w:pPr>
              <w:keepNext/>
              <w:spacing w:before="0" w:after="0" w:line="240" w:lineRule="auto"/>
            </w:pPr>
            <w:r>
              <w:rPr>
                <w:rFonts w:ascii="Calibri" w:hAnsi="Calibri" w:eastAsia="Calibri" w:cs="Calibri"/>
                <w:b/>
                <w:color w:val="1F3864"/>
                <w:sz w:val="18"/>
              </w:rPr>
              <w:t>Moat</w:t>
            </w:r>
          </w:p>
        </w:tc>
        <w:tc>
          <w:tcPr>
            <w:tcW w:w="1700" w:type="dxa"/>
            <w:shd w:val="clear" w:color="auto" w:fill="E7E6E6"/>
          </w:tcPr>
          <w:p>
            <w:pPr>
              <w:keepNext/>
              <w:spacing w:before="0" w:after="0" w:line="240" w:lineRule="auto"/>
            </w:pPr>
            <w:r>
              <w:rPr>
                <w:rFonts w:ascii="Calibri" w:hAnsi="Calibri" w:eastAsia="Calibri" w:cs="Calibri"/>
                <w:b/>
                <w:color w:val="1F3864"/>
                <w:sz w:val="18"/>
              </w:rPr>
              <w:t>Visibility</w:t>
            </w:r>
          </w:p>
        </w:tc>
        <w:tc>
          <w:tcPr>
            <w:tcW w:w="1700" w:type="dxa"/>
            <w:shd w:val="clear" w:color="auto" w:fill="E7E6E6"/>
          </w:tcPr>
          <w:p>
            <w:pPr>
              <w:keepNext/>
              <w:spacing w:before="0" w:after="0" w:line="240" w:lineRule="auto"/>
            </w:pPr>
            <w:r>
              <w:rPr>
                <w:rFonts w:ascii="Calibri" w:hAnsi="Calibri" w:eastAsia="Calibri" w:cs="Calibri"/>
                <w:b/>
                <w:color w:val="1F3864"/>
                <w:sz w:val="18"/>
              </w:rPr>
              <w:t>Management</w:t>
            </w:r>
          </w:p>
        </w:tc>
        <w:tc>
          <w:tcPr>
            <w:tcW w:w="1500" w:type="dxa"/>
            <w:shd w:val="clear" w:color="auto" w:fill="E7E6E6"/>
          </w:tcPr>
          <w:p>
            <w:pPr>
              <w:keepNext/>
              <w:spacing w:before="0" w:after="0" w:line="240" w:lineRule="auto"/>
            </w:pPr>
            <w:r>
              <w:rPr>
                <w:rFonts w:ascii="Calibri" w:hAnsi="Calibri" w:eastAsia="Calibri" w:cs="Calibri"/>
                <w:b/>
                <w:color w:val="1F3864"/>
                <w:sz w:val="18"/>
              </w:rPr>
              <w:t>Composite</w:t>
            </w:r>
          </w:p>
        </w:tc>
        <w:tc>
          <w:tcPr>
            <w:tcW w:w="1500" w:type="dxa"/>
            <w:shd w:val="clear" w:color="auto" w:fill="E7E6E6"/>
          </w:tcPr>
          <w:p>
            <w:pPr>
              <w:keepNext/>
              <w:spacing w:before="0" w:after="0" w:line="240" w:lineRule="auto"/>
            </w:pPr>
            <w:r>
              <w:rPr>
                <w:rFonts w:ascii="Calibri" w:hAnsi="Calibri" w:eastAsia="Calibri" w:cs="Calibri"/>
                <w:b/>
                <w:color w:val="1F3864"/>
                <w:sz w:val="18"/>
              </w:rPr>
              <w:t>Tier 1 avg</w:t>
            </w:r>
          </w:p>
        </w:tc>
        <w:tc>
          <w:tcPr>
            <w:tcW w:w="2268" w:type="dxa"/>
            <w:shd w:val="clear" w:color="auto" w:fill="E7E6E6"/>
          </w:tcPr>
          <w:p>
            <w:pPr>
              <w:keepNext/>
              <w:spacing w:before="0" w:after="0" w:line="240" w:lineRule="auto"/>
            </w:pPr>
            <w:r>
              <w:rPr>
                <w:rFonts w:ascii="Calibri" w:hAnsi="Calibri" w:eastAsia="Calibri" w:cs="Calibri"/>
                <w:b/>
                <w:color w:val="1F3864"/>
                <w:sz w:val="18"/>
              </w:rPr>
              <w:t>Decision</w:t>
            </w:r>
          </w:p>
        </w:tc>
      </w:tr>
      <w:tr>
        <w:trPr>
          <w:cantSplit/>
        </w:trPr>
        <w:tc>
          <w:tcPr>
            <w:tcW w:w="1700" w:type="dxa"/>
          </w:tcPr>
          <w:p>
            <w:pPr>
              <w:keepNext/>
              <w:spacing w:before="0" w:after="0" w:line="240" w:lineRule="auto"/>
            </w:pPr>
            <w:r>
              <w:rPr>
                <w:rFonts w:ascii="Calibri" w:hAnsi="Calibri" w:eastAsia="Calibri" w:cs="Calibri"/>
                <w:b w:val="0"/>
                <w:sz w:val="18"/>
              </w:rPr>
              <w:t>3 (proposed)</w:t>
            </w:r>
          </w:p>
        </w:tc>
        <w:tc>
          <w:tcPr>
            <w:tcW w:w="1700" w:type="dxa"/>
          </w:tcPr>
          <w:p>
            <w:pPr>
              <w:keepNext/>
              <w:spacing w:before="0" w:after="0" w:line="240" w:lineRule="auto"/>
            </w:pPr>
            <w:r>
              <w:rPr>
                <w:rFonts w:ascii="Calibri" w:hAnsi="Calibri" w:eastAsia="Calibri" w:cs="Calibri"/>
                <w:b w:val="0"/>
                <w:sz w:val="18"/>
              </w:rPr>
              <w:t>4 (proposed)</w:t>
            </w:r>
          </w:p>
        </w:tc>
        <w:tc>
          <w:tcPr>
            <w:tcW w:w="1700" w:type="dxa"/>
          </w:tcPr>
          <w:p>
            <w:pPr>
              <w:keepNext/>
              <w:spacing w:before="0" w:after="0" w:line="240" w:lineRule="auto"/>
            </w:pPr>
            <w:r>
              <w:rPr>
                <w:rFonts w:ascii="Calibri" w:hAnsi="Calibri" w:eastAsia="Calibri" w:cs="Calibri"/>
                <w:b w:val="0"/>
                <w:sz w:val="18"/>
              </w:rPr>
              <w:t>3 (proposed)</w:t>
            </w:r>
          </w:p>
        </w:tc>
        <w:tc>
          <w:tcPr>
            <w:tcW w:w="1500" w:type="dxa"/>
          </w:tcPr>
          <w:p>
            <w:pPr>
              <w:keepNext/>
              <w:spacing w:before="0" w:after="0" w:line="240" w:lineRule="auto"/>
            </w:pPr>
            <w:r>
              <w:rPr>
                <w:rFonts w:ascii="Calibri" w:hAnsi="Calibri" w:eastAsia="Calibri" w:cs="Calibri"/>
                <w:b w:val="0"/>
                <w:sz w:val="18"/>
              </w:rPr>
              <w:t>77.6</w:t>
            </w:r>
          </w:p>
        </w:tc>
        <w:tc>
          <w:tcPr>
            <w:tcW w:w="1500" w:type="dxa"/>
          </w:tcPr>
          <w:p>
            <w:pPr>
              <w:keepNext/>
              <w:spacing w:before="0" w:after="0" w:line="240" w:lineRule="auto"/>
            </w:pPr>
            <w:r>
              <w:rPr>
                <w:rFonts w:ascii="Calibri" w:hAnsi="Calibri" w:eastAsia="Calibri" w:cs="Calibri"/>
                <w:b w:val="0"/>
                <w:sz w:val="18"/>
              </w:rPr>
              <w:t>4.00</w:t>
            </w:r>
          </w:p>
        </w:tc>
        <w:tc>
          <w:tcPr>
            <w:tcW w:w="2268" w:type="dxa"/>
          </w:tcPr>
          <w:p>
            <w:pPr>
              <w:keepNext/>
              <w:spacing w:before="0" w:after="0" w:line="240" w:lineRule="auto"/>
            </w:pPr>
            <w:r>
              <w:rPr>
                <w:rFonts w:ascii="Calibri" w:hAnsi="Calibri" w:eastAsia="Calibri" w:cs="Calibri"/>
                <w:b w:val="0"/>
                <w:sz w:val="18"/>
              </w:rPr>
              <w:t>BUY</w:t>
            </w:r>
          </w:p>
        </w:tc>
      </w:tr>
      <w:tr>
        <w:trPr>
          <w:cantSplit/>
        </w:trPr>
        <w:tc>
          <w:tcPr>
            <w:tcW w:w="1700" w:type="dxa"/>
          </w:tcPr>
          <w:p>
            <w:pPr>
              <w:keepNext/>
              <w:spacing w:before="0" w:after="0" w:line="240" w:lineRule="auto"/>
            </w:pPr>
            <w:r>
              <w:rPr>
                <w:rFonts w:ascii="Calibri" w:hAnsi="Calibri" w:eastAsia="Calibri" w:cs="Calibri"/>
                <w:b w:val="0"/>
                <w:sz w:val="18"/>
              </w:rPr>
              <w:t>3</w:t>
            </w:r>
          </w:p>
        </w:tc>
        <w:tc>
          <w:tcPr>
            <w:tcW w:w="1700" w:type="dxa"/>
          </w:tcPr>
          <w:p>
            <w:pPr>
              <w:keepNext/>
              <w:spacing w:before="0" w:after="0" w:line="240" w:lineRule="auto"/>
            </w:pPr>
            <w:r>
              <w:rPr>
                <w:rFonts w:ascii="Calibri" w:hAnsi="Calibri" w:eastAsia="Calibri" w:cs="Calibri"/>
                <w:b w:val="0"/>
                <w:sz w:val="18"/>
              </w:rPr>
              <w:t>4</w:t>
            </w:r>
          </w:p>
        </w:tc>
        <w:tc>
          <w:tcPr>
            <w:tcW w:w="1700" w:type="dxa"/>
          </w:tcPr>
          <w:p>
            <w:pPr>
              <w:keepNext/>
              <w:spacing w:before="0" w:after="0" w:line="240" w:lineRule="auto"/>
            </w:pPr>
            <w:r>
              <w:rPr>
                <w:rFonts w:ascii="Calibri" w:hAnsi="Calibri" w:eastAsia="Calibri" w:cs="Calibri"/>
                <w:b w:val="0"/>
                <w:sz w:val="18"/>
              </w:rPr>
              <w:t>4</w:t>
            </w:r>
          </w:p>
        </w:tc>
        <w:tc>
          <w:tcPr>
            <w:tcW w:w="1500" w:type="dxa"/>
          </w:tcPr>
          <w:p>
            <w:pPr>
              <w:keepNext/>
              <w:spacing w:before="0" w:after="0" w:line="240" w:lineRule="auto"/>
            </w:pPr>
            <w:r>
              <w:rPr>
                <w:rFonts w:ascii="Calibri" w:hAnsi="Calibri" w:eastAsia="Calibri" w:cs="Calibri"/>
                <w:b w:val="0"/>
                <w:sz w:val="18"/>
              </w:rPr>
              <w:t>79.2</w:t>
            </w:r>
          </w:p>
        </w:tc>
        <w:tc>
          <w:tcPr>
            <w:tcW w:w="1500" w:type="dxa"/>
          </w:tcPr>
          <w:p>
            <w:pPr>
              <w:keepNext/>
              <w:spacing w:before="0" w:after="0" w:line="240" w:lineRule="auto"/>
            </w:pPr>
            <w:r>
              <w:rPr>
                <w:rFonts w:ascii="Calibri" w:hAnsi="Calibri" w:eastAsia="Calibri" w:cs="Calibri"/>
                <w:b w:val="0"/>
                <w:sz w:val="18"/>
              </w:rPr>
              <w:t>4.00</w:t>
            </w:r>
          </w:p>
        </w:tc>
        <w:tc>
          <w:tcPr>
            <w:tcW w:w="2268" w:type="dxa"/>
          </w:tcPr>
          <w:p>
            <w:pPr>
              <w:keepNext/>
              <w:spacing w:before="0" w:after="0" w:line="240" w:lineRule="auto"/>
            </w:pPr>
            <w:r>
              <w:rPr>
                <w:rFonts w:ascii="Calibri" w:hAnsi="Calibri" w:eastAsia="Calibri" w:cs="Calibri"/>
                <w:b w:val="0"/>
                <w:sz w:val="18"/>
              </w:rPr>
              <w:t>BUY</w:t>
            </w:r>
          </w:p>
        </w:tc>
      </w:tr>
      <w:tr>
        <w:trPr>
          <w:cantSplit/>
        </w:trPr>
        <w:tc>
          <w:tcPr>
            <w:tcW w:w="1700" w:type="dxa"/>
          </w:tcPr>
          <w:p>
            <w:pPr>
              <w:keepNext/>
              <w:spacing w:before="0" w:after="0" w:line="240" w:lineRule="auto"/>
            </w:pPr>
            <w:r>
              <w:rPr>
                <w:rFonts w:ascii="Calibri" w:hAnsi="Calibri" w:eastAsia="Calibri" w:cs="Calibri"/>
                <w:b w:val="0"/>
                <w:sz w:val="18"/>
              </w:rPr>
              <w:t>3</w:t>
            </w:r>
          </w:p>
        </w:tc>
        <w:tc>
          <w:tcPr>
            <w:tcW w:w="1700" w:type="dxa"/>
          </w:tcPr>
          <w:p>
            <w:pPr>
              <w:keepNext/>
              <w:spacing w:before="0" w:after="0" w:line="240" w:lineRule="auto"/>
            </w:pPr>
            <w:r>
              <w:rPr>
                <w:rFonts w:ascii="Calibri" w:hAnsi="Calibri" w:eastAsia="Calibri" w:cs="Calibri"/>
                <w:b w:val="0"/>
                <w:sz w:val="18"/>
              </w:rPr>
              <w:t>5</w:t>
            </w:r>
          </w:p>
        </w:tc>
        <w:tc>
          <w:tcPr>
            <w:tcW w:w="1700" w:type="dxa"/>
          </w:tcPr>
          <w:p>
            <w:pPr>
              <w:keepNext/>
              <w:spacing w:before="0" w:after="0" w:line="240" w:lineRule="auto"/>
            </w:pPr>
            <w:r>
              <w:rPr>
                <w:rFonts w:ascii="Calibri" w:hAnsi="Calibri" w:eastAsia="Calibri" w:cs="Calibri"/>
                <w:b w:val="0"/>
                <w:sz w:val="18"/>
              </w:rPr>
              <w:t>4</w:t>
            </w:r>
          </w:p>
        </w:tc>
        <w:tc>
          <w:tcPr>
            <w:tcW w:w="1500" w:type="dxa"/>
          </w:tcPr>
          <w:p>
            <w:pPr>
              <w:keepNext/>
              <w:spacing w:before="0" w:after="0" w:line="240" w:lineRule="auto"/>
            </w:pPr>
            <w:r>
              <w:rPr>
                <w:rFonts w:ascii="Calibri" w:hAnsi="Calibri" w:eastAsia="Calibri" w:cs="Calibri"/>
                <w:b w:val="0"/>
                <w:sz w:val="18"/>
              </w:rPr>
              <w:t>81.2</w:t>
            </w:r>
          </w:p>
        </w:tc>
        <w:tc>
          <w:tcPr>
            <w:tcW w:w="1500" w:type="dxa"/>
          </w:tcPr>
          <w:p>
            <w:pPr>
              <w:keepNext/>
              <w:spacing w:before="0" w:after="0" w:line="240" w:lineRule="auto"/>
            </w:pPr>
            <w:r>
              <w:rPr>
                <w:rFonts w:ascii="Calibri" w:hAnsi="Calibri" w:eastAsia="Calibri" w:cs="Calibri"/>
                <w:b w:val="0"/>
                <w:sz w:val="18"/>
              </w:rPr>
              <w:t>4.14</w:t>
            </w:r>
          </w:p>
        </w:tc>
        <w:tc>
          <w:tcPr>
            <w:tcW w:w="2268" w:type="dxa"/>
          </w:tcPr>
          <w:p>
            <w:pPr>
              <w:keepNext/>
              <w:spacing w:before="0" w:after="0" w:line="240" w:lineRule="auto"/>
            </w:pPr>
            <w:r>
              <w:rPr>
                <w:rFonts w:ascii="Calibri" w:hAnsi="Calibri" w:eastAsia="Calibri" w:cs="Calibri"/>
                <w:b w:val="0"/>
                <w:sz w:val="18"/>
              </w:rPr>
              <w:t>STRONG BUY</w:t>
            </w:r>
          </w:p>
        </w:tc>
      </w:tr>
      <w:tr>
        <w:trPr>
          <w:cantSplit/>
        </w:trPr>
        <w:tc>
          <w:tcPr>
            <w:tcW w:w="1700" w:type="dxa"/>
          </w:tcPr>
          <w:p>
            <w:pPr>
              <w:keepNext/>
              <w:spacing w:before="0" w:after="0" w:line="240" w:lineRule="auto"/>
            </w:pPr>
            <w:r>
              <w:rPr>
                <w:rFonts w:ascii="Calibri" w:hAnsi="Calibri" w:eastAsia="Calibri" w:cs="Calibri"/>
                <w:b w:val="0"/>
                <w:sz w:val="18"/>
              </w:rPr>
              <w:t>4</w:t>
            </w:r>
          </w:p>
        </w:tc>
        <w:tc>
          <w:tcPr>
            <w:tcW w:w="1700" w:type="dxa"/>
          </w:tcPr>
          <w:p>
            <w:pPr>
              <w:keepNext/>
              <w:spacing w:before="0" w:after="0" w:line="240" w:lineRule="auto"/>
            </w:pPr>
            <w:r>
              <w:rPr>
                <w:rFonts w:ascii="Calibri" w:hAnsi="Calibri" w:eastAsia="Calibri" w:cs="Calibri"/>
                <w:b w:val="0"/>
                <w:sz w:val="18"/>
              </w:rPr>
              <w:t>4</w:t>
            </w:r>
          </w:p>
        </w:tc>
        <w:tc>
          <w:tcPr>
            <w:tcW w:w="1700" w:type="dxa"/>
          </w:tcPr>
          <w:p>
            <w:pPr>
              <w:keepNext/>
              <w:spacing w:before="0" w:after="0" w:line="240" w:lineRule="auto"/>
            </w:pPr>
            <w:r>
              <w:rPr>
                <w:rFonts w:ascii="Calibri" w:hAnsi="Calibri" w:eastAsia="Calibri" w:cs="Calibri"/>
                <w:b w:val="0"/>
                <w:sz w:val="18"/>
              </w:rPr>
              <w:t>3</w:t>
            </w:r>
          </w:p>
        </w:tc>
        <w:tc>
          <w:tcPr>
            <w:tcW w:w="1500" w:type="dxa"/>
          </w:tcPr>
          <w:p>
            <w:pPr>
              <w:keepNext/>
              <w:spacing w:before="0" w:after="0" w:line="240" w:lineRule="auto"/>
            </w:pPr>
            <w:r>
              <w:rPr>
                <w:rFonts w:ascii="Calibri" w:hAnsi="Calibri" w:eastAsia="Calibri" w:cs="Calibri"/>
                <w:b w:val="0"/>
                <w:sz w:val="18"/>
              </w:rPr>
              <w:t>80.6</w:t>
            </w:r>
          </w:p>
        </w:tc>
        <w:tc>
          <w:tcPr>
            <w:tcW w:w="1500" w:type="dxa"/>
          </w:tcPr>
          <w:p>
            <w:pPr>
              <w:keepNext/>
              <w:spacing w:before="0" w:after="0" w:line="240" w:lineRule="auto"/>
            </w:pPr>
            <w:r>
              <w:rPr>
                <w:rFonts w:ascii="Calibri" w:hAnsi="Calibri" w:eastAsia="Calibri" w:cs="Calibri"/>
                <w:b w:val="0"/>
                <w:sz w:val="18"/>
              </w:rPr>
              <w:t>4.21</w:t>
            </w:r>
          </w:p>
        </w:tc>
        <w:tc>
          <w:tcPr>
            <w:tcW w:w="2268" w:type="dxa"/>
          </w:tcPr>
          <w:p>
            <w:pPr>
              <w:keepNext/>
              <w:spacing w:before="0" w:after="0" w:line="240" w:lineRule="auto"/>
            </w:pPr>
            <w:r>
              <w:rPr>
                <w:rFonts w:ascii="Calibri" w:hAnsi="Calibri" w:eastAsia="Calibri" w:cs="Calibri"/>
                <w:b w:val="0"/>
                <w:sz w:val="18"/>
              </w:rPr>
              <w:t>STRONG BUY</w:t>
            </w:r>
          </w:p>
        </w:tc>
      </w:tr>
      <w:tr>
        <w:trPr>
          <w:cantSplit/>
        </w:trPr>
        <w:tc>
          <w:tcPr>
            <w:tcW w:w="1700" w:type="dxa"/>
          </w:tcPr>
          <w:p>
            <w:pPr>
              <w:spacing w:before="0" w:after="0" w:line="240" w:lineRule="auto"/>
            </w:pPr>
            <w:r>
              <w:rPr>
                <w:rFonts w:ascii="Calibri" w:hAnsi="Calibri" w:eastAsia="Calibri" w:cs="Calibri"/>
                <w:b w:val="0"/>
                <w:sz w:val="18"/>
              </w:rPr>
              <w:t>2</w:t>
            </w:r>
          </w:p>
        </w:tc>
        <w:tc>
          <w:tcPr>
            <w:tcW w:w="1700" w:type="dxa"/>
          </w:tcPr>
          <w:p>
            <w:pPr>
              <w:spacing w:before="0" w:after="0" w:line="240" w:lineRule="auto"/>
            </w:pPr>
            <w:r>
              <w:rPr>
                <w:rFonts w:ascii="Calibri" w:hAnsi="Calibri" w:eastAsia="Calibri" w:cs="Calibri"/>
                <w:b w:val="0"/>
                <w:sz w:val="18"/>
              </w:rPr>
              <w:t>4</w:t>
            </w:r>
          </w:p>
        </w:tc>
        <w:tc>
          <w:tcPr>
            <w:tcW w:w="1700" w:type="dxa"/>
          </w:tcPr>
          <w:p>
            <w:pPr>
              <w:spacing w:before="0" w:after="0" w:line="240" w:lineRule="auto"/>
            </w:pPr>
            <w:r>
              <w:rPr>
                <w:rFonts w:ascii="Calibri" w:hAnsi="Calibri" w:eastAsia="Calibri" w:cs="Calibri"/>
                <w:b w:val="0"/>
                <w:sz w:val="18"/>
              </w:rPr>
              <w:t>3</w:t>
            </w:r>
          </w:p>
        </w:tc>
        <w:tc>
          <w:tcPr>
            <w:tcW w:w="1500" w:type="dxa"/>
          </w:tcPr>
          <w:p>
            <w:pPr>
              <w:spacing w:before="0" w:after="0" w:line="240" w:lineRule="auto"/>
            </w:pPr>
            <w:r>
              <w:rPr>
                <w:rFonts w:ascii="Calibri" w:hAnsi="Calibri" w:eastAsia="Calibri" w:cs="Calibri"/>
                <w:b w:val="0"/>
                <w:sz w:val="18"/>
              </w:rPr>
              <w:t>74.6</w:t>
            </w:r>
          </w:p>
        </w:tc>
        <w:tc>
          <w:tcPr>
            <w:tcW w:w="1500" w:type="dxa"/>
          </w:tcPr>
          <w:p>
            <w:pPr>
              <w:spacing w:before="0" w:after="0" w:line="240" w:lineRule="auto"/>
            </w:pPr>
            <w:r>
              <w:rPr>
                <w:rFonts w:ascii="Calibri" w:hAnsi="Calibri" w:eastAsia="Calibri" w:cs="Calibri"/>
                <w:b w:val="0"/>
                <w:sz w:val="18"/>
              </w:rPr>
              <w:t>3.79</w:t>
            </w:r>
          </w:p>
        </w:tc>
        <w:tc>
          <w:tcPr>
            <w:tcW w:w="2268" w:type="dxa"/>
          </w:tcPr>
          <w:p>
            <w:pPr>
              <w:spacing w:before="0" w:after="0" w:line="240" w:lineRule="auto"/>
            </w:pPr>
            <w:r>
              <w:rPr>
                <w:rFonts w:ascii="Calibri" w:hAnsi="Calibri" w:eastAsia="Calibri" w:cs="Calibri"/>
                <w:b w:val="0"/>
                <w:sz w:val="18"/>
              </w:rPr>
              <w:t>BUY</w:t>
            </w:r>
          </w:p>
        </w:tc>
      </w:tr>
    </w:tbl>
    <w:p>
      <w:pPr>
        <w:spacing w:before="60" w:after="40"/>
      </w:pPr>
      <w:r>
        <w:rPr>
          <w:rFonts w:ascii="Calibri" w:hAnsi="Calibri" w:eastAsia="Calibri" w:cs="Calibri"/>
          <w:b w:val="0"/>
          <w:i w:val="0"/>
          <w:sz w:val="19"/>
        </w:rPr>
        <w:t>Other inputs from the 10/6 quant drafts: valuation 5, ROIC vs WACC 3 (low confidence), relative strength 2, technical 4, analyst consensus 5, volume 2. BUY would mean a 3% initial position (about $21.6K on $720K); STRONG BUY 5%.</w:t>
      </w:r>
    </w:p>
    <w:p>
      <w:pPr>
        <w:keepNext/>
        <w:spacing w:before="200" w:after="60"/>
      </w:pPr>
      <w:r>
        <w:rPr>
          <w:rFonts w:ascii="Calibri" w:hAnsi="Calibri" w:eastAsia="Calibri" w:cs="Calibri"/>
          <w:b/>
          <w:color w:val="1F3864"/>
          <w:sz w:val="24"/>
        </w:rPr>
        <w:t>6. Entry rules and the implied-return test</w:t>
      </w:r>
    </w:p>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2200"/>
        <w:gridCol w:w="1100"/>
        <w:gridCol w:w="7068"/>
      </w:tblGrid>
      <w:tr>
        <w:trPr>
          <w:cantSplit/>
          <w:tblHeader/>
        </w:trPr>
        <w:tc>
          <w:tcPr>
            <w:tcW w:w="2200" w:type="dxa"/>
            <w:shd w:val="clear" w:color="auto" w:fill="E7E6E6"/>
          </w:tcPr>
          <w:p>
            <w:pPr>
              <w:keepNext/>
              <w:spacing w:before="0" w:after="0" w:line="240" w:lineRule="auto"/>
            </w:pPr>
            <w:r>
              <w:rPr>
                <w:rFonts w:ascii="Calibri" w:hAnsi="Calibri" w:eastAsia="Calibri" w:cs="Calibri"/>
                <w:b/>
                <w:color w:val="1F3864"/>
                <w:sz w:val="18"/>
              </w:rPr>
              <w:t>Rule</w:t>
            </w:r>
          </w:p>
        </w:tc>
        <w:tc>
          <w:tcPr>
            <w:tcW w:w="1100" w:type="dxa"/>
            <w:shd w:val="clear" w:color="auto" w:fill="E7E6E6"/>
          </w:tcPr>
          <w:p>
            <w:pPr>
              <w:keepNext/>
              <w:spacing w:before="0" w:after="0" w:line="240" w:lineRule="auto"/>
            </w:pPr>
            <w:r>
              <w:rPr>
                <w:rFonts w:ascii="Calibri" w:hAnsi="Calibri" w:eastAsia="Calibri" w:cs="Calibri"/>
                <w:b/>
                <w:color w:val="1F3864"/>
                <w:sz w:val="18"/>
              </w:rPr>
              <w:t>Result</w:t>
            </w:r>
          </w:p>
        </w:tc>
        <w:tc>
          <w:tcPr>
            <w:tcW w:w="7068" w:type="dxa"/>
            <w:shd w:val="clear" w:color="auto" w:fill="E7E6E6"/>
          </w:tcPr>
          <w:p>
            <w:pPr>
              <w:keepNext/>
              <w:spacing w:before="0" w:after="0" w:line="240" w:lineRule="auto"/>
            </w:pPr>
            <w:r>
              <w:rPr>
                <w:rFonts w:ascii="Calibri" w:hAnsi="Calibri" w:eastAsia="Calibri" w:cs="Calibri"/>
                <w:b/>
                <w:color w:val="1F3864"/>
                <w:sz w:val="18"/>
              </w:rPr>
              <w:t>Note</w:t>
            </w:r>
          </w:p>
        </w:tc>
      </w:tr>
      <w:tr>
        <w:trPr>
          <w:cantSplit/>
        </w:trPr>
        <w:tc>
          <w:tcPr>
            <w:tcW w:w="2200" w:type="dxa"/>
          </w:tcPr>
          <w:p>
            <w:pPr>
              <w:keepNext/>
              <w:spacing w:before="0" w:after="0" w:line="240" w:lineRule="auto"/>
            </w:pPr>
            <w:r>
              <w:rPr>
                <w:rFonts w:ascii="Calibri" w:hAnsi="Calibri" w:eastAsia="Calibri" w:cs="Calibri"/>
                <w:b/>
                <w:sz w:val="18"/>
              </w:rPr>
              <w:t>5 (momentum floor)</w:t>
            </w:r>
          </w:p>
        </w:tc>
        <w:tc>
          <w:tcPr>
            <w:tcW w:w="1100" w:type="dxa"/>
          </w:tcPr>
          <w:p>
            <w:pPr>
              <w:keepNext/>
              <w:spacing w:before="0" w:after="0" w:line="240" w:lineRule="auto"/>
            </w:pPr>
            <w:r>
              <w:rPr>
                <w:rFonts w:ascii="Calibri" w:hAnsi="Calibri" w:eastAsia="Calibri" w:cs="Calibri"/>
                <w:b w:val="0"/>
                <w:sz w:val="18"/>
              </w:rPr>
              <w:t>clear</w:t>
            </w:r>
          </w:p>
        </w:tc>
        <w:tc>
          <w:tcPr>
            <w:tcW w:w="7068" w:type="dxa"/>
          </w:tcPr>
          <w:p>
            <w:pPr>
              <w:keepNext/>
              <w:spacing w:before="0" w:after="0" w:line="240" w:lineRule="auto"/>
            </w:pPr>
            <w:r>
              <w:rPr>
                <w:rFonts w:ascii="Calibri" w:hAnsi="Calibri" w:eastAsia="Calibri" w:cs="Calibri"/>
                <w:b w:val="0"/>
                <w:sz w:val="18"/>
              </w:rPr>
              <w:t>Relative strength 2 (−8.4% vs SPY blended), technical 4.</w:t>
            </w:r>
          </w:p>
        </w:tc>
      </w:tr>
      <w:tr>
        <w:trPr>
          <w:cantSplit/>
        </w:trPr>
        <w:tc>
          <w:tcPr>
            <w:tcW w:w="2200" w:type="dxa"/>
          </w:tcPr>
          <w:p>
            <w:pPr>
              <w:keepNext/>
              <w:spacing w:before="0" w:after="0" w:line="240" w:lineRule="auto"/>
            </w:pPr>
            <w:r>
              <w:rPr>
                <w:rFonts w:ascii="Calibri" w:hAnsi="Calibri" w:eastAsia="Calibri" w:cs="Calibri"/>
                <w:b/>
                <w:sz w:val="18"/>
              </w:rPr>
              <w:t>9–10 (staging)</w:t>
            </w:r>
          </w:p>
        </w:tc>
        <w:tc>
          <w:tcPr>
            <w:tcW w:w="1100" w:type="dxa"/>
          </w:tcPr>
          <w:p>
            <w:pPr>
              <w:keepNext/>
              <w:spacing w:before="0" w:after="0" w:line="240" w:lineRule="auto"/>
            </w:pPr>
            <w:r>
              <w:rPr>
                <w:rFonts w:ascii="Calibri" w:hAnsi="Calibri" w:eastAsia="Calibri" w:cs="Calibri"/>
                <w:b w:val="0"/>
                <w:sz w:val="18"/>
              </w:rPr>
              <w:t>clear</w:t>
            </w:r>
          </w:p>
        </w:tc>
        <w:tc>
          <w:tcPr>
            <w:tcW w:w="7068" w:type="dxa"/>
          </w:tcPr>
          <w:p>
            <w:pPr>
              <w:keepNext/>
              <w:spacing w:before="0" w:after="0" w:line="240" w:lineRule="auto"/>
            </w:pPr>
            <w:r>
              <w:rPr>
                <w:rFonts w:ascii="Calibri" w:hAnsi="Calibri" w:eastAsia="Calibri" w:cs="Calibri"/>
                <w:b w:val="0"/>
                <w:sz w:val="18"/>
              </w:rPr>
              <w:t>Above the 200-week MA; monthly MACD positive (5.17 vs signal 5.27): standard initial size.</w:t>
            </w:r>
          </w:p>
        </w:tc>
      </w:tr>
      <w:tr>
        <w:trPr>
          <w:cantSplit/>
        </w:trPr>
        <w:tc>
          <w:tcPr>
            <w:tcW w:w="2200" w:type="dxa"/>
          </w:tcPr>
          <w:p>
            <w:pPr>
              <w:keepNext/>
              <w:spacing w:before="0" w:after="0" w:line="240" w:lineRule="auto"/>
            </w:pPr>
            <w:r>
              <w:rPr>
                <w:rFonts w:ascii="Calibri" w:hAnsi="Calibri" w:eastAsia="Calibri" w:cs="Calibri"/>
                <w:b/>
                <w:sz w:val="18"/>
              </w:rPr>
              <w:t>11 (binary events)</w:t>
            </w:r>
          </w:p>
        </w:tc>
        <w:tc>
          <w:tcPr>
            <w:tcW w:w="1100" w:type="dxa"/>
          </w:tcPr>
          <w:p>
            <w:pPr>
              <w:keepNext/>
              <w:spacing w:before="0" w:after="0" w:line="240" w:lineRule="auto"/>
            </w:pPr>
            <w:r>
              <w:rPr>
                <w:rFonts w:ascii="Calibri" w:hAnsi="Calibri" w:eastAsia="Calibri" w:cs="Calibri"/>
                <w:b w:val="0"/>
                <w:sz w:val="18"/>
              </w:rPr>
              <w:t>OPEN</w:t>
            </w:r>
          </w:p>
        </w:tc>
        <w:tc>
          <w:tcPr>
            <w:tcW w:w="7068" w:type="dxa"/>
          </w:tcPr>
          <w:p>
            <w:pPr>
              <w:keepNext/>
              <w:spacing w:before="0" w:after="0" w:line="240" w:lineRule="auto"/>
            </w:pPr>
            <w:r>
              <w:rPr>
                <w:rFonts w:ascii="Calibri" w:hAnsi="Calibri" w:eastAsia="Calibri" w:cs="Calibri"/>
                <w:b w:val="0"/>
                <w:sz w:val="18"/>
              </w:rPr>
              <w:t>Vykat XR: FDA adverse-event database showed 7 deaths and 112 serious cases of 654 total by 7/31, 535 of them this year (press and patient-group reports; causality unknown). Neurocrine stands by the drug; I found no FDA action. Also the DOJ inquiry, and the 10/26 print.</w:t>
            </w:r>
          </w:p>
        </w:tc>
      </w:tr>
      <w:tr>
        <w:trPr>
          <w:cantSplit/>
        </w:trPr>
        <w:tc>
          <w:tcPr>
            <w:tcW w:w="2200" w:type="dxa"/>
          </w:tcPr>
          <w:p>
            <w:pPr>
              <w:keepNext/>
              <w:spacing w:before="0" w:after="0" w:line="240" w:lineRule="auto"/>
            </w:pPr>
            <w:r>
              <w:rPr>
                <w:rFonts w:ascii="Calibri" w:hAnsi="Calibri" w:eastAsia="Calibri" w:cs="Calibri"/>
                <w:b/>
                <w:sz w:val="18"/>
              </w:rPr>
              <w:t>12–13 (Base &gt;10%, Bear ≥0%)</w:t>
            </w:r>
          </w:p>
        </w:tc>
        <w:tc>
          <w:tcPr>
            <w:tcW w:w="1100" w:type="dxa"/>
          </w:tcPr>
          <w:p>
            <w:pPr>
              <w:keepNext/>
              <w:spacing w:before="0" w:after="0" w:line="240" w:lineRule="auto"/>
            </w:pPr>
            <w:r>
              <w:rPr>
                <w:rFonts w:ascii="Calibri" w:hAnsi="Calibri" w:eastAsia="Calibri" w:cs="Calibri"/>
                <w:b w:val="0"/>
                <w:sz w:val="18"/>
              </w:rPr>
              <w:t>knife-edge</w:t>
            </w:r>
          </w:p>
        </w:tc>
        <w:tc>
          <w:tcPr>
            <w:tcW w:w="7068" w:type="dxa"/>
          </w:tcPr>
          <w:p>
            <w:pPr>
              <w:keepNext/>
              <w:spacing w:before="0" w:after="0" w:line="240" w:lineRule="auto"/>
            </w:pPr>
            <w:r>
              <w:rPr>
                <w:rFonts w:ascii="Calibri" w:hAnsi="Calibri" w:eastAsia="Calibri" w:cs="Calibri"/>
                <w:b w:val="0"/>
                <w:sz w:val="18"/>
              </w:rPr>
              <w:t>See the table below.</w:t>
            </w:r>
          </w:p>
        </w:tc>
      </w:tr>
      <w:tr>
        <w:trPr>
          <w:cantSplit/>
        </w:trPr>
        <w:tc>
          <w:tcPr>
            <w:tcW w:w="2200" w:type="dxa"/>
          </w:tcPr>
          <w:p>
            <w:pPr>
              <w:keepNext/>
              <w:spacing w:before="0" w:after="0" w:line="240" w:lineRule="auto"/>
            </w:pPr>
            <w:r>
              <w:rPr>
                <w:rFonts w:ascii="Calibri" w:hAnsi="Calibri" w:eastAsia="Calibri" w:cs="Calibri"/>
                <w:b/>
                <w:sz w:val="18"/>
              </w:rPr>
              <w:t>14 (50x ceiling)</w:t>
            </w:r>
          </w:p>
        </w:tc>
        <w:tc>
          <w:tcPr>
            <w:tcW w:w="1100" w:type="dxa"/>
          </w:tcPr>
          <w:p>
            <w:pPr>
              <w:keepNext/>
              <w:spacing w:before="0" w:after="0" w:line="240" w:lineRule="auto"/>
            </w:pPr>
            <w:r>
              <w:rPr>
                <w:rFonts w:ascii="Calibri" w:hAnsi="Calibri" w:eastAsia="Calibri" w:cs="Calibri"/>
                <w:b w:val="0"/>
                <w:sz w:val="18"/>
              </w:rPr>
              <w:t>clear</w:t>
            </w:r>
          </w:p>
        </w:tc>
        <w:tc>
          <w:tcPr>
            <w:tcW w:w="7068" w:type="dxa"/>
          </w:tcPr>
          <w:p>
            <w:pPr>
              <w:keepNext/>
              <w:spacing w:before="0" w:after="0" w:line="240" w:lineRule="auto"/>
            </w:pPr>
            <w:r>
              <w:rPr>
                <w:rFonts w:ascii="Calibri" w:hAnsi="Calibri" w:eastAsia="Calibri" w:cs="Calibri"/>
                <w:b w:val="0"/>
                <w:sz w:val="18"/>
              </w:rPr>
              <w:t>P/FCF 23.5x on diluted shares.</w:t>
            </w:r>
          </w:p>
        </w:tc>
      </w:tr>
      <w:tr>
        <w:trPr>
          <w:cantSplit/>
        </w:trPr>
        <w:tc>
          <w:tcPr>
            <w:tcW w:w="2200" w:type="dxa"/>
          </w:tcPr>
          <w:p>
            <w:pPr>
              <w:spacing w:before="0" w:after="0" w:line="240" w:lineRule="auto"/>
            </w:pPr>
            <w:r>
              <w:rPr>
                <w:rFonts w:ascii="Calibri" w:hAnsi="Calibri" w:eastAsia="Calibri" w:cs="Calibri"/>
                <w:b/>
                <w:sz w:val="18"/>
              </w:rPr>
              <w:t>15, 16, 18, 38</w:t>
            </w:r>
          </w:p>
        </w:tc>
        <w:tc>
          <w:tcPr>
            <w:tcW w:w="1100" w:type="dxa"/>
          </w:tcPr>
          <w:p>
            <w:pPr>
              <w:spacing w:before="0" w:after="0" w:line="240" w:lineRule="auto"/>
            </w:pPr>
            <w:r>
              <w:rPr>
                <w:rFonts w:ascii="Calibri" w:hAnsi="Calibri" w:eastAsia="Calibri" w:cs="Calibri"/>
                <w:b w:val="0"/>
                <w:sz w:val="18"/>
              </w:rPr>
              <w:t>clear</w:t>
            </w:r>
          </w:p>
        </w:tc>
        <w:tc>
          <w:tcPr>
            <w:tcW w:w="7068" w:type="dxa"/>
          </w:tcPr>
          <w:p>
            <w:pPr>
              <w:spacing w:before="0" w:after="0" w:line="240" w:lineRule="auto"/>
            </w:pPr>
            <w:r>
              <w:rPr>
                <w:rFonts w:ascii="Calibri" w:hAnsi="Calibri" w:eastAsia="Calibri" w:cs="Calibri"/>
                <w:b w:val="0"/>
                <w:sz w:val="18"/>
              </w:rPr>
              <w:t>Healthcare 4.5% → 8.5% with VEEV → 11.5% with NBIX; the 3% position needs about $12K more SPMO sold to hold cash above 5.5%; correlation 0.34.</w:t>
            </w:r>
          </w:p>
        </w:tc>
      </w:tr>
    </w:tbl>
    <w:tbl>
      <w:tblPr>
        <w:tblW w:w="1036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90" w:type="dxa"/>
          <w:bottom w:w="20" w:type="dxa"/>
          <w:right w:w="90" w:type="dxa"/>
        </w:tblCellMar>
        <w:tblLook w:firstColumn="1" w:firstRow="1" w:lastColumn="0" w:lastRow="0" w:noHBand="0" w:noVBand="1" w:val="04A0"/>
      </w:tblPr>
      <w:tblGrid>
        <w:gridCol w:w="4200"/>
        <w:gridCol w:w="1400"/>
        <w:gridCol w:w="2500"/>
        <w:gridCol w:w="2268"/>
      </w:tblGrid>
      <w:tr>
        <w:trPr>
          <w:cantSplit/>
          <w:tblHeader/>
        </w:trPr>
        <w:tc>
          <w:tcPr>
            <w:tcW w:w="4200" w:type="dxa"/>
            <w:shd w:val="clear" w:color="auto" w:fill="E7E6E6"/>
          </w:tcPr>
          <w:p>
            <w:pPr>
              <w:keepNext/>
              <w:spacing w:before="0" w:after="0" w:line="240" w:lineRule="auto"/>
            </w:pPr>
            <w:r>
              <w:rPr>
                <w:rFonts w:ascii="Calibri" w:hAnsi="Calibri" w:eastAsia="Calibri" w:cs="Calibri"/>
                <w:b/>
                <w:color w:val="1F3864"/>
                <w:sz w:val="18"/>
              </w:rPr>
              <w:t>Per-share FCF growth</w:t>
            </w:r>
          </w:p>
        </w:tc>
        <w:tc>
          <w:tcPr>
            <w:tcW w:w="1400" w:type="dxa"/>
            <w:shd w:val="clear" w:color="auto" w:fill="E7E6E6"/>
          </w:tcPr>
          <w:p>
            <w:pPr>
              <w:keepNext/>
              <w:spacing w:before="0" w:after="0" w:line="240" w:lineRule="auto"/>
            </w:pPr>
            <w:r>
              <w:rPr>
                <w:rFonts w:ascii="Calibri" w:hAnsi="Calibri" w:eastAsia="Calibri" w:cs="Calibri"/>
                <w:b/>
                <w:color w:val="1F3864"/>
                <w:sz w:val="18"/>
              </w:rPr>
              <w:t>Base</w:t>
            </w:r>
          </w:p>
        </w:tc>
        <w:tc>
          <w:tcPr>
            <w:tcW w:w="2500" w:type="dxa"/>
            <w:shd w:val="clear" w:color="auto" w:fill="E7E6E6"/>
          </w:tcPr>
          <w:p>
            <w:pPr>
              <w:keepNext/>
              <w:spacing w:before="0" w:after="0" w:line="240" w:lineRule="auto"/>
            </w:pPr>
            <w:r>
              <w:rPr>
                <w:rFonts w:ascii="Calibri" w:hAnsi="Calibri" w:eastAsia="Calibri" w:cs="Calibri"/>
                <w:b/>
                <w:color w:val="1F3864"/>
                <w:sz w:val="18"/>
              </w:rPr>
              <w:t>Bear (growth halved, terminal ×0.81)</w:t>
            </w:r>
          </w:p>
        </w:tc>
        <w:tc>
          <w:tcPr>
            <w:tcW w:w="2268" w:type="dxa"/>
            <w:shd w:val="clear" w:color="auto" w:fill="E7E6E6"/>
          </w:tcPr>
          <w:p>
            <w:pPr>
              <w:keepNext/>
              <w:spacing w:before="0" w:after="0" w:line="240" w:lineRule="auto"/>
            </w:pPr>
            <w:r>
              <w:rPr>
                <w:rFonts w:ascii="Calibri" w:hAnsi="Calibri" w:eastAsia="Calibri" w:cs="Calibri"/>
                <w:b/>
                <w:color w:val="1F3864"/>
                <w:sz w:val="18"/>
              </w:rPr>
              <w:t>Bull (+4 points, terminal ×1.1)</w:t>
            </w:r>
          </w:p>
        </w:tc>
      </w:tr>
      <w:tr>
        <w:trPr>
          <w:cantSplit/>
        </w:trPr>
        <w:tc>
          <w:tcPr>
            <w:tcW w:w="4200" w:type="dxa"/>
          </w:tcPr>
          <w:p>
            <w:pPr>
              <w:keepNext/>
              <w:spacing w:before="0" w:after="0" w:line="240" w:lineRule="auto"/>
            </w:pPr>
            <w:r>
              <w:rPr>
                <w:rFonts w:ascii="Calibri" w:hAnsi="Calibri" w:eastAsia="Calibri" w:cs="Calibri"/>
                <w:b/>
                <w:sz w:val="18"/>
              </w:rPr>
              <w:t>8% a year</w:t>
            </w:r>
          </w:p>
        </w:tc>
        <w:tc>
          <w:tcPr>
            <w:tcW w:w="1400" w:type="dxa"/>
          </w:tcPr>
          <w:p>
            <w:pPr>
              <w:keepNext/>
              <w:spacing w:before="0" w:after="0" w:line="240" w:lineRule="auto"/>
            </w:pPr>
            <w:r>
              <w:rPr>
                <w:rFonts w:ascii="Calibri" w:hAnsi="Calibri" w:eastAsia="Calibri" w:cs="Calibri"/>
                <w:b w:val="0"/>
                <w:sz w:val="18"/>
              </w:rPr>
              <w:t>+8.0%</w:t>
            </w:r>
          </w:p>
        </w:tc>
        <w:tc>
          <w:tcPr>
            <w:tcW w:w="2500" w:type="dxa"/>
          </w:tcPr>
          <w:p>
            <w:pPr>
              <w:keepNext/>
              <w:spacing w:before="0" w:after="0" w:line="240" w:lineRule="auto"/>
            </w:pPr>
            <w:r>
              <w:rPr>
                <w:rFonts w:ascii="Calibri" w:hAnsi="Calibri" w:eastAsia="Calibri" w:cs="Calibri"/>
                <w:b w:val="0"/>
                <w:sz w:val="18"/>
              </w:rPr>
              <w:t>−0.3%</w:t>
            </w:r>
          </w:p>
        </w:tc>
        <w:tc>
          <w:tcPr>
            <w:tcW w:w="2268" w:type="dxa"/>
          </w:tcPr>
          <w:p>
            <w:pPr>
              <w:keepNext/>
              <w:spacing w:before="0" w:after="0" w:line="240" w:lineRule="auto"/>
            </w:pPr>
            <w:r>
              <w:rPr>
                <w:rFonts w:ascii="Calibri" w:hAnsi="Calibri" w:eastAsia="Calibri" w:cs="Calibri"/>
                <w:b w:val="0"/>
                <w:sz w:val="18"/>
              </w:rPr>
              <w:t>+14.2%</w:t>
            </w:r>
          </w:p>
        </w:tc>
      </w:tr>
      <w:tr>
        <w:trPr>
          <w:cantSplit/>
        </w:trPr>
        <w:tc>
          <w:tcPr>
            <w:tcW w:w="4200" w:type="dxa"/>
          </w:tcPr>
          <w:p>
            <w:pPr>
              <w:keepNext/>
              <w:spacing w:before="0" w:after="0" w:line="240" w:lineRule="auto"/>
            </w:pPr>
            <w:r>
              <w:rPr>
                <w:rFonts w:ascii="Calibri" w:hAnsi="Calibri" w:eastAsia="Calibri" w:cs="Calibri"/>
                <w:b/>
                <w:sz w:val="18"/>
              </w:rPr>
              <w:t>10%</w:t>
            </w:r>
          </w:p>
        </w:tc>
        <w:tc>
          <w:tcPr>
            <w:tcW w:w="1400" w:type="dxa"/>
          </w:tcPr>
          <w:p>
            <w:pPr>
              <w:keepNext/>
              <w:spacing w:before="0" w:after="0" w:line="240" w:lineRule="auto"/>
            </w:pPr>
            <w:r>
              <w:rPr>
                <w:rFonts w:ascii="Calibri" w:hAnsi="Calibri" w:eastAsia="Calibri" w:cs="Calibri"/>
                <w:b w:val="0"/>
                <w:sz w:val="18"/>
              </w:rPr>
              <w:t>+10.0%</w:t>
            </w:r>
          </w:p>
        </w:tc>
        <w:tc>
          <w:tcPr>
            <w:tcW w:w="2500" w:type="dxa"/>
          </w:tcPr>
          <w:p>
            <w:pPr>
              <w:keepNext/>
              <w:spacing w:before="0" w:after="0" w:line="240" w:lineRule="auto"/>
            </w:pPr>
            <w:r>
              <w:rPr>
                <w:rFonts w:ascii="Calibri" w:hAnsi="Calibri" w:eastAsia="Calibri" w:cs="Calibri"/>
                <w:b w:val="0"/>
                <w:sz w:val="18"/>
              </w:rPr>
              <w:t>+0.7%</w:t>
            </w:r>
          </w:p>
        </w:tc>
        <w:tc>
          <w:tcPr>
            <w:tcW w:w="2268" w:type="dxa"/>
          </w:tcPr>
          <w:p>
            <w:pPr>
              <w:keepNext/>
              <w:spacing w:before="0" w:after="0" w:line="240" w:lineRule="auto"/>
            </w:pPr>
            <w:r>
              <w:rPr>
                <w:rFonts w:ascii="Calibri" w:hAnsi="Calibri" w:eastAsia="Calibri" w:cs="Calibri"/>
                <w:b w:val="0"/>
                <w:sz w:val="18"/>
              </w:rPr>
              <w:t>+16.2%</w:t>
            </w:r>
          </w:p>
        </w:tc>
      </w:tr>
      <w:tr>
        <w:trPr>
          <w:cantSplit/>
        </w:trPr>
        <w:tc>
          <w:tcPr>
            <w:tcW w:w="4200" w:type="dxa"/>
          </w:tcPr>
          <w:p>
            <w:pPr>
              <w:keepNext/>
              <w:spacing w:before="0" w:after="0" w:line="240" w:lineRule="auto"/>
            </w:pPr>
            <w:r>
              <w:rPr>
                <w:rFonts w:ascii="Calibri" w:hAnsi="Calibri" w:eastAsia="Calibri" w:cs="Calibri"/>
                <w:b/>
                <w:sz w:val="18"/>
              </w:rPr>
              <w:t>12%</w:t>
            </w:r>
          </w:p>
        </w:tc>
        <w:tc>
          <w:tcPr>
            <w:tcW w:w="1400" w:type="dxa"/>
          </w:tcPr>
          <w:p>
            <w:pPr>
              <w:keepNext/>
              <w:spacing w:before="0" w:after="0" w:line="240" w:lineRule="auto"/>
            </w:pPr>
            <w:r>
              <w:rPr>
                <w:rFonts w:ascii="Calibri" w:hAnsi="Calibri" w:eastAsia="Calibri" w:cs="Calibri"/>
                <w:b w:val="0"/>
                <w:sz w:val="18"/>
              </w:rPr>
              <w:t>+12.0%</w:t>
            </w:r>
          </w:p>
        </w:tc>
        <w:tc>
          <w:tcPr>
            <w:tcW w:w="2500" w:type="dxa"/>
          </w:tcPr>
          <w:p>
            <w:pPr>
              <w:keepNext/>
              <w:spacing w:before="0" w:after="0" w:line="240" w:lineRule="auto"/>
            </w:pPr>
            <w:r>
              <w:rPr>
                <w:rFonts w:ascii="Calibri" w:hAnsi="Calibri" w:eastAsia="Calibri" w:cs="Calibri"/>
                <w:b w:val="0"/>
                <w:sz w:val="18"/>
              </w:rPr>
              <w:t>+1.6%</w:t>
            </w:r>
          </w:p>
        </w:tc>
        <w:tc>
          <w:tcPr>
            <w:tcW w:w="2268" w:type="dxa"/>
          </w:tcPr>
          <w:p>
            <w:pPr>
              <w:keepNext/>
              <w:spacing w:before="0" w:after="0" w:line="240" w:lineRule="auto"/>
            </w:pPr>
            <w:r>
              <w:rPr>
                <w:rFonts w:ascii="Calibri" w:hAnsi="Calibri" w:eastAsia="Calibri" w:cs="Calibri"/>
                <w:b w:val="0"/>
                <w:sz w:val="18"/>
              </w:rPr>
              <w:t>+18.2%</w:t>
            </w:r>
          </w:p>
        </w:tc>
      </w:tr>
      <w:tr>
        <w:trPr>
          <w:cantSplit/>
        </w:trPr>
        <w:tc>
          <w:tcPr>
            <w:tcW w:w="4200" w:type="dxa"/>
          </w:tcPr>
          <w:p>
            <w:pPr>
              <w:keepNext/>
              <w:spacing w:before="0" w:after="0" w:line="240" w:lineRule="auto"/>
            </w:pPr>
            <w:r>
              <w:rPr>
                <w:rFonts w:ascii="Calibri" w:hAnsi="Calibri" w:eastAsia="Calibri" w:cs="Calibri"/>
                <w:b/>
                <w:sz w:val="18"/>
              </w:rPr>
              <w:t>2027 +16%, 2028 +12%, 2029 0% (Medicare step), then +10% (9.5%/yr)</w:t>
            </w:r>
          </w:p>
        </w:tc>
        <w:tc>
          <w:tcPr>
            <w:tcW w:w="1400" w:type="dxa"/>
          </w:tcPr>
          <w:p>
            <w:pPr>
              <w:keepNext/>
              <w:spacing w:before="0" w:after="0" w:line="240" w:lineRule="auto"/>
            </w:pPr>
            <w:r>
              <w:rPr>
                <w:rFonts w:ascii="Calibri" w:hAnsi="Calibri" w:eastAsia="Calibri" w:cs="Calibri"/>
                <w:b w:val="0"/>
                <w:sz w:val="18"/>
              </w:rPr>
              <w:t>+9.5%</w:t>
            </w:r>
          </w:p>
        </w:tc>
        <w:tc>
          <w:tcPr>
            <w:tcW w:w="2500" w:type="dxa"/>
          </w:tcPr>
          <w:p>
            <w:pPr>
              <w:keepNext/>
              <w:spacing w:before="0" w:after="0" w:line="240" w:lineRule="auto"/>
            </w:pPr>
            <w:r>
              <w:rPr>
                <w:rFonts w:ascii="Calibri" w:hAnsi="Calibri" w:eastAsia="Calibri" w:cs="Calibri"/>
                <w:b w:val="0"/>
                <w:sz w:val="18"/>
              </w:rPr>
              <w:t>+0.4%</w:t>
            </w:r>
          </w:p>
        </w:tc>
        <w:tc>
          <w:tcPr>
            <w:tcW w:w="2268" w:type="dxa"/>
          </w:tcPr>
          <w:p>
            <w:pPr>
              <w:keepNext/>
              <w:spacing w:before="0" w:after="0" w:line="240" w:lineRule="auto"/>
            </w:pPr>
            <w:r>
              <w:rPr>
                <w:rFonts w:ascii="Calibri" w:hAnsi="Calibri" w:eastAsia="Calibri" w:cs="Calibri"/>
                <w:b w:val="0"/>
                <w:sz w:val="18"/>
              </w:rPr>
              <w:t>+15.7%</w:t>
            </w:r>
          </w:p>
        </w:tc>
      </w:tr>
      <w:tr>
        <w:trPr>
          <w:cantSplit/>
        </w:trPr>
        <w:tc>
          <w:tcPr>
            <w:tcW w:w="4200" w:type="dxa"/>
          </w:tcPr>
          <w:p>
            <w:pPr>
              <w:spacing w:before="0" w:after="0" w:line="240" w:lineRule="auto"/>
            </w:pPr>
            <w:r>
              <w:rPr>
                <w:rFonts w:ascii="Calibri" w:hAnsi="Calibri" w:eastAsia="Calibri" w:cs="Calibri"/>
                <w:b/>
                <w:sz w:val="18"/>
              </w:rPr>
              <w:t>2027 +16%, 2028 +12%, then +10% (11.6%/yr)</w:t>
            </w:r>
          </w:p>
        </w:tc>
        <w:tc>
          <w:tcPr>
            <w:tcW w:w="1400" w:type="dxa"/>
          </w:tcPr>
          <w:p>
            <w:pPr>
              <w:spacing w:before="0" w:after="0" w:line="240" w:lineRule="auto"/>
            </w:pPr>
            <w:r>
              <w:rPr>
                <w:rFonts w:ascii="Calibri" w:hAnsi="Calibri" w:eastAsia="Calibri" w:cs="Calibri"/>
                <w:b w:val="0"/>
                <w:sz w:val="18"/>
              </w:rPr>
              <w:t>+11.6%</w:t>
            </w:r>
          </w:p>
        </w:tc>
        <w:tc>
          <w:tcPr>
            <w:tcW w:w="2500" w:type="dxa"/>
          </w:tcPr>
          <w:p>
            <w:pPr>
              <w:spacing w:before="0" w:after="0" w:line="240" w:lineRule="auto"/>
            </w:pPr>
            <w:r>
              <w:rPr>
                <w:rFonts w:ascii="Calibri" w:hAnsi="Calibri" w:eastAsia="Calibri" w:cs="Calibri"/>
                <w:b w:val="0"/>
                <w:sz w:val="18"/>
              </w:rPr>
              <w:t>+1.4%</w:t>
            </w:r>
          </w:p>
        </w:tc>
        <w:tc>
          <w:tcPr>
            <w:tcW w:w="2268" w:type="dxa"/>
          </w:tcPr>
          <w:p>
            <w:pPr>
              <w:spacing w:before="0" w:after="0" w:line="240" w:lineRule="auto"/>
            </w:pPr>
            <w:r>
              <w:rPr>
                <w:rFonts w:ascii="Calibri" w:hAnsi="Calibri" w:eastAsia="Calibri" w:cs="Calibri"/>
                <w:b w:val="0"/>
                <w:sz w:val="18"/>
              </w:rPr>
              <w:t>+17.8%</w:t>
            </w:r>
          </w:p>
        </w:tc>
      </w:tr>
    </w:tbl>
    <w:p>
      <w:pPr>
        <w:spacing w:before="60" w:after="40"/>
      </w:pPr>
      <w:r>
        <w:rPr>
          <w:rFonts w:ascii="Calibri" w:hAnsi="Calibri" w:eastAsia="Calibri" w:cs="Calibri"/>
          <w:b w:val="0"/>
          <w:i w:val="0"/>
          <w:sz w:val="19"/>
        </w:rPr>
        <w:t>Basis: price $143.73, TTM FCF after stock comp $636M on 103.9M diluted shares = $6.12 (23.5x); the terminal multiple is today's, because the five-year median is far higher (FCF was near zero in 2022–23); no dividends. Base clears 10% only above 10% growth; Bear stays ≥0% down to about 8.7% growth. Consensus (yfinance): non-GAAP EPS $10.21 for 2026 and $11.88 for 2027 (+16%); the long-term growth the street uses is about 12%. The 2029 step is my assumption, not a forecast: Ingrezza's small-biotech exemption from Medicare negotiation lapses after 2028 and Teva's Austedo is repriced in 2027; how much of Ingrezza's Medicare revenue a negotiated price would remove is not disclosed.</w:t>
      </w:r>
    </w:p>
    <w:p>
      <w:pPr>
        <w:keepNext/>
        <w:spacing w:before="200" w:after="60"/>
      </w:pPr>
      <w:r>
        <w:rPr>
          <w:rFonts w:ascii="Calibri" w:hAnsi="Calibri" w:eastAsia="Calibri" w:cs="Calibri"/>
          <w:b/>
          <w:color w:val="1F3864"/>
          <w:sz w:val="24"/>
        </w:rPr>
        <w:t>7. What I need from you, and the clock</w:t>
      </w:r>
    </w:p>
    <w:p>
      <w:pPr>
        <w:spacing w:before="0" w:after="30"/>
        <w:ind w:left="403" w:hanging="288"/>
      </w:pPr>
      <w:r>
        <w:rPr>
          <w:rFonts w:ascii="Calibri" w:hAnsi="Calibri" w:eastAsia="Calibri" w:cs="Calibri"/>
          <w:sz w:val="19"/>
        </w:rPr>
        <w:t>1.  Moat: 3 (the rubric as written) or 4 (weighing patent runway over share loss). It decides BUY or STRONG BUY.</w:t>
      </w:r>
    </w:p>
    <w:p>
      <w:pPr>
        <w:spacing w:before="0" w:after="30"/>
        <w:ind w:left="403" w:hanging="288"/>
      </w:pPr>
      <w:r>
        <w:rPr>
          <w:rFonts w:ascii="Calibri" w:hAnsi="Calibri" w:eastAsia="Calibri" w:cs="Calibri"/>
          <w:sz w:val="19"/>
        </w:rPr>
        <w:t>2.  Rule 12 Base: which growth path is the Base case. Without a 2029 Medicare step it is 11.6% (clears 10%); with one, 9.5% (does not). The exemption lapses by statute, so a Base without the step is the optimistic reading; my lean is to include it, in which case NBIX fails the Base test whatever the price (the method caps the terminal multiple at today's, so a lower price does not help). The alternative is a written case that Crenessity, Vykat XR and the pipeline fully offset it. Before the print I will pull the street's 2028–29 estimates to see what they already assume.</w:t>
      </w:r>
    </w:p>
    <w:p>
      <w:pPr>
        <w:spacing w:before="0" w:after="30"/>
        <w:ind w:left="403" w:hanging="288"/>
      </w:pPr>
      <w:r>
        <w:rPr>
          <w:rFonts w:ascii="Calibri" w:hAnsi="Calibri" w:eastAsia="Calibri" w:cs="Calibri"/>
          <w:sz w:val="19"/>
        </w:rPr>
        <w:t>3.  Rule 11: treat Vykat XR safety as in the thesis (then I document it and size down), or wait for the FDA's and the company's response and the 10/26 print.</w:t>
      </w:r>
    </w:p>
    <w:p>
      <w:pPr>
        <w:spacing w:before="0" w:after="30"/>
        <w:ind w:left="403" w:hanging="288"/>
      </w:pPr>
      <w:r>
        <w:rPr>
          <w:rFonts w:ascii="Calibri" w:hAnsi="Calibri" w:eastAsia="Calibri" w:cs="Calibri"/>
          <w:sz w:val="19"/>
        </w:rPr>
        <w:t>4.  Status on CANDIDATES LIST: Needs Initial Screen → Ready for Tier 1 (quant 4 / 5 / 4, no Rule 5 flag). I have not changed it.</w:t>
      </w:r>
    </w:p>
    <w:p>
      <w:pPr>
        <w:spacing w:before="0" w:after="30"/>
        <w:ind w:left="403" w:hanging="288"/>
      </w:pPr>
      <w:r>
        <w:rPr>
          <w:rFonts w:ascii="Calibri" w:hAnsi="Calibri" w:eastAsia="Calibri" w:cs="Calibri"/>
          <w:sz w:val="19"/>
        </w:rPr>
        <w:t>5.  Clock: Q3 results 10/26 (Fidelity), so the 10/22 tranche is too early; the 11/7 tranche is the first realistic slot. I will re-check the safety reports, any FDA response and the print before then. SPOT (reports 10/22) gets the same workup next if you want a second name.</w:t>
      </w:r>
    </w:p>
    <w:p>
      <w:pPr>
        <w:spacing w:before="60" w:after="60"/>
      </w:pPr>
      <w:r>
        <w:rPr>
          <w:rFonts w:ascii="Calibri" w:hAnsi="Calibri" w:eastAsia="Calibri" w:cs="Calibri"/>
          <w:b w:val="0"/>
          <w:i/>
          <w:color w:val="595959"/>
          <w:sz w:val="17"/>
        </w:rPr>
        <w:t>Sources: SEC filings for Neurocrine (10-K FY2025; 10-Q Q2 2026; 8-K 5/18/26; Q2 2026 earnings release and call transcript via MarketBeat); Teva Q2 2026 and FY2025 results via press summaries; CMS 2027 negotiated prices via Becker's and Manatt summaries; Healio, STAT, Becker's and Fierce Pharma for the Vykat XR reports (secondary, tier 5); Fidelity research pages 10/6; yfinance consensus.</w:t>
      </w:r>
    </w:p>
    <w:sectPr w:rsidR="00FC693F" w:rsidRPr="0006063C" w:rsidSect="00034616">
      <w:footerReference w:type="default" r:id="rId9"/>
      <w:pgSz w:w="12240" w:h="15840"/>
      <w:pgMar w:top="864" w:right="936" w:bottom="1008" w:left="93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368" w:val="right"/>
      </w:tabs>
    </w:pPr>
    <w:r>
      <w:rPr>
        <w:rFonts w:ascii="Calibri" w:hAnsi="Calibri" w:eastAsia="Calibri" w:cs="Calibri"/>
        <w:color w:val="595959"/>
        <w:sz w:val="17"/>
      </w:rPr>
      <w:t>NBIX Part 12 workup — DRAFT</w:t>
      <w:tab/>
      <w:t xml:space="preserve">Page </w:t>
    </w:r>
    <w:r>
      <w:rPr>
        <w:rFonts w:ascii="Calibri" w:hAnsi="Calibri" w:eastAsia="Calibri" w:cs="Calibri"/>
        <w:color w:val="595959"/>
        <w:sz w:val="17"/>
      </w:rPr>
      <w:fldChar w:fldCharType="begin"/>
    </w:r>
    <w:r>
      <w:rPr>
        <w:rFonts w:ascii="Calibri" w:hAnsi="Calibri" w:eastAsia="Calibri" w:cs="Calibri"/>
        <w:color w:val="595959"/>
        <w:sz w:val="17"/>
      </w:rPr>
      <w:instrText xml:space="preserve"> PAGE </w:instrText>
    </w:r>
    <w:r>
      <w:rPr>
        <w:rFonts w:ascii="Calibri" w:hAnsi="Calibri" w:eastAsia="Calibri" w:cs="Calibri"/>
        <w:color w:val="595959"/>
        <w:sz w:val="17"/>
      </w:rPr>
      <w:fldChar w:fldCharType="separate"/>
    </w:r>
    <w:r>
      <w:rPr>
        <w:rFonts w:ascii="Calibri" w:hAnsi="Calibri" w:eastAsia="Calibri" w:cs="Calibri"/>
        <w:color w:val="595959"/>
        <w:sz w:val="17"/>
      </w:rPr>
      <w:t>1</w:t>
    </w:r>
    <w:r>
      <w:rPr>
        <w:rFonts w:ascii="Calibri" w:hAnsi="Calibri" w:eastAsia="Calibri" w:cs="Calibri"/>
        <w:color w:val="595959"/>
        <w:sz w:val="17"/>
      </w:rPr>
      <w:fldChar w:fldCharType="end"/>
    </w:r>
    <w:r>
      <w:rPr>
        <w:rFonts w:ascii="Calibri" w:hAnsi="Calibri" w:eastAsia="Calibri" w:cs="Calibri"/>
        <w:color w:val="595959"/>
        <w:sz w:val="17"/>
      </w:rPr>
      <w:t xml:space="preserve"> of </w:t>
    </w:r>
    <w:r>
      <w:rPr>
        <w:rFonts w:ascii="Calibri" w:hAnsi="Calibri" w:eastAsia="Calibri" w:cs="Calibri"/>
        <w:color w:val="595959"/>
        <w:sz w:val="17"/>
      </w:rPr>
      <w:fldChar w:fldCharType="begin"/>
    </w:r>
    <w:r>
      <w:rPr>
        <w:rFonts w:ascii="Calibri" w:hAnsi="Calibri" w:eastAsia="Calibri" w:cs="Calibri"/>
        <w:color w:val="595959"/>
        <w:sz w:val="17"/>
      </w:rPr>
      <w:instrText xml:space="preserve"> NUMPAGES </w:instrText>
    </w:r>
    <w:r>
      <w:rPr>
        <w:rFonts w:ascii="Calibri" w:hAnsi="Calibri" w:eastAsia="Calibri" w:cs="Calibri"/>
        <w:color w:val="595959"/>
        <w:sz w:val="17"/>
      </w:rPr>
      <w:fldChar w:fldCharType="separate"/>
    </w:r>
    <w:r>
      <w:rPr>
        <w:rFonts w:ascii="Calibri" w:hAnsi="Calibri" w:eastAsia="Calibri" w:cs="Calibri"/>
        <w:color w:val="595959"/>
        <w:sz w:val="17"/>
      </w:rPr>
      <w:t>1</w:t>
    </w:r>
    <w:r>
      <w:rPr>
        <w:rFonts w:ascii="Calibri" w:hAnsi="Calibri" w:eastAsia="Calibri" w:cs="Calibri"/>
        <w:color w:val="595959"/>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NBIX Part 12 workup (draft)</dc:title>
  <dc:subject/>
  <dc:creator>Landry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