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The Landry System</w:t>
      </w:r>
    </w:p>
    <w:p>
      <w:pPr>
        <w:jc w:val="center"/>
      </w:pPr>
      <w:r>
        <w:rPr>
          <w:rFonts w:ascii="Calibri" w:hAnsi="Calibri"/>
          <w:i/>
          <w:sz w:val="26"/>
        </w:rPr>
        <w:t>A Rules-Based Approach to Equity Investing</w:t>
      </w:r>
    </w:p>
    <w:p>
      <w:pPr>
        <w:spacing w:after="240" w:line="276" w:lineRule="auto"/>
      </w:pPr>
      <w:r>
        <w:rPr>
          <w:rFonts w:ascii="Calibri" w:hAnsi="Calibri"/>
          <w:sz w:val="22"/>
        </w:rPr>
        <w:t>The Landry System is a rules-based approach to picking and managing individual stocks, built to take emotion and guesswork out of the two hardest parts of investing: deciding what to buy, and deciding when to sell. Every candidate gets scored, not guessed at, across twelve measurable factors — things like free cash flow trends, revenue durability, competitive position, valuation relative to its own history, and price momentum — organized so that business quality always outweighs chart-watching. A stock can't earn a “Buy” rating just because it's moving well; the underlying business has to clear real fundamental hurdles first.</w:t>
      </w:r>
    </w:p>
    <w:p>
      <w:pPr>
        <w:spacing w:after="240" w:line="276" w:lineRule="auto"/>
      </w:pPr>
      <w:r>
        <w:rPr>
          <w:rFonts w:ascii="Calibri" w:hAnsi="Calibri"/>
          <w:sz w:val="22"/>
        </w:rPr>
        <w:t>None of the individual pieces here are new or experimental. Reading free cash flow and competitive position as the real measure of a business, using price trend and relative strength to confirm rather than override that fundamental read, and managing risk through position size, diversification, and valuation discipline — these are each long-standing, time-tested approaches that careful investors have relied on across multiple market cycles over the decades. What the System adds isn't a new indicator or a secret formula; it's the discipline of combining all of them, every time, in a fixed, explicit set of weights and hard rules — so the mix doesn't drift with mood, headlines, or whichever factor feels most persuasive in the moment, the way it does even for experienced investors who know better.</w:t>
      </w:r>
    </w:p>
    <w:p>
      <w:pPr>
        <w:spacing w:after="240" w:line="276" w:lineRule="auto"/>
      </w:pPr>
      <w:r>
        <w:rPr>
          <w:rFonts w:ascii="Calibri" w:hAnsi="Calibri"/>
          <w:sz w:val="22"/>
        </w:rPr>
        <w:t>Each factor gets a score and a confidence level, those roll up into a single composite number, and that number sorts every holding into one of five clear bands — Strong Buy, Buy, Watch List, Avoid, or Pass. A handful of hard floors sit underneath the math so no single good story can paper over a genuinely weak business: a bad enough score on even one core factor forces a closer look before any decision gets made, and two weak scores in the same area blocks a buy outright, no matter how good everything else looks. The same discipline governs selling — a position doesn't get cut just because the price dipped (short-term noise is explicitly not a sell signal), but it does get cut, on a defined schedule, once the actual business reasons it was bought for genuinely deteriorate.</w:t>
      </w:r>
    </w:p>
    <w:p>
      <w:pPr>
        <w:spacing w:after="240" w:line="276" w:lineRule="auto"/>
      </w:pPr>
      <w:r>
        <w:rPr>
          <w:rFonts w:ascii="Calibri" w:hAnsi="Calibri"/>
          <w:sz w:val="22"/>
        </w:rPr>
        <w:t>This isn't a backtest or a theory — it's been running against a real, live portfolio for months, and it's been tested by real situations along the way, not just hypothetical ones. A recent full review of every holding caught a position whose underlying profitability had genuinely cracked before the stock price fully caught up to it. A newly bought position that dipped the day after purchase led to discovering a real gap in how the system weighed a price-momentum warning against otherwise-strong fundamentals — and that gap became a new, permanent rule within days, with the full reasoning documented before it went in. Every rule, every rule change, and every stock score has a dated, written record behind it: why it exists, what evidence supports it, and what would have to be true to change it later. Nothing gets adjusted on a hunch after one bad week.</w:t>
      </w:r>
    </w:p>
    <w:p>
      <w:pPr>
        <w:spacing w:after="240" w:line="276" w:lineRule="auto"/>
      </w:pPr>
      <w:r>
        <w:rPr>
          <w:rFonts w:ascii="Calibri" w:hAnsi="Calibri"/>
          <w:sz w:val="22"/>
        </w:rPr>
        <w:t>Day to day, it's what decides exactly how much to buy, how fast to put new cash to work (more aggressively when the broader market has pulled back, automatically, rather than trying to time a bottom), how much any one stock or sector is allowed to dominate the portfolio, and when a position has genuinely gone wrong versus just had a rough quarter. The goal isn't to beat the market every quarter — it's a 3-to-10-year compounding approach that deliberately caps how much damage a severe downturn can do, with the rules doing the hard, unemotional work of staying disciplined when the market makes that difficult on your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