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 w:cs="Calibri"/>
          <w:b/>
          <w:color w:val="1F3864"/>
          <w:sz w:val="34"/>
        </w:rPr>
        <w:t>10/7/26 DCA — ENTRY PACK (DRAFT FOR FINAL REVIEW)</w:t>
      </w:r>
    </w:p>
    <w:p>
      <w:pPr>
        <w:spacing w:before="0" w:after="100"/>
      </w:pPr>
      <w:r>
        <w:rPr>
          <w:rFonts w:ascii="Calibri" w:hAnsi="Calibri" w:eastAsia="Calibri" w:cs="Calibri"/>
          <w:b w:val="0"/>
          <w:i/>
          <w:color w:val="595959"/>
          <w:sz w:val="19"/>
        </w:rPr>
        <w:t>Built 10/6/26 from your slate (DCA_Execution_SLATE_10-07-2026_V1, 10:36 ET). Prices are 10/6 quotes: SLB $50.16, VEEV $285.65. Nothing has been written to the live workbook; every workbook change below was rehearsed on a scratch copy (recalc 0 errors, audit clean apart from the two standing scoring_verification findings). These are your rulebook's outputs on your data, not a recommendation; every call below is yours.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10368"/>
      </w:tblGrid>
      <w:tr>
        <w:trPr>
          <w:cantSplit/>
        </w:trPr>
        <w:tc>
          <w:tcPr>
            <w:tcW w:w="10368" w:type="dxa"/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/>
                <w:sz w:val="21"/>
              </w:rPr>
              <w:t>Bottom line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sz w:val="21"/>
              </w:rPr>
              <w:t>• SLB does not clear the implied-return tests on consensus-based inputs: Base +6.2% against the &gt;10% bar, Bear -9.4% against ≥0% (Rule 12). The Entry Checklist reads DO NOT ENTER.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sz w:val="21"/>
              </w:rPr>
              <w:t>• VEEV clears the implied-return tests (Base +12.5%, Bear +1.9%). Rule 14 passes on trailing figures (40.4x) and fails on FY26 figures (50.6x) — which basis counts is your call. Its size rests on the Moat call (Moat 4: cap 4% = $28.8K; Moat 3: 2% = $14.4K).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sz w:val="21"/>
              </w:rPr>
              <w:t>• Cash floor (Rule 18) with the real balances: the slate leaves 3.98% cash, about $7.4K short of 5%. VEEV alone leaves 6.8%.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 w:eastAsia="Calibri" w:cs="Calibri"/>
                <w:b w:val="0"/>
                <w:sz w:val="21"/>
              </w:rPr>
              <w:t>• Found on the way: the Entry Checklist's Rule 14 formula reads the wrong columns, so it never actually tested the 50x ceiling (details in section 5). The fix is part of the draft.</w:t>
            </w:r>
          </w:p>
        </w:tc>
      </w:tr>
    </w:tbl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1. Rule 18 cash floor, with the real balances</w:t>
      </w:r>
    </w:p>
    <w:p>
      <w:pPr>
        <w:spacing w:before="0" w:after="60"/>
      </w:pPr>
      <w:r>
        <w:rPr>
          <w:rFonts w:ascii="Calibri" w:hAnsi="Calibri" w:eastAsia="Calibri" w:cs="Calibri"/>
          <w:b w:val="0"/>
          <w:i w:val="0"/>
          <w:sz w:val="20"/>
        </w:rPr>
        <w:t>Portfolio $720,089 at the latest closes after the 10/6 SPMO sale, using the slate's balances (Fidelity cash $24,367, Chase core cash $11,408) and the workbook's $36,854 VMFXX. Pre-trade cash, SPMO proceeds included: $77,237 (10.7%). Current Positions overstates Fidelity cash by about $15K (the personal withdrawals), so its own 5.9% post-trade figure is not usable.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3600"/>
        <w:gridCol w:w="900"/>
        <w:gridCol w:w="1300"/>
        <w:gridCol w:w="1400"/>
        <w:gridCol w:w="3168"/>
      </w:tblGrid>
      <w:tr>
        <w:trPr>
          <w:cantSplit/>
          <w:tblHeader/>
        </w:trPr>
        <w:tc>
          <w:tcPr>
            <w:tcW w:w="36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Scenario</w:t>
            </w:r>
          </w:p>
        </w:tc>
        <w:tc>
          <w:tcPr>
            <w:tcW w:w="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Buys</w:t>
            </w:r>
          </w:p>
        </w:tc>
        <w:tc>
          <w:tcPr>
            <w:tcW w:w="13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Cash after</w:t>
            </w:r>
          </w:p>
        </w:tc>
        <w:tc>
          <w:tcPr>
            <w:tcW w:w="14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% of portfolio</w:t>
            </w:r>
          </w:p>
        </w:tc>
        <w:tc>
          <w:tcPr>
            <w:tcW w:w="31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Against the 5% floor ($36.0K)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As slated: SLB 400 + VEEV 100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$48.6K</w:t>
            </w:r>
          </w:p>
        </w:tc>
        <w:tc>
          <w:tcPr>
            <w:tcW w:w="1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$28.6K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3.98%</w:t>
            </w:r>
          </w:p>
        </w:tc>
        <w:tc>
          <w:tcPr>
            <w:tcW w:w="31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short by $7.4K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VEEV 100 only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$28.4K</w:t>
            </w:r>
          </w:p>
        </w:tc>
        <w:tc>
          <w:tcPr>
            <w:tcW w:w="1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$48.8K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6.78%</w:t>
            </w:r>
          </w:p>
        </w:tc>
        <w:tc>
          <w:tcPr>
            <w:tcW w:w="31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clear by $12.8K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As slated, plus about 49 more SPMO shares sold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$48.6K</w:t>
            </w:r>
          </w:p>
        </w:tc>
        <w:tc>
          <w:tcPr>
            <w:tcW w:w="13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$36.1K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5.0%</w:t>
            </w:r>
          </w:p>
        </w:tc>
        <w:tc>
          <w:tcPr>
            <w:tcW w:w="31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at the floor, no cushion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As slated, plus about 72 more SPMO shares sold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$48.6K</w:t>
            </w:r>
          </w:p>
        </w:tc>
        <w:tc>
          <w:tcPr>
            <w:tcW w:w="13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$39.7K</w:t>
            </w:r>
          </w:p>
        </w:tc>
        <w:tc>
          <w:tcPr>
            <w:tcW w:w="14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5.5%</w:t>
            </w:r>
          </w:p>
        </w:tc>
        <w:tc>
          <w:tcPr>
            <w:tcW w:w="31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clear by $3.7K</w:t>
            </w:r>
          </w:p>
        </w:tc>
      </w:tr>
    </w:tbl>
    <w:p>
      <w:pPr>
        <w:spacing w:before="40" w:after="60"/>
      </w:pPr>
      <w:r>
        <w:rPr>
          <w:rFonts w:ascii="Calibri" w:hAnsi="Calibri" w:eastAsia="Calibri" w:cs="Calibri"/>
          <w:b w:val="0"/>
          <w:i/>
          <w:color w:val="595959"/>
          <w:sz w:val="19"/>
        </w:rPr>
        <w:t>SPMO is $153.38; 70 sh remain at Fidelity and 76.9 at Chase. The withdrawals also need adding back in the Drawdown Log (the 9/30 entry did the same): I need the amounts and dates.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2. VEEV — Part 10 free cash flow by hand, and the Rule 14 ceiling</w:t>
      </w:r>
    </w:p>
    <w:p>
      <w:pPr>
        <w:spacing w:before="0" w:after="60"/>
      </w:pPr>
      <w:r>
        <w:rPr>
          <w:rFonts w:ascii="Calibri" w:hAnsi="Calibri" w:eastAsia="Calibri" w:cs="Calibri"/>
          <w:b w:val="0"/>
          <w:i w:val="0"/>
          <w:sz w:val="20"/>
        </w:rPr>
        <w:t>Part 10 deducts stock comp and capitalized costs. SEC's feed has no purchases-of-PP&amp;E fact for VEEV, which is why the trailing-12-month tool refused; the cash-flow statement's investing lines reconcile to net investing (-$1,104.4M in FY26) with only the $29.1M software/capex line, so I treated that line as total capex.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2700"/>
        <w:gridCol w:w="1600"/>
        <w:gridCol w:w="1600"/>
        <w:gridCol w:w="4468"/>
      </w:tblGrid>
      <w:tr>
        <w:trPr>
          <w:cantSplit/>
          <w:tblHeader/>
        </w:trPr>
        <w:tc>
          <w:tcPr>
            <w:tcW w:w="2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$M</w:t>
            </w:r>
          </w:p>
        </w:tc>
        <w:tc>
          <w:tcPr>
            <w:tcW w:w="16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FY26 (to 1/31/26)</w:t>
            </w:r>
          </w:p>
        </w:tc>
        <w:tc>
          <w:tcPr>
            <w:tcW w:w="16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TTM (to 7/31/26)</w:t>
            </w:r>
          </w:p>
        </w:tc>
        <w:tc>
          <w:tcPr>
            <w:tcW w:w="44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Source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Cash from operations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1,415.2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1,665.5</w:t>
            </w:r>
          </w:p>
        </w:tc>
        <w:tc>
          <w:tcPr>
            <w:tcW w:w="44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10-K FY26; 10-Q Q2 FY27 (FY + 6M − prior 6M)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Capex incl. capitalized software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(29.1)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(26.7)</w:t>
            </w:r>
          </w:p>
        </w:tc>
        <w:tc>
          <w:tcPr>
            <w:tcW w:w="44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XBRL PaymentsForSoftware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Stock-based compensation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(472.7)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(494.6)</w:t>
            </w:r>
          </w:p>
        </w:tc>
        <w:tc>
          <w:tcPr>
            <w:tcW w:w="44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cash-flow statement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FCF after stock comp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913.4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1,144.2</w:t>
            </w:r>
          </w:p>
        </w:tc>
        <w:tc>
          <w:tcPr>
            <w:tcW w:w="44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Part 10 definition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Per share (161.9M sh)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$5.64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$7.07</w:t>
            </w:r>
          </w:p>
        </w:tc>
        <w:tc>
          <w:tcPr>
            <w:tcW w:w="44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P/FCF at $285.65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50.6x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40.4x</w:t>
            </w:r>
          </w:p>
        </w:tc>
        <w:tc>
          <w:tcPr>
            <w:tcW w:w="44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market cap $46.25B; net cash $7.1B not credited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Price at which P/FCF = 50x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$282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$353</w:t>
            </w:r>
          </w:p>
        </w:tc>
        <w:tc>
          <w:tcPr>
            <w:tcW w:w="44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</w:r>
          </w:p>
        </w:tc>
      </w:tr>
    </w:tbl>
    <w:p>
      <w:pPr>
        <w:spacing w:before="60" w:after="40"/>
      </w:pPr>
      <w:r>
        <w:rPr>
          <w:rFonts w:ascii="Calibri" w:hAnsi="Calibri" w:eastAsia="Calibri" w:cs="Calibri"/>
          <w:b w:val="0"/>
          <w:i w:val="0"/>
          <w:sz w:val="20"/>
        </w:rPr>
        <w:t>Reading: the Rule 14 ceiling is passed on trailing figures with room (40.4x), and failed on FY26 figures today ($285.65 is above the $282 line; the exception needs consensus FCF growth above 30%, and consensus is about 12.5%). My reading is trailing, because the rule speaks of the current multiple and the FY26 year ended eight months ago; the System's own policy (10/5) keeps fiscal-year figures as the record for scores, so you may prefer that. The sheet shows either outcome depending on the P/FCF typed. The Fed overlay (P/FCF above 40x, −1% max size) applies on either basis (40.4x is barely over).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3. VEEV Moat re-check (Open Items #24)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2700"/>
        <w:gridCol w:w="5668"/>
        <w:gridCol w:w="2000"/>
      </w:tblGrid>
      <w:tr>
        <w:trPr>
          <w:cantSplit/>
          <w:tblHeader/>
        </w:trPr>
        <w:tc>
          <w:tcPr>
            <w:tcW w:w="2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Rubric cross-check</w:t>
            </w:r>
          </w:p>
        </w:tc>
        <w:tc>
          <w:tcPr>
            <w:tcW w:w="56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Evidence</w:t>
            </w:r>
          </w:p>
        </w:tc>
        <w:tc>
          <w:tcPr>
            <w:tcW w:w="20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Read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(a) Pricing power above CPI without volume loss</w:t>
            </w:r>
          </w:p>
        </w:tc>
        <w:tc>
          <w:tcPr>
            <w:tcW w:w="5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Not disclosed. The Q2 FY27 release says nothing on pricing or retention.</w:t>
            </w:r>
          </w:p>
        </w:tc>
        <w:tc>
          <w:tcPr>
            <w:tcW w:w="20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not evidenced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(b) Gross margin vs industry</w:t>
            </w:r>
          </w:p>
        </w:tc>
        <w:tc>
          <w:tcPr>
            <w:tcW w:w="5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75.5% in FY26, up from 71.3% in FY24 (10-K).</w:t>
            </w:r>
          </w:p>
        </w:tc>
        <w:tc>
          <w:tcPr>
            <w:tcW w:w="20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support only (rubric)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(c) Retention / switching costs</w:t>
            </w:r>
          </w:p>
        </w:tc>
        <w:tc>
          <w:tcPr>
            <w:tcW w:w="5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GxP-validated deployments; 12 of top-20 biopharmas committed to Vault CRM (+2 in Aug), 5 live, &gt;180 customers live; top-10 customers a steady 28% of revenue.</w:t>
            </w:r>
          </w:p>
        </w:tc>
        <w:tc>
          <w:tcPr>
            <w:tcW w:w="20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evidenced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(d) Share trend, 3+ years</w:t>
            </w:r>
          </w:p>
        </w:tc>
        <w:tc>
          <w:tcPr>
            <w:tcW w:w="5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Management says 'over 70%' CRM share against ~80% of seats in earlier third-party counts; Salesforce has Takeda, Pfizer, AstraZeneca, Novartis (third-party sources); third-party pages put the end of the Salesforce-platform wind-down at 12/31/2029.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mixed</w:t>
            </w:r>
          </w:p>
        </w:tc>
      </w:tr>
    </w:tbl>
    <w:p>
      <w:pPr>
        <w:spacing w:before="60" w:after="40"/>
      </w:pPr>
      <w:r>
        <w:rPr>
          <w:rFonts w:ascii="Calibri" w:hAnsi="Calibri" w:eastAsia="Calibri" w:cs="Calibri"/>
          <w:b w:val="0"/>
          <w:i w:val="0"/>
          <w:sz w:val="20"/>
        </w:rPr>
        <w:t>New since 10/2: nothing I could find that changes the evidence. The primary source remains Veeva's 8/26/26 release (revenue $928.0M, +18%; subscription $766.8M, +16%; 12 top-20 commitments; FY27 revenue guide $3,682–3,687M). Third-party pages disagree on counts (one says 14 top-20 commitments; the company says 12), so I used the company's.</w:t>
      </w:r>
    </w:p>
    <w:p>
      <w:pPr>
        <w:spacing w:before="0" w:after="40"/>
      </w:pPr>
      <w:r>
        <w:rPr>
          <w:rFonts w:ascii="Calibri" w:hAnsi="Calibri" w:eastAsia="Calibri" w:cs="Calibri"/>
          <w:b w:val="0"/>
          <w:i w:val="0"/>
          <w:sz w:val="20"/>
        </w:rPr>
        <w:t>Rubric read, unchanged from 10/2: one clean check (c), so a strict 4 is not met; 3 is defensible, and 4 holds only if you count gross margin or the mixed share trend. Composite: Moat 4 / Visibility 5 = 81.6 STRONG BUY; Moat 3 / Visibility 5 = 78.6 BUY; Moat 4 / Visibility 4 = 79.6 BUY; Moat 3 / Visibility 4 = 76.6 BUY. Visibility is the thin one too: subscription is 82.6% of Q2 revenue (83.5% a year ago, 84.0% for FY26) against the 80% line.</w:t>
      </w:r>
    </w:p>
    <w:p>
      <w:pPr>
        <w:spacing w:before="0" w:after="40"/>
      </w:pPr>
      <w:r>
        <w:rPr>
          <w:rFonts w:ascii="Calibri" w:hAnsi="Calibri" w:eastAsia="Calibri" w:cs="Calibri"/>
          <w:b w:val="0"/>
          <w:i w:val="0"/>
          <w:sz w:val="20"/>
        </w:rPr>
        <w:t>Caps at today's $720.1K: Moat 4 (STRONG BUY, Fed −1%) = 4% = $28.8K, so 100 shares fit up to $288/share; Moat 3 (BUY, Fed −1%) = 2% = $14.4K, about 50 shares.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4. Implied-return tests (Base &gt;10%, Rule 12 Bear ≥0%, Rule 13 tags): the numbers for the calculator rows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900"/>
        <w:gridCol w:w="1400"/>
        <w:gridCol w:w="1500"/>
        <w:gridCol w:w="1600"/>
        <w:gridCol w:w="1600"/>
        <w:gridCol w:w="1668"/>
        <w:gridCol w:w="1700"/>
      </w:tblGrid>
      <w:tr>
        <w:trPr>
          <w:cantSplit/>
          <w:tblHeader/>
        </w:trPr>
        <w:tc>
          <w:tcPr>
            <w:tcW w:w="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</w:r>
          </w:p>
        </w:tc>
        <w:tc>
          <w:tcPr>
            <w:tcW w:w="14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Case</w:t>
            </w:r>
          </w:p>
        </w:tc>
        <w:tc>
          <w:tcPr>
            <w:tcW w:w="15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Yr-5 FCF/sh</w:t>
            </w:r>
          </w:p>
        </w:tc>
        <w:tc>
          <w:tcPr>
            <w:tcW w:w="16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Terminal P/FCF</w:t>
            </w:r>
          </w:p>
        </w:tc>
        <w:tc>
          <w:tcPr>
            <w:tcW w:w="16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Cum. distrib/sh</w:t>
            </w:r>
          </w:p>
        </w:tc>
        <w:tc>
          <w:tcPr>
            <w:tcW w:w="16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Implied annual</w:t>
            </w:r>
          </w:p>
        </w:tc>
        <w:tc>
          <w:tcPr>
            <w:tcW w:w="1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Tag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SLB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Base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$3.63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16.8x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$6.65</w:t>
            </w:r>
          </w:p>
        </w:tc>
        <w:tc>
          <w:tcPr>
            <w:tcW w:w="1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+6.2%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Likely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$50.16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Bear (trough)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$1.82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13.6x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$5.90</w:t>
            </w:r>
          </w:p>
        </w:tc>
        <w:tc>
          <w:tcPr>
            <w:tcW w:w="1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-9.4%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Possible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Bull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$5.00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17.7x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$7.05</w:t>
            </w:r>
          </w:p>
        </w:tc>
        <w:tc>
          <w:tcPr>
            <w:tcW w:w="1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+13.7%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Possible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VEEV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Base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$12.73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40.4x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$0</w:t>
            </w:r>
          </w:p>
        </w:tc>
        <w:tc>
          <w:tcPr>
            <w:tcW w:w="1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+12.5%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Likely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$285.65</w:t>
            </w:r>
          </w:p>
        </w:tc>
        <w:tc>
          <w:tcPr>
            <w:tcW w:w="1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Bear</w:t>
            </w:r>
          </w:p>
        </w:tc>
        <w:tc>
          <w:tcPr>
            <w:tcW w:w="15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$9.57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32.7x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$0</w:t>
            </w:r>
          </w:p>
        </w:tc>
        <w:tc>
          <w:tcPr>
            <w:tcW w:w="16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+1.9%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Possible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</w:r>
          </w:p>
        </w:tc>
        <w:tc>
          <w:tcPr>
            <w:tcW w:w="14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Bull</w:t>
            </w:r>
          </w:p>
        </w:tc>
        <w:tc>
          <w:tcPr>
            <w:tcW w:w="15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$15.16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44.5x</w:t>
            </w:r>
          </w:p>
        </w:tc>
        <w:tc>
          <w:tcPr>
            <w:tcW w:w="16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$0</w:t>
            </w:r>
          </w:p>
        </w:tc>
        <w:tc>
          <w:tcPr>
            <w:tcW w:w="16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+18.7%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Possible</w:t>
            </w:r>
          </w:p>
        </w:tc>
      </w:tr>
    </w:tbl>
    <w:p>
      <w:pPr>
        <w:spacing w:before="60" w:after="40"/>
      </w:pPr>
      <w:r>
        <w:rPr>
          <w:rFonts w:ascii="Calibri" w:hAnsi="Calibri" w:eastAsia="Calibri" w:cs="Calibri"/>
          <w:b w:val="0"/>
          <w:i w:val="0"/>
          <w:sz w:val="19"/>
        </w:rPr>
        <w:t>SLB inputs (cyclical, so normalized): TTM FCF after stock comp $4,211M (CFO $6,533M − capex $1,979M − SBC $343M) = $2.84/sh, 17.7x; normalized to the five-window mid-cycle margin (×0.878) = $2.49; growth 7.8%/yr per share (consensus revenue +5.7%/yr plus ~2% buybacks); terminal 16.8x, the lower of today's 17.7x and the 2022–25 year-end median; dividends $1.18 growing 4%. Bear (trough-cycle): revenue flat, FCF margin 6.7% (the five-window low less the wider capex deduction), buybacks −2%/yr, terminal 13.6x (the 2022–25 low), dividend flat. Bull: 12%/yr, terminal = current. Net debt $8.7B (debt $12.8B, cash $4.1B), not deducted separately because P/FCF is on market cap; no acquisition or nonrecurring adjustments; USD.</w:t>
      </w:r>
    </w:p>
    <w:p>
      <w:pPr>
        <w:spacing w:before="0" w:after="60"/>
      </w:pPr>
      <w:r>
        <w:rPr>
          <w:rFonts w:ascii="Calibri" w:hAnsi="Calibri" w:eastAsia="Calibri" w:cs="Calibri"/>
          <w:b w:val="0"/>
          <w:i w:val="0"/>
          <w:sz w:val="19"/>
        </w:rPr>
        <w:t>VEEV inputs: TTM FCF after stock comp $1,144M = $7.07/sh, 40.4x; Base growth 12.5%/yr (consensus EPS $8.10 FY26 → $10.25 FY28, already per share, so buybacks are in it); terminal = today's 40.4x (the FY23–26 year-end median of 58.5x is higher, so the cap is the current multiple); Bear growth halved to 6.25% with a terminal at 81% of current (the same ratio V and COST used) and stays ≥0% down to a 29.9x terminal; Bull +4 points of growth, terminal 1.1× current. Net cash $7.1B not credited; Copli ($81.8M) immaterial; USD. The tags are my proposals.</w:t>
      </w:r>
    </w:p>
    <w:p>
      <w:pPr>
        <w:spacing w:before="0" w:after="40"/>
      </w:pPr>
      <w:r>
        <w:rPr>
          <w:rFonts w:ascii="Calibri" w:hAnsi="Calibri" w:eastAsia="Calibri" w:cs="Calibri"/>
          <w:b w:val="0"/>
          <w:i w:val="0"/>
          <w:sz w:val="20"/>
        </w:rPr>
        <w:t>What SLB would need: Base clears 10% only with per-share FCF growth of about 9.3%/yr or more at a 16.8x terminal (consensus ≈ 7.8%), or a terminal of 20x at 6% growth. Base return by growth and terminal multiple: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3400"/>
        <w:gridCol w:w="1700"/>
        <w:gridCol w:w="1700"/>
        <w:gridCol w:w="1868"/>
        <w:gridCol w:w="1700"/>
      </w:tblGrid>
      <w:tr>
        <w:trPr>
          <w:cantSplit/>
          <w:tblHeader/>
        </w:trPr>
        <w:tc>
          <w:tcPr>
            <w:tcW w:w="34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Un-normalized TTM FCF/sh $2.84</w:t>
            </w:r>
          </w:p>
        </w:tc>
        <w:tc>
          <w:tcPr>
            <w:tcW w:w="1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13.6x</w:t>
            </w:r>
          </w:p>
        </w:tc>
        <w:tc>
          <w:tcPr>
            <w:tcW w:w="1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16.8x</w:t>
            </w:r>
          </w:p>
        </w:tc>
        <w:tc>
          <w:tcPr>
            <w:tcW w:w="18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17.7x (current)</w:t>
            </w:r>
          </w:p>
        </w:tc>
        <w:tc>
          <w:tcPr>
            <w:tcW w:w="1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20.0x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6% growth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+3.0%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+7.0%</w:t>
            </w:r>
          </w:p>
        </w:tc>
        <w:tc>
          <w:tcPr>
            <w:tcW w:w="18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+8.0%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+10.5%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8% growth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+4.8%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+8.9%</w:t>
            </w:r>
          </w:p>
        </w:tc>
        <w:tc>
          <w:tcPr>
            <w:tcW w:w="18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+9.9%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+12.4%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10% growth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+6.5%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+10.7%</w:t>
            </w:r>
          </w:p>
        </w:tc>
        <w:tc>
          <w:tcPr>
            <w:tcW w:w="18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+11.8%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+14.3%</w:t>
            </w:r>
          </w:p>
        </w:tc>
      </w:tr>
      <w:tr>
        <w:trPr>
          <w:cantSplit/>
        </w:trPr>
        <w:tc>
          <w:tcPr>
            <w:tcW w:w="34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12% growth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+8.3%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+12.6%</w:t>
            </w:r>
          </w:p>
        </w:tc>
        <w:tc>
          <w:tcPr>
            <w:tcW w:w="18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+13.7%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+16.3%</w:t>
            </w:r>
          </w:p>
        </w:tc>
      </w:tr>
    </w:tbl>
    <w:p>
      <w:pPr>
        <w:spacing w:before="60" w:after="40"/>
      </w:pPr>
      <w:r>
        <w:rPr>
          <w:rFonts w:ascii="Calibri" w:hAnsi="Calibri" w:eastAsia="Calibri" w:cs="Calibri"/>
          <w:b w:val="0"/>
          <w:i w:val="0"/>
          <w:sz w:val="20"/>
        </w:rPr>
        <w:t>The Bear cannot clear at $50 under a trough assumption: it needs Year-5 FCF/sh × multiple of about $44, which at a 13.6x trough multiple means FCF/sh $3.26, 15% above today's. Only a written structural-change case, approved by you, would move SLB past these tests.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5. What I would write to the workbook after your OK (rehearsed on a scratch copy)</w:t>
      </w:r>
    </w:p>
    <w:p>
      <w:pPr>
        <w:spacing w:before="0" w:after="40"/>
      </w:pPr>
      <w:r>
        <w:rPr>
          <w:rFonts w:ascii="Calibri" w:hAnsi="Calibri" w:eastAsia="Calibri" w:cs="Calibri"/>
          <w:b w:val="0"/>
          <w:i w:val="0"/>
          <w:sz w:val="20"/>
        </w:rPr>
        <w:t>Entry Checklist — extend EntryChecklistTable to A2:S51 (rows 48–51 = KGS, ABT, SLB, VEEV, same formulas as row 47; KGS and ABT carry no inputs). Inputs, as typed constants like V's row:</w:t>
      </w:r>
    </w:p>
    <w:tbl>
      <w:tblPr>
        <w:tblW w:w="1036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20" w:type="dxa"/>
          <w:left w:w="90" w:type="dxa"/>
          <w:bottom w:w="20" w:type="dxa"/>
          <w:right w:w="90" w:type="dxa"/>
        </w:tblCellMar>
        <w:tblLook w:firstColumn="1" w:firstRow="1" w:lastColumn="0" w:lastRow="0" w:noHBand="0" w:noVBand="1" w:val="04A0"/>
      </w:tblPr>
      <w:tblGrid>
        <w:gridCol w:w="900"/>
        <w:gridCol w:w="800"/>
        <w:gridCol w:w="900"/>
        <w:gridCol w:w="1700"/>
        <w:gridCol w:w="900"/>
        <w:gridCol w:w="800"/>
        <w:gridCol w:w="1100"/>
        <w:gridCol w:w="3268"/>
      </w:tblGrid>
      <w:tr>
        <w:trPr>
          <w:cantSplit/>
          <w:tblHeader/>
        </w:trPr>
        <w:tc>
          <w:tcPr>
            <w:tcW w:w="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Row</w:t>
            </w:r>
          </w:p>
        </w:tc>
        <w:tc>
          <w:tcPr>
            <w:tcW w:w="8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F Rule 9</w:t>
            </w:r>
          </w:p>
        </w:tc>
        <w:tc>
          <w:tcPr>
            <w:tcW w:w="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G Rule 10</w:t>
            </w:r>
          </w:p>
        </w:tc>
        <w:tc>
          <w:tcPr>
            <w:tcW w:w="17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I Rule 11</w:t>
            </w:r>
          </w:p>
        </w:tc>
        <w:tc>
          <w:tcPr>
            <w:tcW w:w="9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J in thesis</w:t>
            </w:r>
          </w:p>
        </w:tc>
        <w:tc>
          <w:tcPr>
            <w:tcW w:w="8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O P/FCF</w:t>
            </w:r>
          </w:p>
        </w:tc>
        <w:tc>
          <w:tcPr>
            <w:tcW w:w="1100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P cons. growth</w:t>
            </w:r>
          </w:p>
        </w:tc>
        <w:tc>
          <w:tcPr>
            <w:tcW w:w="3268" w:type="dxa"/>
            <w:shd w:val="clear" w:color="auto" w:fill="E7E6E6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color w:val="1F3864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50 SLB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Y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Y</w:t>
            </w:r>
          </w:p>
        </w:tc>
        <w:tc>
          <w:tcPr>
            <w:tcW w:w="17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Y (Q3 print 10/23)</w:t>
            </w:r>
          </w:p>
        </w:tc>
        <w:tc>
          <w:tcPr>
            <w:tcW w:w="9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Y</w:t>
            </w:r>
          </w:p>
        </w:tc>
        <w:tc>
          <w:tcPr>
            <w:tcW w:w="8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17.7</w:t>
            </w:r>
          </w:p>
        </w:tc>
        <w:tc>
          <w:tcPr>
            <w:tcW w:w="1100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4.7%</w:t>
            </w:r>
          </w:p>
        </w:tc>
        <w:tc>
          <w:tcPr>
            <w:tcW w:w="3268" w:type="dxa"/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Base and Bear tests FAIL, the rest PASS → NO / DO NOT ENTER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/>
                <w:sz w:val="19"/>
              </w:rPr>
              <w:t>51 VEEV</w:t>
            </w:r>
          </w:p>
        </w:tc>
        <w:tc>
          <w:tcPr>
            <w:tcW w:w="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Y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Y</w:t>
            </w:r>
          </w:p>
        </w:tc>
        <w:tc>
          <w:tcPr>
            <w:tcW w:w="17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N</w:t>
            </w:r>
          </w:p>
        </w:tc>
        <w:tc>
          <w:tcPr>
            <w:tcW w:w="9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—</w:t>
            </w:r>
          </w:p>
        </w:tc>
        <w:tc>
          <w:tcPr>
            <w:tcW w:w="8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40.4</w:t>
            </w:r>
          </w:p>
        </w:tc>
        <w:tc>
          <w:tcPr>
            <w:tcW w:w="1100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12.5%</w:t>
            </w:r>
          </w:p>
        </w:tc>
        <w:tc>
          <w:tcPr>
            <w:tcW w:w="3268" w:type="dxa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 w:cs="Calibri"/>
                <w:b w:val="0"/>
                <w:sz w:val="19"/>
              </w:rPr>
              <w:t>all PASS → YES / Initiate: Standard initial size</w:t>
            </w:r>
          </w:p>
        </w:tc>
      </w:tr>
    </w:tbl>
    <w:p>
      <w:pPr>
        <w:spacing w:before="60" w:after="40"/>
      </w:pPr>
      <w:r>
        <w:rPr>
          <w:rFonts w:ascii="Calibri" w:hAnsi="Calibri" w:eastAsia="Calibri" w:cs="Calibri"/>
          <w:b w:val="0"/>
          <w:i w:val="0"/>
          <w:sz w:val="20"/>
        </w:rPr>
        <w:t>Implied-Return Calculator — rows 51 (SLB) and 52 (VEEV) with the section 4 figures; tag drop-downs and PASS/FAIL colours extended to row 52. Action Items E28/E29 ranges extended to row 51 (they stopped at 47; the audit caught it). Schema Reference C34 and C58 updated.</w:t>
      </w:r>
    </w:p>
    <w:p>
      <w:pPr>
        <w:spacing w:before="0" w:after="40"/>
      </w:pPr>
      <w:r>
        <w:rPr>
          <w:rFonts w:ascii="Calibri" w:hAnsi="Calibri" w:eastAsia="Calibri" w:cs="Calibri"/>
          <w:b w:val="0"/>
          <w:i w:val="0"/>
          <w:sz w:val="20"/>
        </w:rPr>
        <w:t>Rule 14 formula fix (Q3:Q51). The existing formula reads N (the Rule 13 tag check) as the P/FCF and O (the real P/FCF) as the growth rate, and L (Base case) where Rule 14(b) names the Bear case: =IF(OR(N="",O=""),"",IF(N&lt;=50,…,IF(AND(O&gt;0.3,L="PASS"),…))). The word "OK" is never &lt;= 50, so whenever the Base case passed it printed "PASS — exception met", whatever the multiple (V's row says that although its 34.4x is under 50x): the ceiling was never enforced. The fix keeps the structure and points it at O, P and M. Existing rows: V becomes "PASS — within ceiling" and stays YES; COST stays FAIL; nothing else has a P/FCF typed.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6. Other gates, refreshed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S&amp;P 500 at a new high (7,840 vs 7,799 prior): baseline tranche, no multiplier. Macro: only the Fed-tightening overlay is active (fed funds 3.88 vs 3.62 six months ago: +0.26 against the 0.25 trigger, so a 0.01 change flips it); curve not inverted, HY spreads under 600, SPY above its 200-week MA.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Staging: both above their 200-week MA (SLB +13%, VEEV +34%) with positive monthly MACD, so standard size; no Rule 5. Rule 38 (10/5 data): SLB max 0.61 (SCHD), VEEV 0.51 (ADBE). Sectors after the buys: Healthcare 8.4%, Energy 2.8%.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Rule 11: SLB reports 10/23 (16 days out); VEEV 11/18 unconfirmed (Yahoo 11/25). Monitor: VEEV carries 'DUE — insider activity' from a 9/16 sale that predates the 10/2 scoring; SLB is −10.5% from its 9/13 score price ($56.06), under the ±15% watch line.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7. After the fills (I do these when you report them)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Current Positions: the 10/6 SPMO sale (Fidelity 100 → 70 sh) and the real cash balances; new rows for the buys (row insertions, so I rehearse first and you re-open it in Excel); Drawdown Log add-back of the withdrawals.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Performance Tracking: one System lot per purchase (`perf_tab.add_lot`); the SPMO sale is a partial sale of a baseline lot, which `close_lot` does not do yet, so I split the lot first.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•  `landry prices add` for each new ticker (Price History, Returns, Correlation Matrix), Monitor Category → Owned plus `monitor stamp`, Journal entry, Process Checklist rows 45–55, Open Items #24.</w:t>
      </w:r>
    </w:p>
    <w:p>
      <w:pPr>
        <w:keepNext/>
        <w:spacing w:before="200" w:after="60"/>
      </w:pPr>
      <w:r>
        <w:rPr>
          <w:rFonts w:ascii="Calibri" w:hAnsi="Calibri" w:eastAsia="Calibri" w:cs="Calibri"/>
          <w:b/>
          <w:color w:val="1F3864"/>
          <w:sz w:val="24"/>
        </w:rPr>
        <w:t>8. For you before the open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1.  SLB: drop it, resize it, or write the structural-change case? (As drafted it fails the Base and Bear tests, and dropping it also fixes the cash floor.)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2.  VEEV Rule 14 basis: trailing (40.4x, passes) or FY26 (50.6x, fails today)?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3.  VEEV Moat: 3 or 4. It sets the size cap ($14.4K or $28.8K), and 100 shares fit the 4% cap only up to $288.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4.  Cash floor: which route (SLB out, more SPMO, or smaller buys), and the withdrawal amounts and dates.</w:t>
      </w:r>
    </w:p>
    <w:p>
      <w:pPr>
        <w:spacing w:before="0" w:after="30"/>
        <w:ind w:left="403" w:hanging="288"/>
      </w:pPr>
      <w:r>
        <w:rPr>
          <w:rFonts w:ascii="Calibri" w:hAnsi="Calibri" w:eastAsia="Calibri" w:cs="Calibri"/>
          <w:sz w:val="19"/>
        </w:rPr>
        <w:t>5.  Approve the workbook writes in section 5, including the Rule 14 formula fix; I refresh prices at the open and re-run the gates.</w:t>
      </w:r>
    </w:p>
    <w:p>
      <w:pPr>
        <w:spacing w:before="60" w:after="60"/>
      </w:pPr>
      <w:r>
        <w:rPr>
          <w:rFonts w:ascii="Calibri" w:hAnsi="Calibri" w:eastAsia="Calibri" w:cs="Calibri"/>
          <w:b w:val="0"/>
          <w:i/>
          <w:color w:val="595959"/>
          <w:sz w:val="17"/>
        </w:rPr>
        <w:t>Sources: Veeva Q2 FY27 release (8/26/26); Veeva 10-K FY26 and 10-Q Q2 FY27 (SEC XBRL); SLB and consensus via yfinance and the SEC TTM tool; third-party CRM coverage (low tier) for the Salesforce wins.</w:t>
      </w:r>
    </w:p>
    <w:sectPr w:rsidR="00FC693F" w:rsidRPr="0006063C" w:rsidSect="00034616">
      <w:footerReference w:type="default" r:id="rId9"/>
      <w:pgSz w:w="12240" w:h="15840"/>
      <w:pgMar w:top="864" w:right="936" w:bottom="1008" w:left="936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368" w:val="right"/>
      </w:tabs>
    </w:pPr>
    <w:r>
      <w:rPr>
        <w:rFonts w:ascii="Calibri" w:hAnsi="Calibri" w:eastAsia="Calibri" w:cs="Calibri"/>
        <w:color w:val="595959"/>
        <w:sz w:val="17"/>
      </w:rPr>
      <w:t>10/7/26 DCA entry pack — DRAFT</w:t>
      <w:tab/>
      <w:t xml:space="preserve">Page </w:t>
    </w:r>
    <w:r>
      <w:rPr>
        <w:rFonts w:ascii="Calibri" w:hAnsi="Calibri" w:eastAsia="Calibri" w:cs="Calibri"/>
        <w:color w:val="595959"/>
        <w:sz w:val="17"/>
      </w:rPr>
      <w:fldChar w:fldCharType="begin"/>
    </w:r>
    <w:r>
      <w:rPr>
        <w:rFonts w:ascii="Calibri" w:hAnsi="Calibri" w:eastAsia="Calibri" w:cs="Calibri"/>
        <w:color w:val="595959"/>
        <w:sz w:val="17"/>
      </w:rPr>
      <w:instrText xml:space="preserve"> PAGE </w:instrText>
    </w:r>
    <w:r>
      <w:rPr>
        <w:rFonts w:ascii="Calibri" w:hAnsi="Calibri" w:eastAsia="Calibri" w:cs="Calibri"/>
        <w:color w:val="595959"/>
        <w:sz w:val="17"/>
      </w:rPr>
      <w:fldChar w:fldCharType="separate"/>
    </w:r>
    <w:r>
      <w:rPr>
        <w:rFonts w:ascii="Calibri" w:hAnsi="Calibri" w:eastAsia="Calibri" w:cs="Calibri"/>
        <w:color w:val="595959"/>
        <w:sz w:val="17"/>
      </w:rPr>
      <w:t>1</w:t>
    </w:r>
    <w:r>
      <w:rPr>
        <w:rFonts w:ascii="Calibri" w:hAnsi="Calibri" w:eastAsia="Calibri" w:cs="Calibri"/>
        <w:color w:val="595959"/>
        <w:sz w:val="17"/>
      </w:rPr>
      <w:fldChar w:fldCharType="end"/>
    </w:r>
    <w:r>
      <w:rPr>
        <w:rFonts w:ascii="Calibri" w:hAnsi="Calibri" w:eastAsia="Calibri" w:cs="Calibri"/>
        <w:color w:val="595959"/>
        <w:sz w:val="17"/>
      </w:rPr>
      <w:t xml:space="preserve"> of </w:t>
    </w:r>
    <w:r>
      <w:rPr>
        <w:rFonts w:ascii="Calibri" w:hAnsi="Calibri" w:eastAsia="Calibri" w:cs="Calibri"/>
        <w:color w:val="595959"/>
        <w:sz w:val="17"/>
      </w:rPr>
      <w:fldChar w:fldCharType="begin"/>
    </w:r>
    <w:r>
      <w:rPr>
        <w:rFonts w:ascii="Calibri" w:hAnsi="Calibri" w:eastAsia="Calibri" w:cs="Calibri"/>
        <w:color w:val="595959"/>
        <w:sz w:val="17"/>
      </w:rPr>
      <w:instrText xml:space="preserve"> NUMPAGES </w:instrText>
    </w:r>
    <w:r>
      <w:rPr>
        <w:rFonts w:ascii="Calibri" w:hAnsi="Calibri" w:eastAsia="Calibri" w:cs="Calibri"/>
        <w:color w:val="595959"/>
        <w:sz w:val="17"/>
      </w:rPr>
      <w:fldChar w:fldCharType="separate"/>
    </w:r>
    <w:r>
      <w:rPr>
        <w:rFonts w:ascii="Calibri" w:hAnsi="Calibri" w:eastAsia="Calibri" w:cs="Calibri"/>
        <w:color w:val="595959"/>
        <w:sz w:val="17"/>
      </w:rPr>
      <w:t>1</w:t>
    </w:r>
    <w:r>
      <w:rPr>
        <w:rFonts w:ascii="Calibri" w:hAnsi="Calibri" w:eastAsia="Calibri" w:cs="Calibri"/>
        <w:color w:val="595959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10/7/26 DCA entry pack (DRAFT)</dc:title>
  <dc:subject/>
  <dc:creator>Landry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