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EC2546" w14:textId="022E3BDF" w:rsidR="00020A80" w:rsidRDefault="006F5C0C">
      <w:r w:rsidRPr="006F5C0C">
        <w:rPr>
          <w:noProof/>
        </w:rPr>
        <w:drawing>
          <wp:inline distT="0" distB="0" distL="0" distR="0" wp14:anchorId="42BB7CA2" wp14:editId="50E936E7">
            <wp:extent cx="5546361" cy="2525395"/>
            <wp:effectExtent l="0" t="0" r="3810" b="1905"/>
            <wp:docPr id="1140760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760717" name=""/>
                    <pic:cNvPicPr/>
                  </pic:nvPicPr>
                  <pic:blipFill rotWithShape="1">
                    <a:blip r:embed="rId7"/>
                    <a:srcRect t="26387" r="6647" b="41734"/>
                    <a:stretch>
                      <a:fillRect/>
                    </a:stretch>
                  </pic:blipFill>
                  <pic:spPr bwMode="auto">
                    <a:xfrm>
                      <a:off x="0" y="0"/>
                      <a:ext cx="5548544" cy="2526389"/>
                    </a:xfrm>
                    <a:prstGeom prst="rect">
                      <a:avLst/>
                    </a:prstGeom>
                    <a:ln>
                      <a:noFill/>
                    </a:ln>
                    <a:extLst>
                      <a:ext uri="{53640926-AAD7-44D8-BBD7-CCE9431645EC}">
                        <a14:shadowObscured xmlns:a14="http://schemas.microsoft.com/office/drawing/2010/main"/>
                      </a:ext>
                    </a:extLst>
                  </pic:spPr>
                </pic:pic>
              </a:graphicData>
            </a:graphic>
          </wp:inline>
        </w:drawing>
      </w:r>
    </w:p>
    <w:p w14:paraId="220D0C82" w14:textId="77777777" w:rsidR="00BD1027" w:rsidRDefault="00BD1027"/>
    <w:p w14:paraId="33EF6853" w14:textId="64D35778" w:rsidR="0099066B" w:rsidRPr="0099066B" w:rsidRDefault="0099066B">
      <w:pPr>
        <w:rPr>
          <w:i/>
          <w:iCs/>
          <w:sz w:val="48"/>
          <w:szCs w:val="48"/>
        </w:rPr>
      </w:pPr>
      <w:r w:rsidRPr="0099066B">
        <w:rPr>
          <w:i/>
          <w:iCs/>
          <w:sz w:val="48"/>
          <w:szCs w:val="48"/>
        </w:rPr>
        <w:t>[Claude Analysis Dialog follows]</w:t>
      </w:r>
    </w:p>
    <w:p w14:paraId="2BF7D5AE" w14:textId="77777777" w:rsidR="00BD1027" w:rsidRPr="00BD1027" w:rsidRDefault="00BD1027" w:rsidP="00BD1027">
      <w:pPr>
        <w:spacing w:before="100" w:beforeAutospacing="1" w:after="100" w:afterAutospacing="1"/>
      </w:pPr>
      <w:r w:rsidRPr="00BD1027">
        <w:t>Good batch to work with — but there's real organizational work to do before diving into research, so let me lay out what I found and propose a structure.</w:t>
      </w:r>
    </w:p>
    <w:p w14:paraId="5DCD51DF" w14:textId="77777777" w:rsidR="00BD1027" w:rsidRPr="00BD1027" w:rsidRDefault="00BD1027" w:rsidP="00BD1027">
      <w:pPr>
        <w:spacing w:before="100" w:beforeAutospacing="1" w:after="100" w:afterAutospacing="1"/>
        <w:outlineLvl w:val="1"/>
        <w:rPr>
          <w:b/>
          <w:bCs/>
          <w:sz w:val="36"/>
          <w:szCs w:val="36"/>
        </w:rPr>
      </w:pPr>
      <w:r w:rsidRPr="00BD1027">
        <w:rPr>
          <w:b/>
          <w:bCs/>
          <w:sz w:val="36"/>
          <w:szCs w:val="36"/>
        </w:rPr>
        <w:t>Three things in the file worth flagging first</w:t>
      </w:r>
    </w:p>
    <w:p w14:paraId="28CAB3CD" w14:textId="77777777" w:rsidR="00BD1027" w:rsidRPr="00BD1027" w:rsidRDefault="00BD1027" w:rsidP="00BD1027">
      <w:pPr>
        <w:numPr>
          <w:ilvl w:val="0"/>
          <w:numId w:val="4"/>
        </w:numPr>
        <w:spacing w:before="100" w:beforeAutospacing="1" w:after="100" w:afterAutospacing="1"/>
      </w:pPr>
      <w:r w:rsidRPr="00BD1027">
        <w:rPr>
          <w:b/>
          <w:bCs/>
        </w:rPr>
        <w:t>Two count mismatches in the source data</w:t>
      </w:r>
      <w:r w:rsidRPr="00BD1027">
        <w:t>: Communication Services says "2" but lists 3 tickers (DIS, NFLX, SPOT); Healthcare says "9" but lists 10 (ABT, AZN, BAX, BSX, ICLR, NTRA, PFE, UNH, VEEV, XRAY). Doesn't block anything — just means the actual total is 56 tickers, not however many the count column implies.</w:t>
      </w:r>
    </w:p>
    <w:p w14:paraId="03608682" w14:textId="77777777" w:rsidR="00BD1027" w:rsidRPr="00BD1027" w:rsidRDefault="00BD1027" w:rsidP="00BD1027">
      <w:pPr>
        <w:numPr>
          <w:ilvl w:val="0"/>
          <w:numId w:val="4"/>
        </w:numPr>
        <w:spacing w:before="100" w:beforeAutospacing="1" w:after="100" w:afterAutospacing="1"/>
      </w:pPr>
      <w:r w:rsidRPr="00BD1027">
        <w:rPr>
          <w:b/>
          <w:bCs/>
        </w:rPr>
        <w:t>Two tickers are already in the System, don't need fresh screening</w:t>
      </w:r>
      <w:r w:rsidRPr="00BD1027">
        <w:t>:</w:t>
      </w:r>
    </w:p>
    <w:p w14:paraId="2914E432" w14:textId="77777777" w:rsidR="00BD1027" w:rsidRPr="00BD1027" w:rsidRDefault="00BD1027" w:rsidP="00BD1027">
      <w:pPr>
        <w:numPr>
          <w:ilvl w:val="1"/>
          <w:numId w:val="4"/>
        </w:numPr>
        <w:spacing w:before="100" w:beforeAutospacing="1" w:after="100" w:afterAutospacing="1"/>
      </w:pPr>
      <w:r w:rsidRPr="00BD1027">
        <w:rPr>
          <w:b/>
          <w:bCs/>
        </w:rPr>
        <w:t>V (Visa)</w:t>
      </w:r>
      <w:r w:rsidRPr="00BD1027">
        <w:t xml:space="preserve"> — already scored 86.4, Strong Buy, sitting in the workbook right now</w:t>
      </w:r>
    </w:p>
    <w:p w14:paraId="21832A22" w14:textId="77777777" w:rsidR="00BD1027" w:rsidRPr="00BD1027" w:rsidRDefault="00BD1027" w:rsidP="00BD1027">
      <w:pPr>
        <w:numPr>
          <w:ilvl w:val="1"/>
          <w:numId w:val="4"/>
        </w:numPr>
        <w:spacing w:before="100" w:beforeAutospacing="1" w:after="100" w:afterAutospacing="1"/>
      </w:pPr>
      <w:r w:rsidRPr="00BD1027">
        <w:rPr>
          <w:b/>
          <w:bCs/>
        </w:rPr>
        <w:t>NOW (ServiceNow)</w:t>
      </w:r>
      <w:r w:rsidRPr="00BD1027">
        <w:t xml:space="preserve"> — scored months ago in this session (76, Buy) under an earlier version of the weighting scheme; needs a </w:t>
      </w:r>
      <w:r w:rsidRPr="00BD1027">
        <w:rPr>
          <w:i/>
          <w:iCs/>
        </w:rPr>
        <w:t>refresh</w:t>
      </w:r>
      <w:r w:rsidRPr="00BD1027">
        <w:t xml:space="preserve"> (price-dependent indicators only, same as we did for ADBE/ANET/etc.), not a from-scratch screen</w:t>
      </w:r>
    </w:p>
    <w:p w14:paraId="3FF41745" w14:textId="77777777" w:rsidR="00BD1027" w:rsidRPr="00BD1027" w:rsidRDefault="00BD1027" w:rsidP="00BD1027">
      <w:pPr>
        <w:numPr>
          <w:ilvl w:val="0"/>
          <w:numId w:val="4"/>
        </w:numPr>
        <w:spacing w:before="100" w:beforeAutospacing="1" w:after="100" w:afterAutospacing="1"/>
      </w:pPr>
      <w:r w:rsidRPr="00BD1027">
        <w:rPr>
          <w:b/>
          <w:bCs/>
        </w:rPr>
        <w:t>IWM is an ETF (Russell 2000 index fund), not a stock</w:t>
      </w:r>
      <w:r w:rsidRPr="00BD1027">
        <w:t xml:space="preserve"> — it doesn't belong in Tier 1 stock screening at all. Given you and I already deliberately kept ETF evaluation as a separate track from the core Stock System, I'd set this aside for a future ETF-focused pass rather than force it through Tier 1 rubrics it isn't built for.</w:t>
      </w:r>
    </w:p>
    <w:p w14:paraId="122D7F65" w14:textId="77777777" w:rsidR="00BD1027" w:rsidRPr="00BD1027" w:rsidRDefault="00BD1027" w:rsidP="00BD1027">
      <w:pPr>
        <w:spacing w:before="100" w:beforeAutospacing="1" w:after="100" w:afterAutospacing="1"/>
      </w:pPr>
      <w:r w:rsidRPr="00BD1027">
        <w:rPr>
          <w:b/>
          <w:bCs/>
        </w:rPr>
        <w:t>Real total: 54 genuinely new stocks to screen.</w:t>
      </w:r>
    </w:p>
    <w:p w14:paraId="767D0A8C" w14:textId="77777777" w:rsidR="00BD1027" w:rsidRPr="00BD1027" w:rsidRDefault="00BD1027" w:rsidP="00BD1027">
      <w:pPr>
        <w:spacing w:before="100" w:beforeAutospacing="1" w:after="100" w:afterAutospacing="1"/>
        <w:outlineLvl w:val="1"/>
        <w:rPr>
          <w:b/>
          <w:bCs/>
          <w:sz w:val="36"/>
          <w:szCs w:val="36"/>
        </w:rPr>
      </w:pPr>
      <w:r w:rsidRPr="00BD1027">
        <w:rPr>
          <w:b/>
          <w:bCs/>
          <w:sz w:val="36"/>
          <w:szCs w:val="36"/>
        </w:rPr>
        <w:t>How I'd sequence this — by diversification value, not list order</w:t>
      </w:r>
    </w:p>
    <w:p w14:paraId="360A9A4A" w14:textId="77777777" w:rsidR="00BD1027" w:rsidRPr="00BD1027" w:rsidRDefault="00BD1027" w:rsidP="00BD1027">
      <w:pPr>
        <w:spacing w:before="100" w:beforeAutospacing="1" w:after="100" w:afterAutospacing="1"/>
      </w:pPr>
      <w:r w:rsidRPr="00BD1027">
        <w:t xml:space="preserve">54 names is a multi-week undertaking at the pace we've been running (full Tier 1 research, real web search per name). The question worth deciding now isn't just batch size — it's </w:t>
      </w:r>
      <w:r w:rsidRPr="00BD1027">
        <w:rPr>
          <w:b/>
          <w:bCs/>
        </w:rPr>
        <w:t>which sectors to hit first</w:t>
      </w:r>
      <w:r w:rsidRPr="00BD1027">
        <w:t>, and that should follow the same logic that drove the COST/Visa search: prioritize what's genuinely uncorrelated to the AI/semiconductor cluster that already dominates the book.</w:t>
      </w:r>
    </w:p>
    <w:p w14:paraId="4FCDE545" w14:textId="77777777" w:rsidR="00BD1027" w:rsidRPr="00BD1027" w:rsidRDefault="00BD1027" w:rsidP="00BD1027">
      <w:pPr>
        <w:spacing w:before="100" w:beforeAutospacing="1" w:after="100" w:afterAutospacing="1"/>
      </w:pPr>
      <w:r w:rsidRPr="00BD1027">
        <w:rPr>
          <w:b/>
          <w:bCs/>
        </w:rPr>
        <w:t>Tier A — highest diversification value, no thematic overlap risk:</w:t>
      </w:r>
      <w:r w:rsidRPr="00BD1027">
        <w:t xml:space="preserve"> Energy, Basic Materials, Consumer Defensive/Staples, Consumer Discretionary, Communication Services, Utilities. Zero or near-zero representation in the current portfolio, and nothing in these sectors rides the AI capex cycle.</w:t>
      </w:r>
    </w:p>
    <w:p w14:paraId="28E1607C" w14:textId="77777777" w:rsidR="00BD1027" w:rsidRPr="00BD1027" w:rsidRDefault="00BD1027" w:rsidP="00BD1027">
      <w:pPr>
        <w:spacing w:before="100" w:beforeAutospacing="1" w:after="100" w:afterAutospacing="1"/>
      </w:pPr>
      <w:r w:rsidRPr="00BD1027">
        <w:rPr>
          <w:b/>
          <w:bCs/>
        </w:rPr>
        <w:lastRenderedPageBreak/>
        <w:t>Tier B — real diversification value, but a couple of names need a second look before assuming they're clean:</w:t>
      </w:r>
      <w:r w:rsidRPr="00BD1027">
        <w:t xml:space="preserve"> Healthcare (VRTX already represents biotech — worth spreading across medical devices/diagnostics/pharma rather than piling into more biotech), Financial Services (PYPL — same category as Visa, worth comparing rather than assuming both belong), Real Estate (PLD already represents REITs — CCI specifically is telecom-tower infrastructure, which has real AI/data-demand adjacency worth flagging before treating it as a clean diversifier).</w:t>
      </w:r>
    </w:p>
    <w:p w14:paraId="693F3568" w14:textId="77777777" w:rsidR="00BD1027" w:rsidRPr="00BD1027" w:rsidRDefault="00BD1027" w:rsidP="00BD1027">
      <w:pPr>
        <w:spacing w:before="100" w:beforeAutospacing="1" w:after="100" w:afterAutospacing="1"/>
      </w:pPr>
      <w:r w:rsidRPr="00BD1027">
        <w:rPr>
          <w:b/>
          <w:bCs/>
        </w:rPr>
        <w:t xml:space="preserve">Tier C — screen </w:t>
      </w:r>
      <w:proofErr w:type="gramStart"/>
      <w:r w:rsidRPr="00BD1027">
        <w:rPr>
          <w:b/>
          <w:bCs/>
        </w:rPr>
        <w:t>last, and</w:t>
      </w:r>
      <w:proofErr w:type="gramEnd"/>
      <w:r w:rsidRPr="00BD1027">
        <w:rPr>
          <w:b/>
          <w:bCs/>
        </w:rPr>
        <w:t xml:space="preserve"> expect some to fail the diversification test on inspection:</w:t>
      </w:r>
      <w:r w:rsidRPr="00BD1027">
        <w:t xml:space="preserve"> Industrials (SMR is small modular nuclear and BE is fuel cells — both are increasingly AI-data-center-power plays, not clean diversifiers despite the GICS label), Technology (inherent sector proximity to existing holdings regardless of sub-industry).</w:t>
      </w:r>
    </w:p>
    <w:p w14:paraId="38F0D81C" w14:textId="77777777" w:rsidR="00BD1027" w:rsidRPr="00BD1027" w:rsidRDefault="00BD1027" w:rsidP="00BD1027">
      <w:pPr>
        <w:spacing w:before="100" w:beforeAutospacing="1" w:after="100" w:afterAutospacing="1"/>
        <w:outlineLvl w:val="1"/>
        <w:rPr>
          <w:b/>
          <w:bCs/>
          <w:sz w:val="36"/>
          <w:szCs w:val="36"/>
        </w:rPr>
      </w:pPr>
      <w:r w:rsidRPr="00BD1027">
        <w:rPr>
          <w:b/>
          <w:bCs/>
          <w:sz w:val="36"/>
          <w:szCs w:val="36"/>
        </w:rPr>
        <w:t>Proposed batch size and pacing</w:t>
      </w:r>
    </w:p>
    <w:p w14:paraId="0A9F7148" w14:textId="77777777" w:rsidR="00BD1027" w:rsidRPr="00BD1027" w:rsidRDefault="00BD1027" w:rsidP="00BD1027">
      <w:pPr>
        <w:spacing w:before="100" w:beforeAutospacing="1" w:after="100" w:afterAutospacing="1"/>
      </w:pPr>
      <w:r w:rsidRPr="00BD1027">
        <w:t xml:space="preserve">Given the scale, I'd move to </w:t>
      </w:r>
      <w:r w:rsidRPr="00BD1027">
        <w:rPr>
          <w:b/>
          <w:bCs/>
        </w:rPr>
        <w:t>4 names per foray</w:t>
      </w:r>
      <w:r w:rsidRPr="00BD1027">
        <w:t xml:space="preserve"> rather than 3, to make real progress against 54 names without dragging this out for months — still full Tier 1 rigor each, just slightly larger batches. At that pace it's roughly 13–14 forays total, which is a lot, but it's genuinely valuable groundwork: once done, you'll have a real bench of vetted, diversified candidates to draw on for every future DCA tranche instead of scrambling to find one when headroom runs out (which is close to what happened before COST/Visa).</w:t>
      </w:r>
    </w:p>
    <w:p w14:paraId="21C99918" w14:textId="77777777" w:rsidR="00BD1027" w:rsidRPr="00BD1027" w:rsidRDefault="00BD1027" w:rsidP="00BD1027">
      <w:pPr>
        <w:spacing w:before="100" w:beforeAutospacing="1" w:after="100" w:afterAutospacing="1"/>
      </w:pPr>
      <w:r w:rsidRPr="00BD1027">
        <w:rPr>
          <w:b/>
          <w:bCs/>
        </w:rPr>
        <w:t>First proposed batch (Tier A, Energy): CE, CLF, LIN</w:t>
      </w:r>
      <w:r w:rsidRPr="00BD1027">
        <w:t xml:space="preserve"> </w:t>
      </w:r>
      <w:r w:rsidRPr="00BD1027">
        <w:rPr>
          <w:i/>
          <w:iCs/>
        </w:rPr>
        <w:t>(Basic Materials, since it's small enough to combine cleanly with a 4th)</w:t>
      </w:r>
      <w:r w:rsidRPr="00BD1027">
        <w:t xml:space="preserve"> — or if you'd rather keep sectors from mixing within a single foray, I'd start with </w:t>
      </w:r>
      <w:r w:rsidRPr="00BD1027">
        <w:rPr>
          <w:b/>
          <w:bCs/>
        </w:rPr>
        <w:t>Energy: CRK, ET, LBRT, NOV</w:t>
      </w:r>
      <w:r w:rsidRPr="00BD1027">
        <w:t xml:space="preserve"> as a clean 4-name, single-sector first batch.</w:t>
      </w:r>
    </w:p>
    <w:p w14:paraId="4E030190" w14:textId="77777777" w:rsidR="00BD1027" w:rsidRPr="00BD1027" w:rsidRDefault="00BD1027" w:rsidP="00BD1027">
      <w:pPr>
        <w:spacing w:before="100" w:beforeAutospacing="1" w:after="100" w:afterAutospacing="1"/>
      </w:pPr>
      <w:r w:rsidRPr="00BD1027">
        <w:t>Want me to lock in that sequencing (Tier A → B → C) and start with Energy, or would you rather reorder the sectors yourself first?</w:t>
      </w:r>
    </w:p>
    <w:p w14:paraId="57C10C42" w14:textId="77777777" w:rsidR="00BD1027" w:rsidRPr="00BD1027" w:rsidRDefault="00BD1027" w:rsidP="00BD1027">
      <w:pPr>
        <w:spacing w:before="100" w:beforeAutospacing="1" w:after="100" w:afterAutospacing="1"/>
      </w:pPr>
      <w:r w:rsidRPr="00BD1027">
        <w:t xml:space="preserve">Locked. Starting with </w:t>
      </w:r>
      <w:r w:rsidRPr="00BD1027">
        <w:rPr>
          <w:b/>
          <w:bCs/>
        </w:rPr>
        <w:t>Energy: CRK, ET, LBRT, NOV</w:t>
      </w:r>
      <w:r w:rsidRPr="00BD1027">
        <w:t xml:space="preserve"> — let me research all </w:t>
      </w:r>
      <w:proofErr w:type="spellStart"/>
      <w:r w:rsidRPr="00BD1027">
        <w:t>four.CRK</w:t>
      </w:r>
      <w:proofErr w:type="spellEnd"/>
      <w:r w:rsidRPr="00BD1027">
        <w:t xml:space="preserve"> is a decisive fail — persistently negative FCF for most of its history, worsening in 2024-2026, no real moat as a pure commodity producer. Let's check Energy Transfer.ET is a strong pass — very different risk profile from CRK despite being the same GICS sector (contracted midstream infrastructure vs. pure commodity E&amp;P). This is exactly the kind of within-sector differentiation Tier 1 is built to catch. Let's continue with Liberty </w:t>
      </w:r>
      <w:proofErr w:type="spellStart"/>
      <w:r w:rsidRPr="00BD1027">
        <w:t>Energy.LBRT</w:t>
      </w:r>
      <w:proofErr w:type="spellEnd"/>
      <w:r w:rsidRPr="00BD1027">
        <w:t xml:space="preserve"> fails too — margin compression (3.6%→1.1% YoY), declining profitability (net income -53% FY2025), and volatile revenue, despite genuine technology differentiation in its core business. Let's check NOV </w:t>
      </w:r>
      <w:proofErr w:type="spellStart"/>
      <w:r w:rsidRPr="00BD1027">
        <w:t>Inc.All</w:t>
      </w:r>
      <w:proofErr w:type="spellEnd"/>
      <w:r w:rsidRPr="00BD1027">
        <w:t xml:space="preserve"> four researched — 1 pass, 3 fails, and the differentiation within "Energy" is the real story. Let me populate the </w:t>
      </w:r>
      <w:proofErr w:type="spellStart"/>
      <w:proofErr w:type="gramStart"/>
      <w:r w:rsidRPr="00BD1027">
        <w:t>workbook.Zero</w:t>
      </w:r>
      <w:proofErr w:type="spellEnd"/>
      <w:proofErr w:type="gramEnd"/>
      <w:r w:rsidRPr="00BD1027">
        <w:t xml:space="preserve"> errors. Let's verify the results and </w:t>
      </w:r>
      <w:proofErr w:type="gramStart"/>
      <w:r w:rsidRPr="00BD1027">
        <w:t>finalize.#</w:t>
      </w:r>
      <w:proofErr w:type="gramEnd"/>
      <w:r w:rsidRPr="00BD1027">
        <w:t># Foray 1 (Energy) complete — 1 pass, 3 fails, all populated and verified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1"/>
        <w:gridCol w:w="851"/>
        <w:gridCol w:w="8308"/>
      </w:tblGrid>
      <w:tr w:rsidR="00BD1027" w:rsidRPr="00BD1027" w14:paraId="3491E38F" w14:textId="77777777">
        <w:trPr>
          <w:tblHeader/>
          <w:tblCellSpacing w:w="15" w:type="dxa"/>
        </w:trPr>
        <w:tc>
          <w:tcPr>
            <w:tcW w:w="0" w:type="auto"/>
            <w:vAlign w:val="center"/>
            <w:hideMark/>
          </w:tcPr>
          <w:p w14:paraId="240036F7" w14:textId="77777777" w:rsidR="00BD1027" w:rsidRPr="00BD1027" w:rsidRDefault="00BD1027" w:rsidP="00BD1027">
            <w:pPr>
              <w:jc w:val="center"/>
              <w:rPr>
                <w:b/>
                <w:bCs/>
              </w:rPr>
            </w:pPr>
            <w:r w:rsidRPr="00BD1027">
              <w:rPr>
                <w:b/>
                <w:bCs/>
              </w:rPr>
              <w:t>Ticker</w:t>
            </w:r>
          </w:p>
        </w:tc>
        <w:tc>
          <w:tcPr>
            <w:tcW w:w="0" w:type="auto"/>
            <w:vAlign w:val="center"/>
            <w:hideMark/>
          </w:tcPr>
          <w:p w14:paraId="3749664A" w14:textId="77777777" w:rsidR="00BD1027" w:rsidRPr="00BD1027" w:rsidRDefault="00BD1027" w:rsidP="00BD1027">
            <w:pPr>
              <w:jc w:val="center"/>
              <w:rPr>
                <w:b/>
                <w:bCs/>
              </w:rPr>
            </w:pPr>
            <w:r w:rsidRPr="00BD1027">
              <w:rPr>
                <w:b/>
                <w:bCs/>
              </w:rPr>
              <w:t xml:space="preserve">Tier 1 </w:t>
            </w:r>
            <w:proofErr w:type="spellStart"/>
            <w:r w:rsidRPr="00BD1027">
              <w:rPr>
                <w:b/>
                <w:bCs/>
              </w:rPr>
              <w:t>Wtd</w:t>
            </w:r>
            <w:proofErr w:type="spellEnd"/>
            <w:r w:rsidRPr="00BD1027">
              <w:rPr>
                <w:b/>
                <w:bCs/>
              </w:rPr>
              <w:t xml:space="preserve"> Avg</w:t>
            </w:r>
          </w:p>
        </w:tc>
        <w:tc>
          <w:tcPr>
            <w:tcW w:w="0" w:type="auto"/>
            <w:vAlign w:val="center"/>
            <w:hideMark/>
          </w:tcPr>
          <w:p w14:paraId="15E60671" w14:textId="77777777" w:rsidR="00BD1027" w:rsidRPr="00BD1027" w:rsidRDefault="00BD1027" w:rsidP="00BD1027">
            <w:pPr>
              <w:jc w:val="center"/>
              <w:rPr>
                <w:b/>
                <w:bCs/>
              </w:rPr>
            </w:pPr>
            <w:r w:rsidRPr="00BD1027">
              <w:rPr>
                <w:b/>
                <w:bCs/>
              </w:rPr>
              <w:t>Result</w:t>
            </w:r>
          </w:p>
        </w:tc>
      </w:tr>
      <w:tr w:rsidR="00BD1027" w:rsidRPr="00BD1027" w14:paraId="463B8DA3" w14:textId="77777777">
        <w:trPr>
          <w:tblCellSpacing w:w="15" w:type="dxa"/>
        </w:trPr>
        <w:tc>
          <w:tcPr>
            <w:tcW w:w="0" w:type="auto"/>
            <w:vAlign w:val="center"/>
            <w:hideMark/>
          </w:tcPr>
          <w:p w14:paraId="5BD3BBDD" w14:textId="77777777" w:rsidR="00BD1027" w:rsidRPr="00BD1027" w:rsidRDefault="00BD1027" w:rsidP="00BD1027">
            <w:r w:rsidRPr="00BD1027">
              <w:rPr>
                <w:b/>
                <w:bCs/>
              </w:rPr>
              <w:t>CRK</w:t>
            </w:r>
            <w:r w:rsidRPr="00BD1027">
              <w:t xml:space="preserve"> (Comstock Resources)</w:t>
            </w:r>
          </w:p>
        </w:tc>
        <w:tc>
          <w:tcPr>
            <w:tcW w:w="0" w:type="auto"/>
            <w:vAlign w:val="center"/>
            <w:hideMark/>
          </w:tcPr>
          <w:p w14:paraId="64DB0219" w14:textId="77777777" w:rsidR="00BD1027" w:rsidRPr="00BD1027" w:rsidRDefault="00BD1027" w:rsidP="00BD1027">
            <w:r w:rsidRPr="00BD1027">
              <w:t>1.21</w:t>
            </w:r>
          </w:p>
        </w:tc>
        <w:tc>
          <w:tcPr>
            <w:tcW w:w="0" w:type="auto"/>
            <w:vAlign w:val="center"/>
            <w:hideMark/>
          </w:tcPr>
          <w:p w14:paraId="40EC59BD" w14:textId="77777777" w:rsidR="00BD1027" w:rsidRPr="00BD1027" w:rsidRDefault="00BD1027" w:rsidP="00BD1027">
            <w:r w:rsidRPr="00BD1027">
              <w:t>AVOID — the worst score of the batch. Structurally negative FCF for most of its 15-year history, "cash-burning history... doubt the long-term viability" per one independent source. Pure commodity gas exposure, no moat.</w:t>
            </w:r>
          </w:p>
        </w:tc>
      </w:tr>
      <w:tr w:rsidR="00BD1027" w:rsidRPr="00BD1027" w14:paraId="09CEB1D9" w14:textId="77777777">
        <w:trPr>
          <w:tblCellSpacing w:w="15" w:type="dxa"/>
        </w:trPr>
        <w:tc>
          <w:tcPr>
            <w:tcW w:w="0" w:type="auto"/>
            <w:vAlign w:val="center"/>
            <w:hideMark/>
          </w:tcPr>
          <w:p w14:paraId="75B58838" w14:textId="77777777" w:rsidR="00BD1027" w:rsidRPr="00BD1027" w:rsidRDefault="00BD1027" w:rsidP="00BD1027">
            <w:r w:rsidRPr="00BD1027">
              <w:rPr>
                <w:b/>
                <w:bCs/>
              </w:rPr>
              <w:t>ET</w:t>
            </w:r>
            <w:r w:rsidRPr="00BD1027">
              <w:t xml:space="preserve"> (Energy Transfer)</w:t>
            </w:r>
          </w:p>
        </w:tc>
        <w:tc>
          <w:tcPr>
            <w:tcW w:w="0" w:type="auto"/>
            <w:vAlign w:val="center"/>
            <w:hideMark/>
          </w:tcPr>
          <w:p w14:paraId="5037BCA9" w14:textId="77777777" w:rsidR="00BD1027" w:rsidRPr="00BD1027" w:rsidRDefault="00BD1027" w:rsidP="00BD1027">
            <w:r w:rsidRPr="00BD1027">
              <w:rPr>
                <w:b/>
                <w:bCs/>
              </w:rPr>
              <w:t>4.00</w:t>
            </w:r>
          </w:p>
        </w:tc>
        <w:tc>
          <w:tcPr>
            <w:tcW w:w="0" w:type="auto"/>
            <w:vAlign w:val="center"/>
            <w:hideMark/>
          </w:tcPr>
          <w:p w14:paraId="054D8407" w14:textId="77777777" w:rsidR="00BD1027" w:rsidRPr="00BD1027" w:rsidRDefault="00BD1027" w:rsidP="00BD1027">
            <w:r w:rsidRPr="00BD1027">
              <w:rPr>
                <w:b/>
                <w:bCs/>
              </w:rPr>
              <w:t>PASS.</w:t>
            </w:r>
            <w:r w:rsidRPr="00BD1027">
              <w:t xml:space="preserve"> Contracted midstream infrastructure, not commodity production — 19 consecutive quarterly distribution increases, distributable cash flow up 32% YoY, guidance raised four times this year.</w:t>
            </w:r>
          </w:p>
        </w:tc>
      </w:tr>
      <w:tr w:rsidR="00BD1027" w:rsidRPr="00BD1027" w14:paraId="076AE415" w14:textId="77777777">
        <w:trPr>
          <w:tblCellSpacing w:w="15" w:type="dxa"/>
        </w:trPr>
        <w:tc>
          <w:tcPr>
            <w:tcW w:w="0" w:type="auto"/>
            <w:vAlign w:val="center"/>
            <w:hideMark/>
          </w:tcPr>
          <w:p w14:paraId="5989993D" w14:textId="77777777" w:rsidR="00BD1027" w:rsidRPr="00BD1027" w:rsidRDefault="00BD1027" w:rsidP="00BD1027">
            <w:r w:rsidRPr="00BD1027">
              <w:rPr>
                <w:b/>
                <w:bCs/>
              </w:rPr>
              <w:t>LBRT</w:t>
            </w:r>
            <w:r w:rsidRPr="00BD1027">
              <w:t xml:space="preserve"> (Liberty Energy)</w:t>
            </w:r>
          </w:p>
        </w:tc>
        <w:tc>
          <w:tcPr>
            <w:tcW w:w="0" w:type="auto"/>
            <w:vAlign w:val="center"/>
            <w:hideMark/>
          </w:tcPr>
          <w:p w14:paraId="0EC896F9" w14:textId="77777777" w:rsidR="00BD1027" w:rsidRPr="00BD1027" w:rsidRDefault="00BD1027" w:rsidP="00BD1027">
            <w:r w:rsidRPr="00BD1027">
              <w:t>2.07</w:t>
            </w:r>
          </w:p>
        </w:tc>
        <w:tc>
          <w:tcPr>
            <w:tcW w:w="0" w:type="auto"/>
            <w:vAlign w:val="center"/>
            <w:hideMark/>
          </w:tcPr>
          <w:p w14:paraId="405491D1" w14:textId="77777777" w:rsidR="00BD1027" w:rsidRPr="00BD1027" w:rsidRDefault="00BD1027" w:rsidP="00BD1027">
            <w:r w:rsidRPr="00BD1027">
              <w:t>AVOID — operating margin compressed from 3.6% to 1.1% YoY, net income down 53% for FY2025. Real technology differentiation in its core frac business, but the numbers are moving the wrong direction.</w:t>
            </w:r>
          </w:p>
        </w:tc>
      </w:tr>
      <w:tr w:rsidR="00BD1027" w:rsidRPr="00BD1027" w14:paraId="6F252B6E" w14:textId="77777777">
        <w:trPr>
          <w:tblCellSpacing w:w="15" w:type="dxa"/>
        </w:trPr>
        <w:tc>
          <w:tcPr>
            <w:tcW w:w="0" w:type="auto"/>
            <w:vAlign w:val="center"/>
            <w:hideMark/>
          </w:tcPr>
          <w:p w14:paraId="2ABCB559" w14:textId="77777777" w:rsidR="00BD1027" w:rsidRPr="00BD1027" w:rsidRDefault="00BD1027" w:rsidP="00BD1027">
            <w:r w:rsidRPr="00BD1027">
              <w:rPr>
                <w:b/>
                <w:bCs/>
              </w:rPr>
              <w:lastRenderedPageBreak/>
              <w:t>NOV</w:t>
            </w:r>
            <w:r w:rsidRPr="00BD1027">
              <w:t xml:space="preserve"> (NOV Inc.)</w:t>
            </w:r>
          </w:p>
        </w:tc>
        <w:tc>
          <w:tcPr>
            <w:tcW w:w="0" w:type="auto"/>
            <w:vAlign w:val="center"/>
            <w:hideMark/>
          </w:tcPr>
          <w:p w14:paraId="2485E842" w14:textId="77777777" w:rsidR="00BD1027" w:rsidRPr="00BD1027" w:rsidRDefault="00BD1027" w:rsidP="00BD1027">
            <w:r w:rsidRPr="00BD1027">
              <w:t>2.64</w:t>
            </w:r>
          </w:p>
        </w:tc>
        <w:tc>
          <w:tcPr>
            <w:tcW w:w="0" w:type="auto"/>
            <w:vAlign w:val="center"/>
            <w:hideMark/>
          </w:tcPr>
          <w:p w14:paraId="402BE60C" w14:textId="77777777" w:rsidR="00BD1027" w:rsidRPr="00BD1027" w:rsidRDefault="00BD1027" w:rsidP="00BD1027">
            <w:r w:rsidRPr="00BD1027">
              <w:t xml:space="preserve">AVOID, but the closest of the three fails — genuinely strong historical FCF conversion (&gt;85% two years running) undercut by declining revenue and a swing to </w:t>
            </w:r>
            <w:r w:rsidRPr="00BD1027">
              <w:rPr>
                <w:i/>
                <w:iCs/>
              </w:rPr>
              <w:t>negative</w:t>
            </w:r>
            <w:r w:rsidRPr="00BD1027">
              <w:t xml:space="preserve"> FCF in the most recent quarter. Worth remembering if oilfield equipment demand turns.</w:t>
            </w:r>
          </w:p>
        </w:tc>
      </w:tr>
    </w:tbl>
    <w:p w14:paraId="00000956" w14:textId="77777777" w:rsidR="00BD1027" w:rsidRPr="00BD1027" w:rsidRDefault="00BD1027" w:rsidP="00BD1027">
      <w:pPr>
        <w:spacing w:before="100" w:beforeAutospacing="1" w:after="100" w:afterAutospacing="1"/>
        <w:outlineLvl w:val="1"/>
        <w:rPr>
          <w:b/>
          <w:bCs/>
          <w:sz w:val="36"/>
          <w:szCs w:val="36"/>
        </w:rPr>
      </w:pPr>
      <w:r w:rsidRPr="00BD1027">
        <w:rPr>
          <w:b/>
          <w:bCs/>
          <w:sz w:val="36"/>
          <w:szCs w:val="36"/>
        </w:rPr>
        <w:t>The real finding: same GICS sector, completely different businesses</w:t>
      </w:r>
    </w:p>
    <w:p w14:paraId="1C72CAC9" w14:textId="77777777" w:rsidR="00BD1027" w:rsidRPr="00BD1027" w:rsidRDefault="00BD1027" w:rsidP="00BD1027">
      <w:pPr>
        <w:spacing w:before="100" w:beforeAutospacing="1" w:after="100" w:afterAutospacing="1"/>
      </w:pPr>
      <w:r w:rsidRPr="00BD1027">
        <w:t xml:space="preserve">This is exactly the value of screening by sector rather than skipping straight to "energy good or bad" — </w:t>
      </w:r>
      <w:r w:rsidRPr="00BD1027">
        <w:rPr>
          <w:b/>
          <w:bCs/>
        </w:rPr>
        <w:t>CRK, LBRT, and NOV are all leveraged to commodity price and drilling activity; ET is leveraged to contracted transportation volumes.</w:t>
      </w:r>
      <w:r w:rsidRPr="00BD1027">
        <w:t xml:space="preserve"> That's the whole reason one clears the floor at 4.00 while the other three land between 1.2 and 2.6. A blanket "avoid energy" or "buy energy" instinct would have been wrong in both directions here.</w:t>
      </w:r>
    </w:p>
    <w:p w14:paraId="7ADA50BE" w14:textId="77777777" w:rsidR="00BD1027" w:rsidRPr="00BD1027" w:rsidRDefault="00BD1027" w:rsidP="00BD1027">
      <w:pPr>
        <w:spacing w:before="100" w:beforeAutospacing="1" w:after="100" w:afterAutospacing="1"/>
      </w:pPr>
      <w:r w:rsidRPr="00BD1027">
        <w:rPr>
          <w:b/>
          <w:bCs/>
        </w:rPr>
        <w:t>ET is now sitting in the workbook as a real Buy-tier candidate</w:t>
      </w:r>
      <w:r w:rsidRPr="00BD1027">
        <w:t xml:space="preserve"> — no full Tier 2/3 build yet, but it's the first genuinely new addition to the diversification bench since Visa and Costco, and it's a different economic driver than either of those too (regulated-adjacent fee infrastructure vs. payments vs. membership retail).</w:t>
      </w:r>
    </w:p>
    <w:p w14:paraId="24587AD7" w14:textId="77777777" w:rsidR="00BD1027" w:rsidRPr="00BD1027" w:rsidRDefault="00BD1027" w:rsidP="00BD1027">
      <w:pPr>
        <w:spacing w:before="100" w:beforeAutospacing="1" w:after="100" w:afterAutospacing="1"/>
      </w:pPr>
      <w:r w:rsidRPr="00BD1027">
        <w:t xml:space="preserve">Tier A continues with </w:t>
      </w:r>
      <w:r w:rsidRPr="00BD1027">
        <w:rPr>
          <w:b/>
          <w:bCs/>
        </w:rPr>
        <w:t>Basic Materials next: CE, CLF, LIN</w:t>
      </w:r>
      <w:r w:rsidRPr="00BD1027">
        <w:t xml:space="preserve"> — say the word when you're ready.</w:t>
      </w:r>
    </w:p>
    <w:p w14:paraId="0E9EAEE0" w14:textId="77777777" w:rsidR="00BD1027" w:rsidRDefault="00BD1027" w:rsidP="00BD1027">
      <w:pPr>
        <w:pBdr>
          <w:bottom w:val="single" w:sz="4" w:space="1" w:color="auto"/>
        </w:pBdr>
      </w:pPr>
    </w:p>
    <w:p w14:paraId="2F92E57C" w14:textId="77777777" w:rsidR="00BD1027" w:rsidRPr="00BD1027" w:rsidRDefault="00BD1027" w:rsidP="00BD1027">
      <w:pPr>
        <w:spacing w:before="100" w:beforeAutospacing="1" w:after="100" w:afterAutospacing="1"/>
      </w:pPr>
      <w:r w:rsidRPr="00BD1027">
        <w:t xml:space="preserve">CE fails decisively — two consecutive years of massive goodwill impairments ($1.5B then $1.1B), 6x leverage, declining revenue, and 2026 FCF guidance that's </w:t>
      </w:r>
      <w:proofErr w:type="gramStart"/>
      <w:r w:rsidRPr="00BD1027">
        <w:t xml:space="preserve">actually </w:t>
      </w:r>
      <w:r w:rsidRPr="00BD1027">
        <w:rPr>
          <w:i/>
          <w:iCs/>
        </w:rPr>
        <w:t>lower</w:t>
      </w:r>
      <w:proofErr w:type="gramEnd"/>
      <w:r w:rsidRPr="00BD1027">
        <w:t xml:space="preserve"> than 2025's actual result. Let's check Cleveland-</w:t>
      </w:r>
      <w:proofErr w:type="spellStart"/>
      <w:r w:rsidRPr="00BD1027">
        <w:t>Cliffs.CLF</w:t>
      </w:r>
      <w:proofErr w:type="spellEnd"/>
      <w:r w:rsidRPr="00BD1027">
        <w:t xml:space="preserve"> fails too — still net-loss-making every quarter shown, FCF only just turned positive in Q2 after a negative first half, heavy $7.7B debt load. This is an early-stage cyclical recovery story, not yet a demonstrated one. Let's check Linde — a fundamentally different kind of "Basic Materials" </w:t>
      </w:r>
      <w:proofErr w:type="spellStart"/>
      <w:proofErr w:type="gramStart"/>
      <w:r w:rsidRPr="00BD1027">
        <w:t>business.All</w:t>
      </w:r>
      <w:proofErr w:type="spellEnd"/>
      <w:proofErr w:type="gramEnd"/>
      <w:r w:rsidRPr="00BD1027">
        <w:t xml:space="preserve"> three researched — Linde is a standout, clearest pass since Visa. Let me populate the </w:t>
      </w:r>
      <w:proofErr w:type="spellStart"/>
      <w:proofErr w:type="gramStart"/>
      <w:r w:rsidRPr="00BD1027">
        <w:t>workbook.Zero</w:t>
      </w:r>
      <w:proofErr w:type="spellEnd"/>
      <w:proofErr w:type="gramEnd"/>
      <w:r w:rsidRPr="00BD1027">
        <w:t xml:space="preserve"> errors. Let's verify and </w:t>
      </w:r>
      <w:proofErr w:type="spellStart"/>
      <w:proofErr w:type="gramStart"/>
      <w:r w:rsidRPr="00BD1027">
        <w:t>finalize.Real</w:t>
      </w:r>
      <w:proofErr w:type="spellEnd"/>
      <w:proofErr w:type="gramEnd"/>
      <w:r w:rsidRPr="00BD1027">
        <w:t xml:space="preserve"> capacity issue, not a data bug — the Scoring tab was built for exactly 25 rows (3–27), and LIN landed on row 28, one row past where the formulas exist at all. Let me check total usage and expand properly rather than patch just this one </w:t>
      </w:r>
      <w:proofErr w:type="spellStart"/>
      <w:proofErr w:type="gramStart"/>
      <w:r w:rsidRPr="00BD1027">
        <w:t>row.Got</w:t>
      </w:r>
      <w:proofErr w:type="spellEnd"/>
      <w:proofErr w:type="gramEnd"/>
      <w:r w:rsidRPr="00BD1027">
        <w:t xml:space="preserve"> the exact templates. Now let's extend the formula range through row 60 (giving real headroom for the remaining sectors) and add matching styling/data-</w:t>
      </w:r>
      <w:proofErr w:type="spellStart"/>
      <w:r w:rsidRPr="00BD1027">
        <w:t>validation.Zero</w:t>
      </w:r>
      <w:proofErr w:type="spellEnd"/>
      <w:r w:rsidRPr="00BD1027">
        <w:t xml:space="preserve"> errors. Let's verify LIN now computes </w:t>
      </w:r>
      <w:proofErr w:type="gramStart"/>
      <w:r w:rsidRPr="00BD1027">
        <w:t>correctly, and</w:t>
      </w:r>
      <w:proofErr w:type="gramEnd"/>
      <w:r w:rsidRPr="00BD1027">
        <w:t xml:space="preserve"> confirm nothing in rows 3–27 was </w:t>
      </w:r>
      <w:proofErr w:type="spellStart"/>
      <w:r w:rsidRPr="00BD1027">
        <w:t>disturbed.LIN</w:t>
      </w:r>
      <w:proofErr w:type="spellEnd"/>
      <w:r w:rsidRPr="00BD1027">
        <w:t xml:space="preserve"> now computes correctly (4.50, matching my hand calculation exactly), and NVDA's row is untouched. Let's </w:t>
      </w:r>
      <w:proofErr w:type="gramStart"/>
      <w:r w:rsidRPr="00BD1027">
        <w:t>finalize.#</w:t>
      </w:r>
      <w:proofErr w:type="gramEnd"/>
      <w:r w:rsidRPr="00BD1027">
        <w:t># Foray 2 (Basic Materials) complete — and it caught a real capacity wall along the way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4"/>
        <w:gridCol w:w="896"/>
        <w:gridCol w:w="8310"/>
      </w:tblGrid>
      <w:tr w:rsidR="00BD1027" w:rsidRPr="00BD1027" w14:paraId="064AEC75" w14:textId="77777777">
        <w:trPr>
          <w:tblHeader/>
          <w:tblCellSpacing w:w="15" w:type="dxa"/>
        </w:trPr>
        <w:tc>
          <w:tcPr>
            <w:tcW w:w="0" w:type="auto"/>
            <w:vAlign w:val="center"/>
            <w:hideMark/>
          </w:tcPr>
          <w:p w14:paraId="317A7FE5" w14:textId="77777777" w:rsidR="00BD1027" w:rsidRPr="00BD1027" w:rsidRDefault="00BD1027" w:rsidP="00BD1027">
            <w:pPr>
              <w:jc w:val="center"/>
              <w:rPr>
                <w:b/>
                <w:bCs/>
              </w:rPr>
            </w:pPr>
            <w:r w:rsidRPr="00BD1027">
              <w:rPr>
                <w:b/>
                <w:bCs/>
              </w:rPr>
              <w:t>Ticker</w:t>
            </w:r>
          </w:p>
        </w:tc>
        <w:tc>
          <w:tcPr>
            <w:tcW w:w="0" w:type="auto"/>
            <w:vAlign w:val="center"/>
            <w:hideMark/>
          </w:tcPr>
          <w:p w14:paraId="4389305C" w14:textId="77777777" w:rsidR="00BD1027" w:rsidRPr="00BD1027" w:rsidRDefault="00BD1027" w:rsidP="00BD1027">
            <w:pPr>
              <w:jc w:val="center"/>
              <w:rPr>
                <w:b/>
                <w:bCs/>
              </w:rPr>
            </w:pPr>
            <w:r w:rsidRPr="00BD1027">
              <w:rPr>
                <w:b/>
                <w:bCs/>
              </w:rPr>
              <w:t xml:space="preserve">Tier 1 </w:t>
            </w:r>
            <w:proofErr w:type="spellStart"/>
            <w:r w:rsidRPr="00BD1027">
              <w:rPr>
                <w:b/>
                <w:bCs/>
              </w:rPr>
              <w:t>Wtd</w:t>
            </w:r>
            <w:proofErr w:type="spellEnd"/>
            <w:r w:rsidRPr="00BD1027">
              <w:rPr>
                <w:b/>
                <w:bCs/>
              </w:rPr>
              <w:t xml:space="preserve"> Avg</w:t>
            </w:r>
          </w:p>
        </w:tc>
        <w:tc>
          <w:tcPr>
            <w:tcW w:w="0" w:type="auto"/>
            <w:vAlign w:val="center"/>
            <w:hideMark/>
          </w:tcPr>
          <w:p w14:paraId="01110DCC" w14:textId="77777777" w:rsidR="00BD1027" w:rsidRPr="00BD1027" w:rsidRDefault="00BD1027" w:rsidP="00BD1027">
            <w:pPr>
              <w:jc w:val="center"/>
              <w:rPr>
                <w:b/>
                <w:bCs/>
              </w:rPr>
            </w:pPr>
            <w:r w:rsidRPr="00BD1027">
              <w:rPr>
                <w:b/>
                <w:bCs/>
              </w:rPr>
              <w:t>Result</w:t>
            </w:r>
          </w:p>
        </w:tc>
      </w:tr>
      <w:tr w:rsidR="00BD1027" w:rsidRPr="00BD1027" w14:paraId="78E9681D" w14:textId="77777777">
        <w:trPr>
          <w:tblCellSpacing w:w="15" w:type="dxa"/>
        </w:trPr>
        <w:tc>
          <w:tcPr>
            <w:tcW w:w="0" w:type="auto"/>
            <w:vAlign w:val="center"/>
            <w:hideMark/>
          </w:tcPr>
          <w:p w14:paraId="035DF177" w14:textId="77777777" w:rsidR="00BD1027" w:rsidRPr="00BD1027" w:rsidRDefault="00BD1027" w:rsidP="00BD1027">
            <w:r w:rsidRPr="00BD1027">
              <w:rPr>
                <w:b/>
                <w:bCs/>
              </w:rPr>
              <w:t>CE</w:t>
            </w:r>
            <w:r w:rsidRPr="00BD1027">
              <w:t xml:space="preserve"> (Celanese)</w:t>
            </w:r>
          </w:p>
        </w:tc>
        <w:tc>
          <w:tcPr>
            <w:tcW w:w="0" w:type="auto"/>
            <w:vAlign w:val="center"/>
            <w:hideMark/>
          </w:tcPr>
          <w:p w14:paraId="4605209C" w14:textId="77777777" w:rsidR="00BD1027" w:rsidRPr="00BD1027" w:rsidRDefault="00BD1027" w:rsidP="00BD1027">
            <w:r w:rsidRPr="00BD1027">
              <w:t>1.79</w:t>
            </w:r>
          </w:p>
        </w:tc>
        <w:tc>
          <w:tcPr>
            <w:tcW w:w="0" w:type="auto"/>
            <w:vAlign w:val="center"/>
            <w:hideMark/>
          </w:tcPr>
          <w:p w14:paraId="4DC0CF9C" w14:textId="77777777" w:rsidR="00BD1027" w:rsidRPr="00BD1027" w:rsidRDefault="00BD1027" w:rsidP="00BD1027">
            <w:r w:rsidRPr="00BD1027">
              <w:t xml:space="preserve">AVOID — two consecutive years of massive goodwill impairments ($1.5B, then $1.1B), 6x leverage, and 2026 FCF guidance that's </w:t>
            </w:r>
            <w:proofErr w:type="gramStart"/>
            <w:r w:rsidRPr="00BD1027">
              <w:t xml:space="preserve">actually </w:t>
            </w:r>
            <w:r w:rsidRPr="00BD1027">
              <w:rPr>
                <w:i/>
                <w:iCs/>
              </w:rPr>
              <w:t>lower</w:t>
            </w:r>
            <w:proofErr w:type="gramEnd"/>
            <w:r w:rsidRPr="00BD1027">
              <w:t xml:space="preserve"> than 2025's actual result</w:t>
            </w:r>
          </w:p>
        </w:tc>
      </w:tr>
      <w:tr w:rsidR="00BD1027" w:rsidRPr="00BD1027" w14:paraId="1E99D915" w14:textId="77777777">
        <w:trPr>
          <w:tblCellSpacing w:w="15" w:type="dxa"/>
        </w:trPr>
        <w:tc>
          <w:tcPr>
            <w:tcW w:w="0" w:type="auto"/>
            <w:vAlign w:val="center"/>
            <w:hideMark/>
          </w:tcPr>
          <w:p w14:paraId="2D4C1593" w14:textId="77777777" w:rsidR="00BD1027" w:rsidRPr="00BD1027" w:rsidRDefault="00BD1027" w:rsidP="00BD1027">
            <w:r w:rsidRPr="00BD1027">
              <w:rPr>
                <w:b/>
                <w:bCs/>
              </w:rPr>
              <w:t>CLF</w:t>
            </w:r>
            <w:r w:rsidRPr="00BD1027">
              <w:t xml:space="preserve"> (Cleveland-Cliffs)</w:t>
            </w:r>
          </w:p>
        </w:tc>
        <w:tc>
          <w:tcPr>
            <w:tcW w:w="0" w:type="auto"/>
            <w:vAlign w:val="center"/>
            <w:hideMark/>
          </w:tcPr>
          <w:p w14:paraId="5AE4779A" w14:textId="77777777" w:rsidR="00BD1027" w:rsidRPr="00BD1027" w:rsidRDefault="00BD1027" w:rsidP="00BD1027">
            <w:r w:rsidRPr="00BD1027">
              <w:t>1.86</w:t>
            </w:r>
          </w:p>
        </w:tc>
        <w:tc>
          <w:tcPr>
            <w:tcW w:w="0" w:type="auto"/>
            <w:vAlign w:val="center"/>
            <w:hideMark/>
          </w:tcPr>
          <w:p w14:paraId="09CD2890" w14:textId="77777777" w:rsidR="00BD1027" w:rsidRPr="00BD1027" w:rsidRDefault="00BD1027" w:rsidP="00BD1027">
            <w:r w:rsidRPr="00BD1027">
              <w:t>AVOID — still net-loss-making every quarter shown, FCF only just turned positive in Q2 2026 after a negative first half. A recovery story that hasn't finished proving itself yet</w:t>
            </w:r>
          </w:p>
        </w:tc>
      </w:tr>
      <w:tr w:rsidR="00BD1027" w:rsidRPr="00BD1027" w14:paraId="02A98A5F" w14:textId="77777777">
        <w:trPr>
          <w:tblCellSpacing w:w="15" w:type="dxa"/>
        </w:trPr>
        <w:tc>
          <w:tcPr>
            <w:tcW w:w="0" w:type="auto"/>
            <w:vAlign w:val="center"/>
            <w:hideMark/>
          </w:tcPr>
          <w:p w14:paraId="0F29BA06" w14:textId="77777777" w:rsidR="00BD1027" w:rsidRPr="00BD1027" w:rsidRDefault="00BD1027" w:rsidP="00BD1027">
            <w:r w:rsidRPr="00BD1027">
              <w:rPr>
                <w:b/>
                <w:bCs/>
              </w:rPr>
              <w:t>LIN</w:t>
            </w:r>
            <w:r w:rsidRPr="00BD1027">
              <w:t xml:space="preserve"> (Linde)</w:t>
            </w:r>
          </w:p>
        </w:tc>
        <w:tc>
          <w:tcPr>
            <w:tcW w:w="0" w:type="auto"/>
            <w:vAlign w:val="center"/>
            <w:hideMark/>
          </w:tcPr>
          <w:p w14:paraId="4ED21EEB" w14:textId="77777777" w:rsidR="00BD1027" w:rsidRPr="00BD1027" w:rsidRDefault="00BD1027" w:rsidP="00BD1027">
            <w:r w:rsidRPr="00BD1027">
              <w:rPr>
                <w:b/>
                <w:bCs/>
              </w:rPr>
              <w:t>4.50</w:t>
            </w:r>
          </w:p>
        </w:tc>
        <w:tc>
          <w:tcPr>
            <w:tcW w:w="0" w:type="auto"/>
            <w:vAlign w:val="center"/>
            <w:hideMark/>
          </w:tcPr>
          <w:p w14:paraId="6DF8F3B0" w14:textId="77777777" w:rsidR="00BD1027" w:rsidRPr="00BD1027" w:rsidRDefault="00BD1027" w:rsidP="00BD1027">
            <w:r w:rsidRPr="00BD1027">
              <w:rPr>
                <w:b/>
                <w:bCs/>
              </w:rPr>
              <w:t>PASS — one of the strongest scores this whole session.</w:t>
            </w:r>
            <w:r w:rsidRPr="00BD1027">
              <w:t xml:space="preserve"> World's largest industrial gas company, ~30% operating margins, genuine infrastructure moat (on-site gas supply contracts create real switching costs), $11B project backlog</w:t>
            </w:r>
          </w:p>
        </w:tc>
      </w:tr>
    </w:tbl>
    <w:p w14:paraId="3D2E137D" w14:textId="77777777" w:rsidR="00BD1027" w:rsidRPr="00BD1027" w:rsidRDefault="00BD1027" w:rsidP="00BD1027">
      <w:pPr>
        <w:keepNext/>
        <w:spacing w:before="100" w:beforeAutospacing="1" w:after="100" w:afterAutospacing="1"/>
        <w:outlineLvl w:val="1"/>
        <w:rPr>
          <w:b/>
          <w:bCs/>
          <w:sz w:val="36"/>
          <w:szCs w:val="36"/>
        </w:rPr>
      </w:pPr>
      <w:r w:rsidRPr="00BD1027">
        <w:rPr>
          <w:b/>
          <w:bCs/>
          <w:sz w:val="36"/>
          <w:szCs w:val="36"/>
        </w:rPr>
        <w:lastRenderedPageBreak/>
        <w:t>The bug worth explaining, not glossing over</w:t>
      </w:r>
    </w:p>
    <w:p w14:paraId="2BAE6600" w14:textId="77777777" w:rsidR="00BD1027" w:rsidRPr="00BD1027" w:rsidRDefault="00BD1027" w:rsidP="00BD1027">
      <w:pPr>
        <w:spacing w:before="100" w:beforeAutospacing="1" w:after="100" w:afterAutospacing="1"/>
      </w:pPr>
      <w:r w:rsidRPr="00BD1027">
        <w:t xml:space="preserve">LIN's row landed on row 28 — one row past where the Scoring tab </w:t>
      </w:r>
      <w:proofErr w:type="gramStart"/>
      <w:r w:rsidRPr="00BD1027">
        <w:t>actually had</w:t>
      </w:r>
      <w:proofErr w:type="gramEnd"/>
      <w:r w:rsidRPr="00BD1027">
        <w:t xml:space="preserve"> formulas. The tab was originally built for exactly 25 rows (3–27), and this batch was the one that finally filled it. Data went in fine; the Composite Score simply never calculated, because there was no formula there to calculate it. Caught it because I checked the actual computed value instead of assuming the population script worked just because it saved without error — same discipline as the earlier COUNTIF and Price-History-clearing catches.</w:t>
      </w:r>
    </w:p>
    <w:p w14:paraId="5C8BD255" w14:textId="77777777" w:rsidR="00BD1027" w:rsidRPr="00BD1027" w:rsidRDefault="00BD1027" w:rsidP="00BD1027">
      <w:pPr>
        <w:spacing w:before="100" w:beforeAutospacing="1" w:after="100" w:afterAutospacing="1"/>
      </w:pPr>
      <w:r w:rsidRPr="00BD1027">
        <w:rPr>
          <w:b/>
          <w:bCs/>
        </w:rPr>
        <w:t>Fixed by extending the tab, not patching one row</w:t>
      </w:r>
      <w:r w:rsidRPr="00BD1027">
        <w:t>: formulas, input formatting, data validation, and conditional formatting now run through row 60 — real headroom for the rest of this candidate list (still ~40 names across Consumer Cyclical, Healthcare, Industrials, Technology, and the rest), not just enough to cover today. Verified LIN now computes correctly (4.50, matches my hand calculation) and spot-checked NVDA's row to confirm nothing upstream got disturbed.</w:t>
      </w:r>
    </w:p>
    <w:p w14:paraId="7B10F9E4" w14:textId="77777777" w:rsidR="00BD1027" w:rsidRPr="00BD1027" w:rsidRDefault="00BD1027" w:rsidP="00BD1027">
      <w:pPr>
        <w:spacing w:before="100" w:beforeAutospacing="1" w:after="100" w:afterAutospacing="1"/>
        <w:outlineLvl w:val="1"/>
        <w:rPr>
          <w:b/>
          <w:bCs/>
          <w:sz w:val="36"/>
          <w:szCs w:val="36"/>
        </w:rPr>
      </w:pPr>
      <w:r w:rsidRPr="00BD1027">
        <w:rPr>
          <w:b/>
          <w:bCs/>
          <w:sz w:val="36"/>
          <w:szCs w:val="36"/>
        </w:rPr>
        <w:t>Running tally: 2 forays into Tier A, 2 passes out of 7 candidates</w:t>
      </w:r>
    </w:p>
    <w:p w14:paraId="554F9910" w14:textId="77777777" w:rsidR="00BD1027" w:rsidRPr="00BD1027" w:rsidRDefault="00BD1027" w:rsidP="00BD1027">
      <w:pPr>
        <w:spacing w:before="100" w:beforeAutospacing="1" w:after="100" w:afterAutospacing="1"/>
      </w:pPr>
      <w:r w:rsidRPr="00BD1027">
        <w:t xml:space="preserve">ET and LIN — both genuinely different economic drivers than anything else in the portfolio, and both came from sectors with zero prior representation. Ready for </w:t>
      </w:r>
      <w:r w:rsidRPr="00BD1027">
        <w:rPr>
          <w:b/>
          <w:bCs/>
        </w:rPr>
        <w:t>Consumer Defensive/Staples (DEO, EL, HRL, PG)</w:t>
      </w:r>
      <w:r w:rsidRPr="00BD1027">
        <w:t xml:space="preserve"> whenever you want to continue.</w:t>
      </w:r>
    </w:p>
    <w:p w14:paraId="4EF52E47" w14:textId="77777777" w:rsidR="00BD1027" w:rsidRDefault="00BD1027" w:rsidP="00BD1027">
      <w:pPr>
        <w:pBdr>
          <w:bottom w:val="single" w:sz="4" w:space="1" w:color="auto"/>
        </w:pBdr>
      </w:pPr>
    </w:p>
    <w:p w14:paraId="7F0C516D" w14:textId="77777777" w:rsidR="002C1609" w:rsidRPr="002C1609" w:rsidRDefault="002C1609" w:rsidP="002C1609">
      <w:pPr>
        <w:spacing w:before="100" w:beforeAutospacing="1" w:after="100" w:afterAutospacing="1"/>
      </w:pPr>
      <w:r w:rsidRPr="002C1609">
        <w:t>Splitting into three thematic groups rather than arbitrary batches — restaurants, apparel/retail, and diversified/e-commerce are different enough businesses that grouping by type keeps each foray's comparisons meaningful: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5"/>
        <w:gridCol w:w="2581"/>
        <w:gridCol w:w="2961"/>
      </w:tblGrid>
      <w:tr w:rsidR="002C1609" w:rsidRPr="002C1609" w14:paraId="7835AA52" w14:textId="77777777">
        <w:trPr>
          <w:tblHeader/>
          <w:tblCellSpacing w:w="15" w:type="dxa"/>
        </w:trPr>
        <w:tc>
          <w:tcPr>
            <w:tcW w:w="0" w:type="auto"/>
            <w:vAlign w:val="center"/>
            <w:hideMark/>
          </w:tcPr>
          <w:p w14:paraId="169CC606" w14:textId="77777777" w:rsidR="002C1609" w:rsidRPr="002C1609" w:rsidRDefault="002C1609" w:rsidP="002C1609">
            <w:pPr>
              <w:jc w:val="center"/>
              <w:rPr>
                <w:b/>
                <w:bCs/>
              </w:rPr>
            </w:pPr>
            <w:r w:rsidRPr="002C1609">
              <w:rPr>
                <w:b/>
                <w:bCs/>
              </w:rPr>
              <w:t>Batch</w:t>
            </w:r>
          </w:p>
        </w:tc>
        <w:tc>
          <w:tcPr>
            <w:tcW w:w="0" w:type="auto"/>
            <w:vAlign w:val="center"/>
            <w:hideMark/>
          </w:tcPr>
          <w:p w14:paraId="17659E96" w14:textId="77777777" w:rsidR="002C1609" w:rsidRPr="002C1609" w:rsidRDefault="002C1609" w:rsidP="002C1609">
            <w:pPr>
              <w:jc w:val="center"/>
              <w:rPr>
                <w:b/>
                <w:bCs/>
              </w:rPr>
            </w:pPr>
            <w:r w:rsidRPr="002C1609">
              <w:rPr>
                <w:b/>
                <w:bCs/>
              </w:rPr>
              <w:t>Tickers</w:t>
            </w:r>
          </w:p>
        </w:tc>
        <w:tc>
          <w:tcPr>
            <w:tcW w:w="0" w:type="auto"/>
            <w:vAlign w:val="center"/>
            <w:hideMark/>
          </w:tcPr>
          <w:p w14:paraId="3081A221" w14:textId="77777777" w:rsidR="002C1609" w:rsidRPr="002C1609" w:rsidRDefault="002C1609" w:rsidP="002C1609">
            <w:pPr>
              <w:jc w:val="center"/>
              <w:rPr>
                <w:b/>
                <w:bCs/>
              </w:rPr>
            </w:pPr>
            <w:r w:rsidRPr="002C1609">
              <w:rPr>
                <w:b/>
                <w:bCs/>
              </w:rPr>
              <w:t>Theme</w:t>
            </w:r>
          </w:p>
        </w:tc>
      </w:tr>
      <w:tr w:rsidR="002C1609" w:rsidRPr="002C1609" w14:paraId="6C0B76EA" w14:textId="77777777">
        <w:trPr>
          <w:tblCellSpacing w:w="15" w:type="dxa"/>
        </w:trPr>
        <w:tc>
          <w:tcPr>
            <w:tcW w:w="0" w:type="auto"/>
            <w:vAlign w:val="center"/>
            <w:hideMark/>
          </w:tcPr>
          <w:p w14:paraId="3DD3FFEE" w14:textId="77777777" w:rsidR="002C1609" w:rsidRPr="002C1609" w:rsidRDefault="002C1609" w:rsidP="002C1609">
            <w:r w:rsidRPr="002C1609">
              <w:rPr>
                <w:b/>
                <w:bCs/>
              </w:rPr>
              <w:t>3a</w:t>
            </w:r>
          </w:p>
        </w:tc>
        <w:tc>
          <w:tcPr>
            <w:tcW w:w="0" w:type="auto"/>
            <w:vAlign w:val="center"/>
            <w:hideMark/>
          </w:tcPr>
          <w:p w14:paraId="090E15C5" w14:textId="77777777" w:rsidR="002C1609" w:rsidRPr="002C1609" w:rsidRDefault="002C1609" w:rsidP="002C1609">
            <w:r w:rsidRPr="002C1609">
              <w:t>CMG, DPZ, PZZA, YUM</w:t>
            </w:r>
          </w:p>
        </w:tc>
        <w:tc>
          <w:tcPr>
            <w:tcW w:w="0" w:type="auto"/>
            <w:vAlign w:val="center"/>
            <w:hideMark/>
          </w:tcPr>
          <w:p w14:paraId="7C65E4E7" w14:textId="77777777" w:rsidR="002C1609" w:rsidRPr="002C1609" w:rsidRDefault="002C1609" w:rsidP="002C1609">
            <w:r w:rsidRPr="002C1609">
              <w:t>Restaurants/QSR</w:t>
            </w:r>
          </w:p>
        </w:tc>
      </w:tr>
      <w:tr w:rsidR="002C1609" w:rsidRPr="002C1609" w14:paraId="45BF84B7" w14:textId="77777777">
        <w:trPr>
          <w:tblCellSpacing w:w="15" w:type="dxa"/>
        </w:trPr>
        <w:tc>
          <w:tcPr>
            <w:tcW w:w="0" w:type="auto"/>
            <w:vAlign w:val="center"/>
            <w:hideMark/>
          </w:tcPr>
          <w:p w14:paraId="0EDDD8BC" w14:textId="77777777" w:rsidR="002C1609" w:rsidRPr="002C1609" w:rsidRDefault="002C1609" w:rsidP="002C1609">
            <w:r w:rsidRPr="002C1609">
              <w:rPr>
                <w:b/>
                <w:bCs/>
              </w:rPr>
              <w:t>3b</w:t>
            </w:r>
          </w:p>
        </w:tc>
        <w:tc>
          <w:tcPr>
            <w:tcW w:w="0" w:type="auto"/>
            <w:vAlign w:val="center"/>
            <w:hideMark/>
          </w:tcPr>
          <w:p w14:paraId="6FD06329" w14:textId="77777777" w:rsidR="002C1609" w:rsidRPr="002C1609" w:rsidRDefault="002C1609" w:rsidP="002C1609">
            <w:r w:rsidRPr="002C1609">
              <w:t>NKE, VFC, GOOS</w:t>
            </w:r>
          </w:p>
        </w:tc>
        <w:tc>
          <w:tcPr>
            <w:tcW w:w="0" w:type="auto"/>
            <w:vAlign w:val="center"/>
            <w:hideMark/>
          </w:tcPr>
          <w:p w14:paraId="287904F2" w14:textId="77777777" w:rsidR="002C1609" w:rsidRPr="002C1609" w:rsidRDefault="002C1609" w:rsidP="002C1609">
            <w:r w:rsidRPr="002C1609">
              <w:t>Apparel</w:t>
            </w:r>
          </w:p>
        </w:tc>
      </w:tr>
      <w:tr w:rsidR="002C1609" w:rsidRPr="002C1609" w14:paraId="54AC920F" w14:textId="77777777">
        <w:trPr>
          <w:tblCellSpacing w:w="15" w:type="dxa"/>
        </w:trPr>
        <w:tc>
          <w:tcPr>
            <w:tcW w:w="0" w:type="auto"/>
            <w:vAlign w:val="center"/>
            <w:hideMark/>
          </w:tcPr>
          <w:p w14:paraId="5F534149" w14:textId="77777777" w:rsidR="002C1609" w:rsidRPr="002C1609" w:rsidRDefault="002C1609" w:rsidP="002C1609">
            <w:r w:rsidRPr="002C1609">
              <w:rPr>
                <w:b/>
                <w:bCs/>
              </w:rPr>
              <w:t>3c</w:t>
            </w:r>
          </w:p>
        </w:tc>
        <w:tc>
          <w:tcPr>
            <w:tcW w:w="0" w:type="auto"/>
            <w:vAlign w:val="center"/>
            <w:hideMark/>
          </w:tcPr>
          <w:p w14:paraId="17FC8170" w14:textId="77777777" w:rsidR="002C1609" w:rsidRPr="002C1609" w:rsidRDefault="002C1609" w:rsidP="002C1609">
            <w:r w:rsidRPr="002C1609">
              <w:t>AAP, BABA, ETSY</w:t>
            </w:r>
          </w:p>
        </w:tc>
        <w:tc>
          <w:tcPr>
            <w:tcW w:w="0" w:type="auto"/>
            <w:vAlign w:val="center"/>
            <w:hideMark/>
          </w:tcPr>
          <w:p w14:paraId="4CFE5916" w14:textId="77777777" w:rsidR="002C1609" w:rsidRPr="002C1609" w:rsidRDefault="002C1609" w:rsidP="002C1609">
            <w:r w:rsidRPr="002C1609">
              <w:t>Diversified retail/e-commerce</w:t>
            </w:r>
          </w:p>
        </w:tc>
      </w:tr>
    </w:tbl>
    <w:p w14:paraId="7B6C26F5" w14:textId="77777777" w:rsidR="002C1609" w:rsidRPr="002C1609" w:rsidRDefault="002C1609" w:rsidP="002C1609">
      <w:pPr>
        <w:spacing w:before="100" w:beforeAutospacing="1" w:after="100" w:afterAutospacing="1"/>
      </w:pPr>
      <w:r w:rsidRPr="002C1609">
        <w:t xml:space="preserve">Starting with 3a — </w:t>
      </w:r>
      <w:proofErr w:type="spellStart"/>
      <w:r w:rsidRPr="002C1609">
        <w:t>restaurants.CMG</w:t>
      </w:r>
      <w:proofErr w:type="spellEnd"/>
      <w:r w:rsidRPr="002C1609">
        <w:t xml:space="preserve"> passes — strong consistent growth, real brand moat, though genuine margin compression (18.2%→15.7% operating margin) worth watching. Let's check </w:t>
      </w:r>
      <w:proofErr w:type="spellStart"/>
      <w:r w:rsidRPr="002C1609">
        <w:t>Domino's.DPZ</w:t>
      </w:r>
      <w:proofErr w:type="spellEnd"/>
      <w:r w:rsidRPr="002C1609">
        <w:t xml:space="preserve"> is exceptional — 32 consecutive years of international same-store sales growth, operating income growing faster than revenue, and one of the strongest Tier 1 scores this entire session. Let's check Papa </w:t>
      </w:r>
      <w:proofErr w:type="spellStart"/>
      <w:r w:rsidRPr="002C1609">
        <w:t>John's.PZZA</w:t>
      </w:r>
      <w:proofErr w:type="spellEnd"/>
      <w:r w:rsidRPr="002C1609">
        <w:t xml:space="preserve"> fails decisively — revenue declining for multiple consecutive quarters (-6%, -7.7%, -8.8%), FCF collapsed 74% and went negative in Q1, restaurant closures accelerating. A sharp contrast to CMG and DPZ within the same category. Let's check Yum! </w:t>
      </w:r>
      <w:proofErr w:type="spellStart"/>
      <w:r w:rsidRPr="002C1609">
        <w:t>Brands.All</w:t>
      </w:r>
      <w:proofErr w:type="spellEnd"/>
      <w:r w:rsidRPr="002C1609">
        <w:t xml:space="preserve"> four researched — 3 passes, 1 decisive fail, by far the best hit rate of any foray this session. Let me populate the </w:t>
      </w:r>
      <w:proofErr w:type="spellStart"/>
      <w:proofErr w:type="gramStart"/>
      <w:r w:rsidRPr="002C1609">
        <w:t>workbook.Zero</w:t>
      </w:r>
      <w:proofErr w:type="spellEnd"/>
      <w:proofErr w:type="gramEnd"/>
      <w:r w:rsidRPr="002C1609">
        <w:t xml:space="preserve"> errors. Let's verify and </w:t>
      </w:r>
      <w:proofErr w:type="gramStart"/>
      <w:r w:rsidRPr="002C1609">
        <w:t>finalize.#</w:t>
      </w:r>
      <w:proofErr w:type="gramEnd"/>
      <w:r w:rsidRPr="002C1609">
        <w:t># Batch 3a (Restaurants/QSR) complete — 3 passes, 1 fail, best hit rate of the whole session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1"/>
        <w:gridCol w:w="929"/>
        <w:gridCol w:w="8350"/>
      </w:tblGrid>
      <w:tr w:rsidR="002C1609" w:rsidRPr="002C1609" w14:paraId="17226708" w14:textId="77777777">
        <w:trPr>
          <w:tblHeader/>
          <w:tblCellSpacing w:w="15" w:type="dxa"/>
        </w:trPr>
        <w:tc>
          <w:tcPr>
            <w:tcW w:w="0" w:type="auto"/>
            <w:vAlign w:val="center"/>
            <w:hideMark/>
          </w:tcPr>
          <w:p w14:paraId="7F1F7937" w14:textId="77777777" w:rsidR="002C1609" w:rsidRPr="002C1609" w:rsidRDefault="002C1609" w:rsidP="002C1609">
            <w:pPr>
              <w:jc w:val="center"/>
              <w:rPr>
                <w:b/>
                <w:bCs/>
              </w:rPr>
            </w:pPr>
            <w:r w:rsidRPr="002C1609">
              <w:rPr>
                <w:b/>
                <w:bCs/>
              </w:rPr>
              <w:t>Ticker</w:t>
            </w:r>
          </w:p>
        </w:tc>
        <w:tc>
          <w:tcPr>
            <w:tcW w:w="0" w:type="auto"/>
            <w:vAlign w:val="center"/>
            <w:hideMark/>
          </w:tcPr>
          <w:p w14:paraId="757A28B1" w14:textId="77777777" w:rsidR="002C1609" w:rsidRPr="002C1609" w:rsidRDefault="002C1609" w:rsidP="002C1609">
            <w:pPr>
              <w:jc w:val="center"/>
              <w:rPr>
                <w:b/>
                <w:bCs/>
              </w:rPr>
            </w:pPr>
            <w:r w:rsidRPr="002C1609">
              <w:rPr>
                <w:b/>
                <w:bCs/>
              </w:rPr>
              <w:t xml:space="preserve">Tier 1 </w:t>
            </w:r>
            <w:proofErr w:type="spellStart"/>
            <w:r w:rsidRPr="002C1609">
              <w:rPr>
                <w:b/>
                <w:bCs/>
              </w:rPr>
              <w:t>Wtd</w:t>
            </w:r>
            <w:proofErr w:type="spellEnd"/>
            <w:r w:rsidRPr="002C1609">
              <w:rPr>
                <w:b/>
                <w:bCs/>
              </w:rPr>
              <w:t xml:space="preserve"> Avg</w:t>
            </w:r>
          </w:p>
        </w:tc>
        <w:tc>
          <w:tcPr>
            <w:tcW w:w="0" w:type="auto"/>
            <w:vAlign w:val="center"/>
            <w:hideMark/>
          </w:tcPr>
          <w:p w14:paraId="6A77F5ED" w14:textId="77777777" w:rsidR="002C1609" w:rsidRPr="002C1609" w:rsidRDefault="002C1609" w:rsidP="002C1609">
            <w:pPr>
              <w:jc w:val="center"/>
              <w:rPr>
                <w:b/>
                <w:bCs/>
              </w:rPr>
            </w:pPr>
            <w:r w:rsidRPr="002C1609">
              <w:rPr>
                <w:b/>
                <w:bCs/>
              </w:rPr>
              <w:t>Result</w:t>
            </w:r>
          </w:p>
        </w:tc>
      </w:tr>
      <w:tr w:rsidR="002C1609" w:rsidRPr="002C1609" w14:paraId="79713C7C" w14:textId="77777777">
        <w:trPr>
          <w:tblCellSpacing w:w="15" w:type="dxa"/>
        </w:trPr>
        <w:tc>
          <w:tcPr>
            <w:tcW w:w="0" w:type="auto"/>
            <w:vAlign w:val="center"/>
            <w:hideMark/>
          </w:tcPr>
          <w:p w14:paraId="1DD760E5" w14:textId="77777777" w:rsidR="002C1609" w:rsidRPr="002C1609" w:rsidRDefault="002C1609" w:rsidP="002C1609">
            <w:r w:rsidRPr="002C1609">
              <w:rPr>
                <w:b/>
                <w:bCs/>
              </w:rPr>
              <w:t>CMG</w:t>
            </w:r>
            <w:r w:rsidRPr="002C1609">
              <w:t xml:space="preserve"> (Chipotle)</w:t>
            </w:r>
          </w:p>
        </w:tc>
        <w:tc>
          <w:tcPr>
            <w:tcW w:w="0" w:type="auto"/>
            <w:vAlign w:val="center"/>
            <w:hideMark/>
          </w:tcPr>
          <w:p w14:paraId="6AACF380" w14:textId="77777777" w:rsidR="002C1609" w:rsidRPr="002C1609" w:rsidRDefault="002C1609" w:rsidP="002C1609">
            <w:r w:rsidRPr="002C1609">
              <w:t>3.71</w:t>
            </w:r>
          </w:p>
        </w:tc>
        <w:tc>
          <w:tcPr>
            <w:tcW w:w="0" w:type="auto"/>
            <w:vAlign w:val="center"/>
            <w:hideMark/>
          </w:tcPr>
          <w:p w14:paraId="08066C31" w14:textId="77777777" w:rsidR="002C1609" w:rsidRPr="002C1609" w:rsidRDefault="002C1609" w:rsidP="002C1609">
            <w:r w:rsidRPr="002C1609">
              <w:t>PASS — strong consistent growth, real brand moat, though genuine margin compression (18.2%→15.7% operating margin YoY) worth watching</w:t>
            </w:r>
          </w:p>
        </w:tc>
      </w:tr>
      <w:tr w:rsidR="002C1609" w:rsidRPr="002C1609" w14:paraId="5363EB87" w14:textId="77777777">
        <w:trPr>
          <w:tblCellSpacing w:w="15" w:type="dxa"/>
        </w:trPr>
        <w:tc>
          <w:tcPr>
            <w:tcW w:w="0" w:type="auto"/>
            <w:vAlign w:val="center"/>
            <w:hideMark/>
          </w:tcPr>
          <w:p w14:paraId="082A5317" w14:textId="77777777" w:rsidR="002C1609" w:rsidRPr="002C1609" w:rsidRDefault="002C1609" w:rsidP="002C1609">
            <w:r w:rsidRPr="002C1609">
              <w:rPr>
                <w:b/>
                <w:bCs/>
              </w:rPr>
              <w:t>DPZ</w:t>
            </w:r>
            <w:r w:rsidRPr="002C1609">
              <w:t xml:space="preserve"> (Domino's)</w:t>
            </w:r>
          </w:p>
        </w:tc>
        <w:tc>
          <w:tcPr>
            <w:tcW w:w="0" w:type="auto"/>
            <w:vAlign w:val="center"/>
            <w:hideMark/>
          </w:tcPr>
          <w:p w14:paraId="5AC25E5D" w14:textId="77777777" w:rsidR="002C1609" w:rsidRPr="002C1609" w:rsidRDefault="002C1609" w:rsidP="002C1609">
            <w:r w:rsidRPr="002C1609">
              <w:rPr>
                <w:b/>
                <w:bCs/>
              </w:rPr>
              <w:t>4.86</w:t>
            </w:r>
          </w:p>
        </w:tc>
        <w:tc>
          <w:tcPr>
            <w:tcW w:w="0" w:type="auto"/>
            <w:vAlign w:val="center"/>
            <w:hideMark/>
          </w:tcPr>
          <w:p w14:paraId="6DAAFAC9" w14:textId="77777777" w:rsidR="002C1609" w:rsidRPr="002C1609" w:rsidRDefault="002C1609" w:rsidP="002C1609">
            <w:r w:rsidRPr="002C1609">
              <w:rPr>
                <w:b/>
                <w:bCs/>
              </w:rPr>
              <w:t>PASS — one of the two or three best scores this entire session.</w:t>
            </w:r>
            <w:r w:rsidRPr="002C1609">
              <w:t xml:space="preserve"> 32 consecutive years of international same-store sales growth, operating income growing faster than revenue, 99% franchise-capital-light model</w:t>
            </w:r>
          </w:p>
        </w:tc>
      </w:tr>
      <w:tr w:rsidR="002C1609" w:rsidRPr="002C1609" w14:paraId="12268D78" w14:textId="77777777">
        <w:trPr>
          <w:tblCellSpacing w:w="15" w:type="dxa"/>
        </w:trPr>
        <w:tc>
          <w:tcPr>
            <w:tcW w:w="0" w:type="auto"/>
            <w:vAlign w:val="center"/>
            <w:hideMark/>
          </w:tcPr>
          <w:p w14:paraId="3B4F7348" w14:textId="77777777" w:rsidR="002C1609" w:rsidRPr="002C1609" w:rsidRDefault="002C1609" w:rsidP="002C1609">
            <w:r w:rsidRPr="002C1609">
              <w:rPr>
                <w:b/>
                <w:bCs/>
              </w:rPr>
              <w:lastRenderedPageBreak/>
              <w:t>PZZA</w:t>
            </w:r>
            <w:r w:rsidRPr="002C1609">
              <w:t xml:space="preserve"> (Papa John's)</w:t>
            </w:r>
          </w:p>
        </w:tc>
        <w:tc>
          <w:tcPr>
            <w:tcW w:w="0" w:type="auto"/>
            <w:vAlign w:val="center"/>
            <w:hideMark/>
          </w:tcPr>
          <w:p w14:paraId="720677CE" w14:textId="77777777" w:rsidR="002C1609" w:rsidRPr="002C1609" w:rsidRDefault="002C1609" w:rsidP="002C1609">
            <w:r w:rsidRPr="002C1609">
              <w:t>1.36</w:t>
            </w:r>
          </w:p>
        </w:tc>
        <w:tc>
          <w:tcPr>
            <w:tcW w:w="0" w:type="auto"/>
            <w:vAlign w:val="center"/>
            <w:hideMark/>
          </w:tcPr>
          <w:p w14:paraId="7D2F1431" w14:textId="77777777" w:rsidR="002C1609" w:rsidRPr="002C1609" w:rsidRDefault="002C1609" w:rsidP="002C1609">
            <w:r w:rsidRPr="002C1609">
              <w:t>AVOID — decisive fail. Revenue declining for three straight quarters (-6%, -7.7%, -8.8%), FCF collapsed and went negative, restaurant closures accelerating</w:t>
            </w:r>
          </w:p>
        </w:tc>
      </w:tr>
      <w:tr w:rsidR="002C1609" w:rsidRPr="002C1609" w14:paraId="10A72D36" w14:textId="77777777">
        <w:trPr>
          <w:tblCellSpacing w:w="15" w:type="dxa"/>
        </w:trPr>
        <w:tc>
          <w:tcPr>
            <w:tcW w:w="0" w:type="auto"/>
            <w:vAlign w:val="center"/>
            <w:hideMark/>
          </w:tcPr>
          <w:p w14:paraId="6C0DFD32" w14:textId="77777777" w:rsidR="002C1609" w:rsidRPr="002C1609" w:rsidRDefault="002C1609" w:rsidP="002C1609">
            <w:r w:rsidRPr="002C1609">
              <w:rPr>
                <w:b/>
                <w:bCs/>
              </w:rPr>
              <w:t>YUM</w:t>
            </w:r>
            <w:r w:rsidRPr="002C1609">
              <w:t xml:space="preserve"> (Yum! Brands)</w:t>
            </w:r>
          </w:p>
        </w:tc>
        <w:tc>
          <w:tcPr>
            <w:tcW w:w="0" w:type="auto"/>
            <w:vAlign w:val="center"/>
            <w:hideMark/>
          </w:tcPr>
          <w:p w14:paraId="6FB767BD" w14:textId="77777777" w:rsidR="002C1609" w:rsidRPr="002C1609" w:rsidRDefault="002C1609" w:rsidP="002C1609">
            <w:r w:rsidRPr="002C1609">
              <w:t>4.29</w:t>
            </w:r>
          </w:p>
        </w:tc>
        <w:tc>
          <w:tcPr>
            <w:tcW w:w="0" w:type="auto"/>
            <w:vAlign w:val="center"/>
            <w:hideMark/>
          </w:tcPr>
          <w:p w14:paraId="6A13B22C" w14:textId="77777777" w:rsidR="002C1609" w:rsidRPr="002C1609" w:rsidRDefault="002C1609" w:rsidP="002C1609">
            <w:r w:rsidRPr="002C1609">
              <w:t>PASS — 18 consecutive years of reported FCF, 97% franchised across KFC/Taco Bell/Pizza Hut/Habit Burger, 64% of revenue is recurring franchise royalties</w:t>
            </w:r>
          </w:p>
        </w:tc>
      </w:tr>
    </w:tbl>
    <w:p w14:paraId="787E2151" w14:textId="77777777" w:rsidR="002C1609" w:rsidRPr="002C1609" w:rsidRDefault="002C1609" w:rsidP="002C1609">
      <w:pPr>
        <w:spacing w:before="100" w:beforeAutospacing="1" w:after="100" w:afterAutospacing="1"/>
        <w:outlineLvl w:val="1"/>
        <w:rPr>
          <w:b/>
          <w:bCs/>
          <w:sz w:val="36"/>
          <w:szCs w:val="36"/>
        </w:rPr>
      </w:pPr>
      <w:r w:rsidRPr="002C1609">
        <w:rPr>
          <w:b/>
          <w:bCs/>
          <w:sz w:val="36"/>
          <w:szCs w:val="36"/>
        </w:rPr>
        <w:t xml:space="preserve">The pattern worth </w:t>
      </w:r>
      <w:proofErr w:type="gramStart"/>
      <w:r w:rsidRPr="002C1609">
        <w:rPr>
          <w:b/>
          <w:bCs/>
          <w:sz w:val="36"/>
          <w:szCs w:val="36"/>
        </w:rPr>
        <w:t>naming:</w:t>
      </w:r>
      <w:proofErr w:type="gramEnd"/>
      <w:r w:rsidRPr="002C1609">
        <w:rPr>
          <w:b/>
          <w:bCs/>
          <w:sz w:val="36"/>
          <w:szCs w:val="36"/>
        </w:rPr>
        <w:t xml:space="preserve"> this is the inverse of the staples batch</w:t>
      </w:r>
    </w:p>
    <w:p w14:paraId="19D1232E" w14:textId="77777777" w:rsidR="002C1609" w:rsidRPr="002C1609" w:rsidRDefault="002C1609" w:rsidP="002C1609">
      <w:pPr>
        <w:spacing w:before="100" w:beforeAutospacing="1" w:after="100" w:afterAutospacing="1"/>
      </w:pPr>
      <w:r w:rsidRPr="002C1609">
        <w:t xml:space="preserve">Last time, three household names failed and one passed — the sector's reputation didn't match the numbers. Here it's the opposite: </w:t>
      </w:r>
      <w:r w:rsidRPr="002C1609">
        <w:rPr>
          <w:b/>
          <w:bCs/>
        </w:rPr>
        <w:t>the asset-light, heavily-franchised restaurant model is genuinely a strong structural fit for this System's FCF-first philosophy</w:t>
      </w:r>
      <w:r w:rsidRPr="002C1609">
        <w:t xml:space="preserve"> — recurring royalty revenue, minimal capital intensity, real brand moats. Three of four cleared comfortably. Papa John's is the outlier specifically because of company-level execution problems (losing share while DPZ explicitly gains it in the same category), not because the restaurant/franchise model itself is weak. That's the value of screening within a sector rather than making a blanket call either way.</w:t>
      </w:r>
    </w:p>
    <w:p w14:paraId="073F4DD7" w14:textId="77777777" w:rsidR="002C1609" w:rsidRPr="002C1609" w:rsidRDefault="002C1609" w:rsidP="002C1609">
      <w:pPr>
        <w:spacing w:before="100" w:beforeAutospacing="1" w:after="100" w:afterAutospacing="1"/>
      </w:pPr>
      <w:r w:rsidRPr="002C1609">
        <w:t xml:space="preserve">Ready for </w:t>
      </w:r>
      <w:r w:rsidRPr="002C1609">
        <w:rPr>
          <w:b/>
          <w:bCs/>
        </w:rPr>
        <w:t>3b — Apparel: NKE, VFC, GOOS</w:t>
      </w:r>
      <w:r w:rsidRPr="002C1609">
        <w:t xml:space="preserve"> whenever you want to continue.</w:t>
      </w:r>
    </w:p>
    <w:p w14:paraId="45C4D78C" w14:textId="242D1FF6" w:rsidR="00BD1027" w:rsidRDefault="0099066B" w:rsidP="00C47E13">
      <w:pPr>
        <w:pBdr>
          <w:bottom w:val="single" w:sz="4" w:space="1" w:color="auto"/>
        </w:pBdr>
      </w:pPr>
      <w:r>
        <w:t>[Analysis Paused]</w:t>
      </w:r>
    </w:p>
    <w:p w14:paraId="7EBB9CFF" w14:textId="20C3C3F7" w:rsidR="00BD1027" w:rsidRDefault="00C47E13">
      <w:r>
        <w:t>[Analysis Resumed]</w:t>
      </w:r>
    </w:p>
    <w:p w14:paraId="07F83FB6" w14:textId="77777777" w:rsidR="00C47E13" w:rsidRPr="00C47E13" w:rsidRDefault="00C47E13" w:rsidP="00C47E13">
      <w:pPr>
        <w:spacing w:before="100" w:beforeAutospacing="1" w:after="100" w:afterAutospacing="1"/>
      </w:pPr>
      <w:r w:rsidRPr="00C47E13">
        <w:t xml:space="preserve">Nike fails decisively — FCF collapsed 33.2% YoY to a 5-year low yield (1.53% vs 3.08% average), revenue essentially flat after a prior decline, and the company's own admission that "the turnaround is progressing more slowly than expected." Let's check VF </w:t>
      </w:r>
      <w:proofErr w:type="spellStart"/>
      <w:r w:rsidRPr="00C47E13">
        <w:t>Corp.VFC</w:t>
      </w:r>
      <w:proofErr w:type="spellEnd"/>
      <w:r w:rsidRPr="00C47E13">
        <w:t xml:space="preserve"> is genuinely borderline — real multi-quarter progress (revenue inflection, consistent deleveraging across several quarters, restructuring phase largely complete) but Vans still declining -9% and the track record is still fragile. Let's check Canada Goose before </w:t>
      </w:r>
      <w:proofErr w:type="spellStart"/>
      <w:proofErr w:type="gramStart"/>
      <w:r w:rsidRPr="00C47E13">
        <w:t>compiling.All</w:t>
      </w:r>
      <w:proofErr w:type="spellEnd"/>
      <w:proofErr w:type="gramEnd"/>
      <w:r w:rsidRPr="00C47E13">
        <w:t xml:space="preserve"> three fail — the first entirely-zero-pass batch this session. Let me compile and </w:t>
      </w:r>
      <w:proofErr w:type="spellStart"/>
      <w:proofErr w:type="gramStart"/>
      <w:r w:rsidRPr="00C47E13">
        <w:t>populate.Zero</w:t>
      </w:r>
      <w:proofErr w:type="spellEnd"/>
      <w:proofErr w:type="gramEnd"/>
      <w:r w:rsidRPr="00C47E13">
        <w:t xml:space="preserve"> errors. Let's verify and </w:t>
      </w:r>
      <w:proofErr w:type="gramStart"/>
      <w:r w:rsidRPr="00C47E13">
        <w:t>finalize.#</w:t>
      </w:r>
      <w:proofErr w:type="gramEnd"/>
      <w:r w:rsidRPr="00C47E13">
        <w:t># Batch 3b (Apparel) complete — all three fail, the first zero-pass batch this session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8"/>
        <w:gridCol w:w="807"/>
        <w:gridCol w:w="8735"/>
      </w:tblGrid>
      <w:tr w:rsidR="00C47E13" w:rsidRPr="00C47E13" w14:paraId="7B8EBF49" w14:textId="77777777">
        <w:trPr>
          <w:tblHeader/>
          <w:tblCellSpacing w:w="15" w:type="dxa"/>
        </w:trPr>
        <w:tc>
          <w:tcPr>
            <w:tcW w:w="0" w:type="auto"/>
            <w:vAlign w:val="center"/>
            <w:hideMark/>
          </w:tcPr>
          <w:p w14:paraId="59B0D865" w14:textId="77777777" w:rsidR="00C47E13" w:rsidRPr="00C47E13" w:rsidRDefault="00C47E13" w:rsidP="00C47E13">
            <w:pPr>
              <w:jc w:val="center"/>
              <w:rPr>
                <w:b/>
                <w:bCs/>
              </w:rPr>
            </w:pPr>
            <w:r w:rsidRPr="00C47E13">
              <w:rPr>
                <w:b/>
                <w:bCs/>
              </w:rPr>
              <w:t>Ticker</w:t>
            </w:r>
          </w:p>
        </w:tc>
        <w:tc>
          <w:tcPr>
            <w:tcW w:w="0" w:type="auto"/>
            <w:vAlign w:val="center"/>
            <w:hideMark/>
          </w:tcPr>
          <w:p w14:paraId="706A8C21" w14:textId="77777777" w:rsidR="00C47E13" w:rsidRPr="00C47E13" w:rsidRDefault="00C47E13" w:rsidP="00C47E13">
            <w:pPr>
              <w:jc w:val="center"/>
              <w:rPr>
                <w:b/>
                <w:bCs/>
              </w:rPr>
            </w:pPr>
            <w:r w:rsidRPr="00C47E13">
              <w:rPr>
                <w:b/>
                <w:bCs/>
              </w:rPr>
              <w:t xml:space="preserve">Tier 1 </w:t>
            </w:r>
            <w:proofErr w:type="spellStart"/>
            <w:r w:rsidRPr="00C47E13">
              <w:rPr>
                <w:b/>
                <w:bCs/>
              </w:rPr>
              <w:t>Wtd</w:t>
            </w:r>
            <w:proofErr w:type="spellEnd"/>
            <w:r w:rsidRPr="00C47E13">
              <w:rPr>
                <w:b/>
                <w:bCs/>
              </w:rPr>
              <w:t xml:space="preserve"> Avg</w:t>
            </w:r>
          </w:p>
        </w:tc>
        <w:tc>
          <w:tcPr>
            <w:tcW w:w="0" w:type="auto"/>
            <w:vAlign w:val="center"/>
            <w:hideMark/>
          </w:tcPr>
          <w:p w14:paraId="428ECE57" w14:textId="77777777" w:rsidR="00C47E13" w:rsidRPr="00C47E13" w:rsidRDefault="00C47E13" w:rsidP="00C47E13">
            <w:pPr>
              <w:jc w:val="center"/>
              <w:rPr>
                <w:b/>
                <w:bCs/>
              </w:rPr>
            </w:pPr>
            <w:r w:rsidRPr="00C47E13">
              <w:rPr>
                <w:b/>
                <w:bCs/>
              </w:rPr>
              <w:t>Result</w:t>
            </w:r>
          </w:p>
        </w:tc>
      </w:tr>
      <w:tr w:rsidR="00C47E13" w:rsidRPr="00C47E13" w14:paraId="08B8318E" w14:textId="77777777">
        <w:trPr>
          <w:tblCellSpacing w:w="15" w:type="dxa"/>
        </w:trPr>
        <w:tc>
          <w:tcPr>
            <w:tcW w:w="0" w:type="auto"/>
            <w:vAlign w:val="center"/>
            <w:hideMark/>
          </w:tcPr>
          <w:p w14:paraId="2E4D5200" w14:textId="77777777" w:rsidR="00C47E13" w:rsidRPr="00C47E13" w:rsidRDefault="00C47E13" w:rsidP="00C47E13">
            <w:r w:rsidRPr="00C47E13">
              <w:rPr>
                <w:b/>
                <w:bCs/>
              </w:rPr>
              <w:t>NKE</w:t>
            </w:r>
            <w:r w:rsidRPr="00C47E13">
              <w:t xml:space="preserve"> (Nike)</w:t>
            </w:r>
          </w:p>
        </w:tc>
        <w:tc>
          <w:tcPr>
            <w:tcW w:w="0" w:type="auto"/>
            <w:vAlign w:val="center"/>
            <w:hideMark/>
          </w:tcPr>
          <w:p w14:paraId="674F94DA" w14:textId="77777777" w:rsidR="00C47E13" w:rsidRPr="00C47E13" w:rsidRDefault="00C47E13" w:rsidP="00C47E13">
            <w:r w:rsidRPr="00C47E13">
              <w:t>1.57</w:t>
            </w:r>
          </w:p>
        </w:tc>
        <w:tc>
          <w:tcPr>
            <w:tcW w:w="0" w:type="auto"/>
            <w:vAlign w:val="center"/>
            <w:hideMark/>
          </w:tcPr>
          <w:p w14:paraId="730E5AA4" w14:textId="77777777" w:rsidR="00C47E13" w:rsidRPr="00C47E13" w:rsidRDefault="00C47E13" w:rsidP="00C47E13">
            <w:r w:rsidRPr="00C47E13">
              <w:t>AVOID — FCF collapsed -33.2% YoY to a 5-year-low yield, revenue essentially flat after a prior decline. The company's own words: the turnaround is "progressing more slowly than expected"</w:t>
            </w:r>
          </w:p>
        </w:tc>
      </w:tr>
      <w:tr w:rsidR="00C47E13" w:rsidRPr="00C47E13" w14:paraId="4581E98E" w14:textId="77777777">
        <w:trPr>
          <w:tblCellSpacing w:w="15" w:type="dxa"/>
        </w:trPr>
        <w:tc>
          <w:tcPr>
            <w:tcW w:w="0" w:type="auto"/>
            <w:vAlign w:val="center"/>
            <w:hideMark/>
          </w:tcPr>
          <w:p w14:paraId="1D51BE53" w14:textId="77777777" w:rsidR="00C47E13" w:rsidRPr="00C47E13" w:rsidRDefault="00C47E13" w:rsidP="00C47E13">
            <w:r w:rsidRPr="00C47E13">
              <w:rPr>
                <w:b/>
                <w:bCs/>
              </w:rPr>
              <w:t>VFC</w:t>
            </w:r>
            <w:r w:rsidRPr="00C47E13">
              <w:t xml:space="preserve"> (VF Corp)</w:t>
            </w:r>
          </w:p>
        </w:tc>
        <w:tc>
          <w:tcPr>
            <w:tcW w:w="0" w:type="auto"/>
            <w:vAlign w:val="center"/>
            <w:hideMark/>
          </w:tcPr>
          <w:p w14:paraId="63FF304B" w14:textId="77777777" w:rsidR="00C47E13" w:rsidRPr="00C47E13" w:rsidRDefault="00C47E13" w:rsidP="00C47E13">
            <w:r w:rsidRPr="00C47E13">
              <w:t>2.86</w:t>
            </w:r>
          </w:p>
        </w:tc>
        <w:tc>
          <w:tcPr>
            <w:tcW w:w="0" w:type="auto"/>
            <w:vAlign w:val="center"/>
            <w:hideMark/>
          </w:tcPr>
          <w:p w14:paraId="4FECABA6" w14:textId="77777777" w:rsidR="00C47E13" w:rsidRPr="00C47E13" w:rsidRDefault="00C47E13" w:rsidP="00C47E13">
            <w:r w:rsidRPr="00C47E13">
              <w:t xml:space="preserve">AVOID, but genuinely the closest </w:t>
            </w:r>
            <w:proofErr w:type="gramStart"/>
            <w:r w:rsidRPr="00C47E13">
              <w:t>fail</w:t>
            </w:r>
            <w:proofErr w:type="gramEnd"/>
            <w:r w:rsidRPr="00C47E13">
              <w:t xml:space="preserve"> we've had in a while — real multi-quarter progress (revenue inflection, net debt down $1.1-1.5B across several consecutive quarters, restructuring largely complete), just not enough of a track record yet. Vans still down 9% YoY. Worth reconfirming next quarter, not writing off</w:t>
            </w:r>
          </w:p>
        </w:tc>
      </w:tr>
      <w:tr w:rsidR="00C47E13" w:rsidRPr="00C47E13" w14:paraId="786CB6B6" w14:textId="77777777">
        <w:trPr>
          <w:tblCellSpacing w:w="15" w:type="dxa"/>
        </w:trPr>
        <w:tc>
          <w:tcPr>
            <w:tcW w:w="0" w:type="auto"/>
            <w:vAlign w:val="center"/>
            <w:hideMark/>
          </w:tcPr>
          <w:p w14:paraId="23E9B5CB" w14:textId="77777777" w:rsidR="00C47E13" w:rsidRPr="00C47E13" w:rsidRDefault="00C47E13" w:rsidP="00C47E13">
            <w:r w:rsidRPr="00C47E13">
              <w:rPr>
                <w:b/>
                <w:bCs/>
              </w:rPr>
              <w:t>GOOS</w:t>
            </w:r>
            <w:r w:rsidRPr="00C47E13">
              <w:t xml:space="preserve"> (Canada Goose)</w:t>
            </w:r>
          </w:p>
        </w:tc>
        <w:tc>
          <w:tcPr>
            <w:tcW w:w="0" w:type="auto"/>
            <w:vAlign w:val="center"/>
            <w:hideMark/>
          </w:tcPr>
          <w:p w14:paraId="57EFF1FB" w14:textId="77777777" w:rsidR="00C47E13" w:rsidRPr="00C47E13" w:rsidRDefault="00C47E13" w:rsidP="00C47E13">
            <w:r w:rsidRPr="00C47E13">
              <w:t>2.50</w:t>
            </w:r>
          </w:p>
        </w:tc>
        <w:tc>
          <w:tcPr>
            <w:tcW w:w="0" w:type="auto"/>
            <w:vAlign w:val="center"/>
            <w:hideMark/>
          </w:tcPr>
          <w:p w14:paraId="2B22FDBB" w14:textId="77777777" w:rsidR="00C47E13" w:rsidRPr="00C47E13" w:rsidRDefault="00C47E13" w:rsidP="00C47E13">
            <w:r w:rsidRPr="00C47E13">
              <w:t>AVOID — and this one's the most important lesson of the batch</w:t>
            </w:r>
          </w:p>
        </w:tc>
      </w:tr>
    </w:tbl>
    <w:p w14:paraId="7DAA64C4" w14:textId="77777777" w:rsidR="00C47E13" w:rsidRPr="00C47E13" w:rsidRDefault="00C47E13" w:rsidP="00C47E13">
      <w:pPr>
        <w:keepNext/>
        <w:spacing w:before="100" w:beforeAutospacing="1" w:after="100" w:afterAutospacing="1"/>
        <w:outlineLvl w:val="1"/>
        <w:rPr>
          <w:b/>
          <w:bCs/>
          <w:sz w:val="36"/>
          <w:szCs w:val="36"/>
        </w:rPr>
      </w:pPr>
      <w:r w:rsidRPr="00C47E13">
        <w:rPr>
          <w:b/>
          <w:bCs/>
          <w:sz w:val="36"/>
          <w:szCs w:val="36"/>
        </w:rPr>
        <w:lastRenderedPageBreak/>
        <w:t>GOOS is worth sitting with, because the headline number would have fooled a less rigorous screen</w:t>
      </w:r>
    </w:p>
    <w:p w14:paraId="0CE8AEC3" w14:textId="77777777" w:rsidR="00C47E13" w:rsidRPr="00C47E13" w:rsidRDefault="00C47E13" w:rsidP="00C47E13">
      <w:pPr>
        <w:spacing w:before="100" w:beforeAutospacing="1" w:after="100" w:afterAutospacing="1"/>
      </w:pPr>
      <w:r w:rsidRPr="00C47E13">
        <w:t xml:space="preserve">Revenue grew 13.3% in FY2026 — a genuinely strong top-line number. </w:t>
      </w:r>
      <w:r w:rsidRPr="00C47E13">
        <w:rPr>
          <w:b/>
          <w:bCs/>
        </w:rPr>
        <w:t>Operating income fell 45.9% in the same year.</w:t>
      </w:r>
      <w:r w:rsidRPr="00C47E13">
        <w:t xml:space="preserve"> Operating margin didn't just compress, it nearly halved — 12.2% down to 5.8%. An independent teardown analysis called this exactly right: "the DTC profit trap" — spending aggressively to chase direct-to-consumer growth, with costs outrunning the revenue it's buying. A screen that stopped at "revenue growth" would have scored this as a clear pass. Tier 1's insistence on checking FCF margin trend </w:t>
      </w:r>
      <w:r w:rsidRPr="00C47E13">
        <w:rPr>
          <w:i/>
          <w:iCs/>
        </w:rPr>
        <w:t>and</w:t>
      </w:r>
      <w:r w:rsidRPr="00C47E13">
        <w:t xml:space="preserve"> revenue growth </w:t>
      </w:r>
      <w:r w:rsidRPr="00C47E13">
        <w:rPr>
          <w:i/>
          <w:iCs/>
        </w:rPr>
        <w:t>and</w:t>
      </w:r>
      <w:r w:rsidRPr="00C47E13">
        <w:t xml:space="preserve"> moat separately is precisely what catches a story like this — strong top line, deteriorating economics underneath it.</w:t>
      </w:r>
    </w:p>
    <w:p w14:paraId="5585368C" w14:textId="77777777" w:rsidR="00C47E13" w:rsidRPr="00C47E13" w:rsidRDefault="00C47E13" w:rsidP="00C47E13">
      <w:pPr>
        <w:spacing w:before="100" w:beforeAutospacing="1" w:after="100" w:afterAutospacing="1"/>
        <w:outlineLvl w:val="1"/>
        <w:rPr>
          <w:b/>
          <w:bCs/>
          <w:sz w:val="36"/>
          <w:szCs w:val="36"/>
        </w:rPr>
      </w:pPr>
      <w:r w:rsidRPr="00C47E13">
        <w:rPr>
          <w:b/>
          <w:bCs/>
          <w:sz w:val="36"/>
          <w:szCs w:val="36"/>
        </w:rPr>
        <w:t>Three fails, three completely different reasons</w:t>
      </w:r>
    </w:p>
    <w:p w14:paraId="728A6C2D" w14:textId="77777777" w:rsidR="00C47E13" w:rsidRPr="00C47E13" w:rsidRDefault="00C47E13" w:rsidP="00C47E13">
      <w:pPr>
        <w:spacing w:before="100" w:beforeAutospacing="1" w:after="100" w:afterAutospacing="1"/>
      </w:pPr>
      <w:r w:rsidRPr="00C47E13">
        <w:t>Nike: outright multi-year decline. VF Corp: a real turnaround that just hasn't proven itself long enough yet. Canada Goose: growth that's actively destroying profitability. That range is worth noting — "apparel is weak right now" isn't really the finding here; it's that three specific, different failure modes all happened to show up in the same GICS sector this round.</w:t>
      </w:r>
    </w:p>
    <w:p w14:paraId="4364F9F3" w14:textId="0B3C576A" w:rsidR="00C47E13" w:rsidRPr="00C47E13" w:rsidRDefault="00C47E13" w:rsidP="00C47E13">
      <w:pPr>
        <w:spacing w:before="100" w:beforeAutospacing="1" w:after="100" w:afterAutospacing="1"/>
        <w:outlineLvl w:val="1"/>
        <w:rPr>
          <w:b/>
          <w:bCs/>
          <w:sz w:val="36"/>
          <w:szCs w:val="36"/>
        </w:rPr>
      </w:pPr>
      <w:r w:rsidRPr="00C47E13">
        <w:rPr>
          <w:b/>
          <w:bCs/>
          <w:sz w:val="36"/>
          <w:szCs w:val="36"/>
        </w:rPr>
        <w:t xml:space="preserve">Running tally: 6 </w:t>
      </w:r>
      <w:r>
        <w:rPr>
          <w:b/>
          <w:bCs/>
          <w:sz w:val="36"/>
          <w:szCs w:val="36"/>
        </w:rPr>
        <w:t>(+2 previous)</w:t>
      </w:r>
      <w:r>
        <w:rPr>
          <w:b/>
          <w:bCs/>
          <w:sz w:val="36"/>
          <w:szCs w:val="36"/>
        </w:rPr>
        <w:t xml:space="preserve"> </w:t>
      </w:r>
      <w:r w:rsidRPr="00C47E13">
        <w:rPr>
          <w:b/>
          <w:bCs/>
          <w:sz w:val="36"/>
          <w:szCs w:val="36"/>
        </w:rPr>
        <w:t>passes out of 18 candidates screened</w:t>
      </w:r>
      <w:r>
        <w:rPr>
          <w:b/>
          <w:bCs/>
          <w:sz w:val="36"/>
          <w:szCs w:val="36"/>
        </w:rPr>
        <w:t xml:space="preserve"> </w:t>
      </w:r>
    </w:p>
    <w:p w14:paraId="13D5C602" w14:textId="77777777" w:rsidR="00C47E13" w:rsidRPr="00C47E13" w:rsidRDefault="00C47E13" w:rsidP="00C47E13">
      <w:pPr>
        <w:spacing w:before="100" w:beforeAutospacing="1" w:after="100" w:afterAutospacing="1"/>
      </w:pPr>
      <w:r w:rsidRPr="00C47E13">
        <w:t xml:space="preserve">Ready for </w:t>
      </w:r>
      <w:r w:rsidRPr="00C47E13">
        <w:rPr>
          <w:b/>
          <w:bCs/>
        </w:rPr>
        <w:t>3c — Retail/e-commerce: AAP, BABA, ETSY</w:t>
      </w:r>
      <w:r w:rsidRPr="00C47E13">
        <w:t xml:space="preserve"> whenever you want to continue.</w:t>
      </w:r>
    </w:p>
    <w:p w14:paraId="4D58274D" w14:textId="77777777" w:rsidR="007E2ADB" w:rsidRPr="007E2ADB" w:rsidRDefault="007E2ADB" w:rsidP="007E2ADB">
      <w:pPr>
        <w:spacing w:before="100" w:beforeAutospacing="1" w:after="100" w:afterAutospacing="1"/>
      </w:pPr>
      <w:r w:rsidRPr="007E2ADB">
        <w:t xml:space="preserve">AAP fails decisively — FCF outflow </w:t>
      </w:r>
      <w:r w:rsidRPr="007E2ADB">
        <w:rPr>
          <w:i/>
          <w:iCs/>
        </w:rPr>
        <w:t>worsened</w:t>
      </w:r>
      <w:r w:rsidRPr="007E2ADB">
        <w:t xml:space="preserve"> to -$298M (from -$40M the prior year), revenue down 5.4% following three straight years of negative comps, despite some genuine recent green shoots in Q1 2026. Let's check </w:t>
      </w:r>
      <w:proofErr w:type="spellStart"/>
      <w:r w:rsidRPr="007E2ADB">
        <w:t>Alibaba.BABA</w:t>
      </w:r>
      <w:proofErr w:type="spellEnd"/>
      <w:r w:rsidRPr="007E2ADB">
        <w:t xml:space="preserve"> fails — FY2026 free cash flow swung to a genuine RMB 46.6B outflow (from historically consistent positive FCF) as AI/cloud/quick-commerce capex accelerates, and the core China E-commerce segment's profitability fell 40% YoY even as newer segments grow fast. Same pattern we've seen repeatedly this session with heavy-capex growth stories. Let's check </w:t>
      </w:r>
      <w:proofErr w:type="spellStart"/>
      <w:r w:rsidRPr="007E2ADB">
        <w:t>Etsy.ETSY</w:t>
      </w:r>
      <w:proofErr w:type="spellEnd"/>
      <w:r w:rsidRPr="007E2ADB">
        <w:t xml:space="preserve"> passes — consistent FCF generation ($638.8M in 2025 per the actual 10-K, not the garbled $0B figure one source showed), stable 27.8%→28-30% margins, and disciplined capital allocation (divesting Depop/Reverb, aggressive buybacks). Worth </w:t>
      </w:r>
      <w:proofErr w:type="gramStart"/>
      <w:r w:rsidRPr="007E2ADB">
        <w:t>noting:</w:t>
      </w:r>
      <w:proofErr w:type="gramEnd"/>
      <w:r w:rsidRPr="007E2ADB">
        <w:t xml:space="preserve"> that garbled "$0B, 100% decline" figure is the exact same </w:t>
      </w:r>
      <w:proofErr w:type="spellStart"/>
      <w:r w:rsidRPr="007E2ADB">
        <w:t>MacroTrends</w:t>
      </w:r>
      <w:proofErr w:type="spellEnd"/>
      <w:r w:rsidRPr="007E2ADB">
        <w:t xml:space="preserve"> pattern that fooled me on VRTX — I went straight to the 10-K this time instead of trusting it. Let me compile and populate the full </w:t>
      </w:r>
      <w:proofErr w:type="spellStart"/>
      <w:proofErr w:type="gramStart"/>
      <w:r w:rsidRPr="007E2ADB">
        <w:t>batch.Zero</w:t>
      </w:r>
      <w:proofErr w:type="spellEnd"/>
      <w:proofErr w:type="gramEnd"/>
      <w:r w:rsidRPr="007E2ADB">
        <w:t xml:space="preserve"> errors. Let's verify and </w:t>
      </w:r>
      <w:proofErr w:type="gramStart"/>
      <w:r w:rsidRPr="007E2ADB">
        <w:t>finalize.#</w:t>
      </w:r>
      <w:proofErr w:type="gramEnd"/>
      <w:r w:rsidRPr="007E2ADB">
        <w:t># Batch 3c (Retail/e-commerce) complete — Consumer Cyclical sector now fully screened (10 of 10)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2"/>
        <w:gridCol w:w="921"/>
        <w:gridCol w:w="8267"/>
      </w:tblGrid>
      <w:tr w:rsidR="007E2ADB" w:rsidRPr="007E2ADB" w14:paraId="049C27BB" w14:textId="77777777">
        <w:trPr>
          <w:tblHeader/>
          <w:tblCellSpacing w:w="15" w:type="dxa"/>
        </w:trPr>
        <w:tc>
          <w:tcPr>
            <w:tcW w:w="0" w:type="auto"/>
            <w:vAlign w:val="center"/>
            <w:hideMark/>
          </w:tcPr>
          <w:p w14:paraId="49E883B9" w14:textId="77777777" w:rsidR="007E2ADB" w:rsidRPr="007E2ADB" w:rsidRDefault="007E2ADB" w:rsidP="007E2ADB">
            <w:pPr>
              <w:jc w:val="center"/>
              <w:rPr>
                <w:b/>
                <w:bCs/>
              </w:rPr>
            </w:pPr>
            <w:r w:rsidRPr="007E2ADB">
              <w:rPr>
                <w:b/>
                <w:bCs/>
              </w:rPr>
              <w:t>Ticker</w:t>
            </w:r>
          </w:p>
        </w:tc>
        <w:tc>
          <w:tcPr>
            <w:tcW w:w="0" w:type="auto"/>
            <w:vAlign w:val="center"/>
            <w:hideMark/>
          </w:tcPr>
          <w:p w14:paraId="7812265F" w14:textId="77777777" w:rsidR="007E2ADB" w:rsidRPr="007E2ADB" w:rsidRDefault="007E2ADB" w:rsidP="007E2ADB">
            <w:pPr>
              <w:jc w:val="center"/>
              <w:rPr>
                <w:b/>
                <w:bCs/>
              </w:rPr>
            </w:pPr>
            <w:r w:rsidRPr="007E2ADB">
              <w:rPr>
                <w:b/>
                <w:bCs/>
              </w:rPr>
              <w:t xml:space="preserve">Tier 1 </w:t>
            </w:r>
            <w:proofErr w:type="spellStart"/>
            <w:r w:rsidRPr="007E2ADB">
              <w:rPr>
                <w:b/>
                <w:bCs/>
              </w:rPr>
              <w:t>Wtd</w:t>
            </w:r>
            <w:proofErr w:type="spellEnd"/>
            <w:r w:rsidRPr="007E2ADB">
              <w:rPr>
                <w:b/>
                <w:bCs/>
              </w:rPr>
              <w:t xml:space="preserve"> Avg</w:t>
            </w:r>
          </w:p>
        </w:tc>
        <w:tc>
          <w:tcPr>
            <w:tcW w:w="0" w:type="auto"/>
            <w:vAlign w:val="center"/>
            <w:hideMark/>
          </w:tcPr>
          <w:p w14:paraId="6B57065E" w14:textId="77777777" w:rsidR="007E2ADB" w:rsidRPr="007E2ADB" w:rsidRDefault="007E2ADB" w:rsidP="007E2ADB">
            <w:pPr>
              <w:jc w:val="center"/>
              <w:rPr>
                <w:b/>
                <w:bCs/>
              </w:rPr>
            </w:pPr>
            <w:r w:rsidRPr="007E2ADB">
              <w:rPr>
                <w:b/>
                <w:bCs/>
              </w:rPr>
              <w:t>Result</w:t>
            </w:r>
          </w:p>
        </w:tc>
      </w:tr>
      <w:tr w:rsidR="007E2ADB" w:rsidRPr="007E2ADB" w14:paraId="0AF3436D" w14:textId="77777777">
        <w:trPr>
          <w:tblCellSpacing w:w="15" w:type="dxa"/>
        </w:trPr>
        <w:tc>
          <w:tcPr>
            <w:tcW w:w="0" w:type="auto"/>
            <w:vAlign w:val="center"/>
            <w:hideMark/>
          </w:tcPr>
          <w:p w14:paraId="75ACF3D7" w14:textId="77777777" w:rsidR="007E2ADB" w:rsidRPr="007E2ADB" w:rsidRDefault="007E2ADB" w:rsidP="007E2ADB">
            <w:r w:rsidRPr="007E2ADB">
              <w:rPr>
                <w:b/>
                <w:bCs/>
              </w:rPr>
              <w:t>AAP</w:t>
            </w:r>
            <w:r w:rsidRPr="007E2ADB">
              <w:t xml:space="preserve"> (Advance Auto Parts)</w:t>
            </w:r>
          </w:p>
        </w:tc>
        <w:tc>
          <w:tcPr>
            <w:tcW w:w="0" w:type="auto"/>
            <w:vAlign w:val="center"/>
            <w:hideMark/>
          </w:tcPr>
          <w:p w14:paraId="0713872E" w14:textId="77777777" w:rsidR="007E2ADB" w:rsidRPr="007E2ADB" w:rsidRDefault="007E2ADB" w:rsidP="007E2ADB">
            <w:r w:rsidRPr="007E2ADB">
              <w:t>1.36</w:t>
            </w:r>
          </w:p>
        </w:tc>
        <w:tc>
          <w:tcPr>
            <w:tcW w:w="0" w:type="auto"/>
            <w:vAlign w:val="center"/>
            <w:hideMark/>
          </w:tcPr>
          <w:p w14:paraId="13359DCB" w14:textId="77777777" w:rsidR="007E2ADB" w:rsidRPr="007E2ADB" w:rsidRDefault="007E2ADB" w:rsidP="007E2ADB">
            <w:r w:rsidRPr="007E2ADB">
              <w:t xml:space="preserve">AVOID — FCF outflow </w:t>
            </w:r>
            <w:r w:rsidRPr="007E2ADB">
              <w:rPr>
                <w:i/>
                <w:iCs/>
              </w:rPr>
              <w:t>worsened</w:t>
            </w:r>
            <w:r w:rsidRPr="007E2ADB">
              <w:t xml:space="preserve"> to -$298M (from -$40M), revenue down 5.4% after three straight years of negative comps</w:t>
            </w:r>
          </w:p>
        </w:tc>
      </w:tr>
      <w:tr w:rsidR="007E2ADB" w:rsidRPr="007E2ADB" w14:paraId="47B87741" w14:textId="77777777">
        <w:trPr>
          <w:tblCellSpacing w:w="15" w:type="dxa"/>
        </w:trPr>
        <w:tc>
          <w:tcPr>
            <w:tcW w:w="0" w:type="auto"/>
            <w:vAlign w:val="center"/>
            <w:hideMark/>
          </w:tcPr>
          <w:p w14:paraId="316E556F" w14:textId="77777777" w:rsidR="007E2ADB" w:rsidRPr="007E2ADB" w:rsidRDefault="007E2ADB" w:rsidP="007E2ADB">
            <w:r w:rsidRPr="007E2ADB">
              <w:rPr>
                <w:b/>
                <w:bCs/>
              </w:rPr>
              <w:t>BABA</w:t>
            </w:r>
            <w:r w:rsidRPr="007E2ADB">
              <w:t xml:space="preserve"> (Alibaba)</w:t>
            </w:r>
          </w:p>
        </w:tc>
        <w:tc>
          <w:tcPr>
            <w:tcW w:w="0" w:type="auto"/>
            <w:vAlign w:val="center"/>
            <w:hideMark/>
          </w:tcPr>
          <w:p w14:paraId="70D05CF0" w14:textId="77777777" w:rsidR="007E2ADB" w:rsidRPr="007E2ADB" w:rsidRDefault="007E2ADB" w:rsidP="007E2ADB">
            <w:r w:rsidRPr="007E2ADB">
              <w:t>2.79</w:t>
            </w:r>
          </w:p>
        </w:tc>
        <w:tc>
          <w:tcPr>
            <w:tcW w:w="0" w:type="auto"/>
            <w:vAlign w:val="center"/>
            <w:hideMark/>
          </w:tcPr>
          <w:p w14:paraId="048A4652" w14:textId="77777777" w:rsidR="007E2ADB" w:rsidRPr="007E2ADB" w:rsidRDefault="007E2ADB" w:rsidP="007E2ADB">
            <w:r w:rsidRPr="007E2ADB">
              <w:t xml:space="preserve">AVOID — FY2026 FCF swung to a genuine outflow funding AI/cloud/quick-commerce capex; core e-commerce profitability down 40% YoY. Same pattern as TSLA, NEE, </w:t>
            </w:r>
            <w:proofErr w:type="spellStart"/>
            <w:r w:rsidRPr="007E2ADB">
              <w:t>CoreWeave</w:t>
            </w:r>
            <w:proofErr w:type="spellEnd"/>
            <w:r w:rsidRPr="007E2ADB">
              <w:t>, IREN earlier this session</w:t>
            </w:r>
          </w:p>
        </w:tc>
      </w:tr>
      <w:tr w:rsidR="007E2ADB" w:rsidRPr="007E2ADB" w14:paraId="7012D840" w14:textId="77777777">
        <w:trPr>
          <w:tblCellSpacing w:w="15" w:type="dxa"/>
        </w:trPr>
        <w:tc>
          <w:tcPr>
            <w:tcW w:w="0" w:type="auto"/>
            <w:vAlign w:val="center"/>
            <w:hideMark/>
          </w:tcPr>
          <w:p w14:paraId="0AC3CCB0" w14:textId="77777777" w:rsidR="007E2ADB" w:rsidRPr="007E2ADB" w:rsidRDefault="007E2ADB" w:rsidP="007E2ADB">
            <w:r w:rsidRPr="007E2ADB">
              <w:rPr>
                <w:b/>
                <w:bCs/>
              </w:rPr>
              <w:t>ETSY</w:t>
            </w:r>
            <w:r w:rsidRPr="007E2ADB">
              <w:t xml:space="preserve"> (Etsy)</w:t>
            </w:r>
          </w:p>
        </w:tc>
        <w:tc>
          <w:tcPr>
            <w:tcW w:w="0" w:type="auto"/>
            <w:vAlign w:val="center"/>
            <w:hideMark/>
          </w:tcPr>
          <w:p w14:paraId="149027C6" w14:textId="77777777" w:rsidR="007E2ADB" w:rsidRPr="007E2ADB" w:rsidRDefault="007E2ADB" w:rsidP="007E2ADB">
            <w:r w:rsidRPr="007E2ADB">
              <w:rPr>
                <w:b/>
                <w:bCs/>
              </w:rPr>
              <w:t>3.43</w:t>
            </w:r>
          </w:p>
        </w:tc>
        <w:tc>
          <w:tcPr>
            <w:tcW w:w="0" w:type="auto"/>
            <w:vAlign w:val="center"/>
            <w:hideMark/>
          </w:tcPr>
          <w:p w14:paraId="7952945E" w14:textId="77777777" w:rsidR="007E2ADB" w:rsidRPr="007E2ADB" w:rsidRDefault="007E2ADB" w:rsidP="007E2ADB">
            <w:r w:rsidRPr="007E2ADB">
              <w:rPr>
                <w:b/>
                <w:bCs/>
              </w:rPr>
              <w:t>PASS</w:t>
            </w:r>
            <w:r w:rsidRPr="007E2ADB">
              <w:t xml:space="preserve"> — consistent FCF generation, stable ~28-30% margins, disciplined capital allocation (Depop/Reverb divestitures, aggressive buybacks)</w:t>
            </w:r>
          </w:p>
        </w:tc>
      </w:tr>
    </w:tbl>
    <w:p w14:paraId="1DFF0411" w14:textId="77777777" w:rsidR="007E2ADB" w:rsidRPr="007E2ADB" w:rsidRDefault="007E2ADB" w:rsidP="007E2ADB">
      <w:pPr>
        <w:keepNext/>
        <w:spacing w:before="100" w:beforeAutospacing="1" w:after="100" w:afterAutospacing="1"/>
        <w:outlineLvl w:val="1"/>
        <w:rPr>
          <w:b/>
          <w:bCs/>
          <w:sz w:val="36"/>
          <w:szCs w:val="36"/>
        </w:rPr>
      </w:pPr>
      <w:r w:rsidRPr="007E2ADB">
        <w:rPr>
          <w:b/>
          <w:bCs/>
          <w:sz w:val="36"/>
          <w:szCs w:val="36"/>
        </w:rPr>
        <w:lastRenderedPageBreak/>
        <w:t>Worth flagging: the same bad-source pattern from VRTX showed up again, and I caught it this time</w:t>
      </w:r>
    </w:p>
    <w:p w14:paraId="5B4BBA8B" w14:textId="77777777" w:rsidR="007E2ADB" w:rsidRPr="007E2ADB" w:rsidRDefault="007E2ADB" w:rsidP="007E2ADB">
      <w:pPr>
        <w:spacing w:before="100" w:beforeAutospacing="1" w:after="100" w:afterAutospacing="1"/>
      </w:pPr>
      <w:proofErr w:type="spellStart"/>
      <w:r w:rsidRPr="007E2ADB">
        <w:t>MacroTrends</w:t>
      </w:r>
      <w:proofErr w:type="spellEnd"/>
      <w:r w:rsidRPr="007E2ADB">
        <w:t xml:space="preserve"> showed Etsy's 2025 FCF as "$0B, a 100% decline" — the exact same garbled phrasing that led me to score VRTX wrong months ago. This time I went straight to Etsy's actual 10-K instead of trusting the summary figure, and found the real number: </w:t>
      </w:r>
      <w:r w:rsidRPr="007E2ADB">
        <w:rPr>
          <w:b/>
          <w:bCs/>
        </w:rPr>
        <w:t>$638.8M</w:t>
      </w:r>
      <w:r w:rsidRPr="007E2ADB">
        <w:t xml:space="preserve">, consistent with strong historical generation. Worth knowing this specific source has now shown this failure mode twice — I'd treat any </w:t>
      </w:r>
      <w:proofErr w:type="spellStart"/>
      <w:r w:rsidRPr="007E2ADB">
        <w:t>MacroTrends</w:t>
      </w:r>
      <w:proofErr w:type="spellEnd"/>
      <w:r w:rsidRPr="007E2ADB">
        <w:t xml:space="preserve"> FCF figure with that "$0B, 100% decline" phrasing as a flag to verify against primary filings before scoring, not just for this session but as a standing pattern.</w:t>
      </w:r>
    </w:p>
    <w:p w14:paraId="03405372" w14:textId="77777777" w:rsidR="007E2ADB" w:rsidRPr="007E2ADB" w:rsidRDefault="007E2ADB" w:rsidP="007E2ADB">
      <w:pPr>
        <w:spacing w:before="100" w:beforeAutospacing="1" w:after="100" w:afterAutospacing="1"/>
        <w:outlineLvl w:val="1"/>
        <w:rPr>
          <w:b/>
          <w:bCs/>
          <w:sz w:val="36"/>
          <w:szCs w:val="36"/>
        </w:rPr>
      </w:pPr>
      <w:r w:rsidRPr="007E2ADB">
        <w:rPr>
          <w:b/>
          <w:bCs/>
          <w:sz w:val="36"/>
          <w:szCs w:val="36"/>
        </w:rPr>
        <w:t>Consumer Cyclical sector complete: 4 passes out of 10 (CMG, DPZ, YUM, ETSY)</w:t>
      </w:r>
    </w:p>
    <w:p w14:paraId="55CDF3EF" w14:textId="77777777" w:rsidR="007E2ADB" w:rsidRPr="007E2ADB" w:rsidRDefault="007E2ADB" w:rsidP="007E2ADB">
      <w:pPr>
        <w:spacing w:before="100" w:beforeAutospacing="1" w:after="100" w:afterAutospacing="1"/>
      </w:pPr>
      <w:r w:rsidRPr="007E2ADB">
        <w:t>Restaurants were genuinely strong as a category (3 of 4); apparel was a clean sweep of failures (0 of 3); retail/e-commerce split down the middle-</w:t>
      </w:r>
      <w:proofErr w:type="spellStart"/>
      <w:r w:rsidRPr="007E2ADB">
        <w:t>ish</w:t>
      </w:r>
      <w:proofErr w:type="spellEnd"/>
      <w:r w:rsidRPr="007E2ADB">
        <w:t xml:space="preserve"> (1 of 3). That range across one GICS sector is itself the finding — "Consumer Cyclical" as a label tells you almost nothing about quality; the sub-industry and company-specific execution tell you everything.</w:t>
      </w:r>
    </w:p>
    <w:p w14:paraId="59140884" w14:textId="5419855F" w:rsidR="007E2ADB" w:rsidRPr="007E2ADB" w:rsidRDefault="007E2ADB" w:rsidP="007E2ADB">
      <w:pPr>
        <w:spacing w:before="100" w:beforeAutospacing="1" w:after="100" w:afterAutospacing="1"/>
        <w:outlineLvl w:val="1"/>
        <w:rPr>
          <w:b/>
          <w:bCs/>
          <w:sz w:val="36"/>
          <w:szCs w:val="36"/>
        </w:rPr>
      </w:pPr>
      <w:r w:rsidRPr="007E2ADB">
        <w:rPr>
          <w:b/>
          <w:bCs/>
          <w:sz w:val="36"/>
          <w:szCs w:val="36"/>
        </w:rPr>
        <w:t xml:space="preserve">Running tally: 9 passes </w:t>
      </w:r>
      <w:r>
        <w:rPr>
          <w:b/>
          <w:bCs/>
          <w:sz w:val="36"/>
          <w:szCs w:val="36"/>
        </w:rPr>
        <w:t xml:space="preserve">(+2) </w:t>
      </w:r>
      <w:r w:rsidRPr="007E2ADB">
        <w:rPr>
          <w:b/>
          <w:bCs/>
          <w:sz w:val="36"/>
          <w:szCs w:val="36"/>
        </w:rPr>
        <w:t>out of 24 candidates screened across the full Darryl List so far</w:t>
      </w:r>
    </w:p>
    <w:p w14:paraId="7097A7FC" w14:textId="77777777" w:rsidR="007E2ADB" w:rsidRPr="007E2ADB" w:rsidRDefault="007E2ADB" w:rsidP="007E2ADB">
      <w:pPr>
        <w:spacing w:before="100" w:beforeAutospacing="1" w:after="100" w:afterAutospacing="1"/>
      </w:pPr>
      <w:r w:rsidRPr="007E2ADB">
        <w:t xml:space="preserve">Two Tier A sectors remain: </w:t>
      </w:r>
      <w:r w:rsidRPr="007E2ADB">
        <w:rPr>
          <w:b/>
          <w:bCs/>
        </w:rPr>
        <w:t>Communication Services (DIS, NFLX, SPOT)</w:t>
      </w:r>
      <w:r w:rsidRPr="007E2ADB">
        <w:t xml:space="preserve"> and </w:t>
      </w:r>
      <w:r w:rsidRPr="007E2ADB">
        <w:rPr>
          <w:b/>
          <w:bCs/>
        </w:rPr>
        <w:t>Utilities (NRG, VST)</w:t>
      </w:r>
      <w:r w:rsidRPr="007E2ADB">
        <w:t>. Ready to continue whenever you are.</w:t>
      </w:r>
    </w:p>
    <w:p w14:paraId="79B3D233" w14:textId="77777777" w:rsidR="00C47E13" w:rsidRDefault="00C47E13"/>
    <w:sectPr w:rsidR="00C47E13" w:rsidSect="00BD1027">
      <w:footerReference w:type="default" r:id="rId8"/>
      <w:pgSz w:w="12240" w:h="15840"/>
      <w:pgMar w:top="720" w:right="720" w:bottom="720" w:left="720" w:header="324" w:footer="3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618B14C" w14:textId="77777777" w:rsidR="00452586" w:rsidRDefault="00452586" w:rsidP="00E336C8">
      <w:r>
        <w:separator/>
      </w:r>
    </w:p>
  </w:endnote>
  <w:endnote w:type="continuationSeparator" w:id="0">
    <w:p w14:paraId="5DDC5D07" w14:textId="77777777" w:rsidR="00452586" w:rsidRDefault="00452586" w:rsidP="00E336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imes New Roman (Headings CS)">
    <w:altName w:val="Times New Roman"/>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E3C57D3" w14:textId="5E6596AA" w:rsidR="00E336C8" w:rsidRDefault="006F5C0C">
    <w:pPr>
      <w:pStyle w:val="Footer"/>
    </w:pPr>
    <w:fldSimple w:instr=" FILENAME  \* MERGEFORMAT ">
      <w:r w:rsidR="007E2ADB">
        <w:rPr>
          <w:noProof/>
        </w:rPr>
        <w:t>Darryl_List_Analysis_v1.docx</w:t>
      </w:r>
    </w:fldSimple>
    <w:r w:rsidR="00E336C8">
      <w:tab/>
    </w:r>
    <w:r w:rsidR="00E336C8">
      <w:tab/>
    </w:r>
    <w:r w:rsidR="00E336C8">
      <w:fldChar w:fldCharType="begin"/>
    </w:r>
    <w:r w:rsidR="00E336C8">
      <w:instrText xml:space="preserve"> PAGE  \* MERGEFORMAT </w:instrText>
    </w:r>
    <w:r w:rsidR="00E336C8">
      <w:fldChar w:fldCharType="separate"/>
    </w:r>
    <w:r w:rsidR="00E336C8">
      <w:rPr>
        <w:noProof/>
      </w:rPr>
      <w:t>1</w:t>
    </w:r>
    <w:r w:rsidR="00E336C8">
      <w:fldChar w:fldCharType="end"/>
    </w:r>
    <w:r w:rsidR="00E336C8">
      <w:t xml:space="preserve"> / </w:t>
    </w:r>
    <w:fldSimple w:instr=" NUMPAGES  \* MERGEFORMAT ">
      <w:r w:rsidR="00E336C8">
        <w:rPr>
          <w:noProof/>
        </w:rP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36B25A9" w14:textId="77777777" w:rsidR="00452586" w:rsidRDefault="00452586" w:rsidP="00E336C8">
      <w:r>
        <w:separator/>
      </w:r>
    </w:p>
  </w:footnote>
  <w:footnote w:type="continuationSeparator" w:id="0">
    <w:p w14:paraId="48216950" w14:textId="77777777" w:rsidR="00452586" w:rsidRDefault="00452586" w:rsidP="00E336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36424A11"/>
    <w:multiLevelType w:val="multilevel"/>
    <w:tmpl w:val="472CFA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32F1CCB"/>
    <w:multiLevelType w:val="hybridMultilevel"/>
    <w:tmpl w:val="F1E226F4"/>
    <w:lvl w:ilvl="0" w:tplc="A07EA5DA">
      <w:start w:val="1"/>
      <w:numFmt w:val="bullet"/>
      <w:pStyle w:val="List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772483379">
    <w:abstractNumId w:val="0"/>
  </w:num>
  <w:num w:numId="2" w16cid:durableId="1855805580">
    <w:abstractNumId w:val="0"/>
  </w:num>
  <w:num w:numId="3" w16cid:durableId="1912226634">
    <w:abstractNumId w:val="2"/>
  </w:num>
  <w:num w:numId="4" w16cid:durableId="820778958">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19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5C0C"/>
    <w:rsid w:val="00010701"/>
    <w:rsid w:val="00020A80"/>
    <w:rsid w:val="00055765"/>
    <w:rsid w:val="00071A9D"/>
    <w:rsid w:val="001A776D"/>
    <w:rsid w:val="002C1609"/>
    <w:rsid w:val="002F3890"/>
    <w:rsid w:val="00333BA4"/>
    <w:rsid w:val="00344476"/>
    <w:rsid w:val="003939FA"/>
    <w:rsid w:val="003A5611"/>
    <w:rsid w:val="00411A37"/>
    <w:rsid w:val="00452586"/>
    <w:rsid w:val="00453A03"/>
    <w:rsid w:val="005032C6"/>
    <w:rsid w:val="00504E2C"/>
    <w:rsid w:val="005B1356"/>
    <w:rsid w:val="005B722A"/>
    <w:rsid w:val="005E7B1D"/>
    <w:rsid w:val="00637279"/>
    <w:rsid w:val="00662C51"/>
    <w:rsid w:val="006C5766"/>
    <w:rsid w:val="006C576E"/>
    <w:rsid w:val="006F5C0C"/>
    <w:rsid w:val="007E2861"/>
    <w:rsid w:val="007E2ADB"/>
    <w:rsid w:val="00880C18"/>
    <w:rsid w:val="008B06CD"/>
    <w:rsid w:val="0093606B"/>
    <w:rsid w:val="009447F0"/>
    <w:rsid w:val="00947F3A"/>
    <w:rsid w:val="0099066B"/>
    <w:rsid w:val="00B77F7B"/>
    <w:rsid w:val="00BD1027"/>
    <w:rsid w:val="00C47E13"/>
    <w:rsid w:val="00C94847"/>
    <w:rsid w:val="00E336C8"/>
    <w:rsid w:val="00E54D04"/>
    <w:rsid w:val="00E66A1D"/>
    <w:rsid w:val="00F5702B"/>
    <w:rsid w:val="00F70237"/>
    <w:rsid w:val="00FB0B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8DB401F"/>
  <w15:chartTrackingRefBased/>
  <w15:docId w15:val="{104D7114-99FB-4A46-AFC8-CFA7457AA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before="2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7E13"/>
    <w:pPr>
      <w:spacing w:before="0"/>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9447F0"/>
    <w:pPr>
      <w:keepNext/>
      <w:keepLines/>
      <w:spacing w:before="360" w:after="80" w:line="259" w:lineRule="auto"/>
      <w:contextualSpacing/>
      <w:outlineLvl w:val="0"/>
    </w:pPr>
    <w:rPr>
      <w:rFonts w:asciiTheme="majorHAnsi" w:eastAsiaTheme="majorEastAsia" w:hAnsiTheme="majorHAnsi" w:cstheme="majorBidi"/>
      <w:color w:val="0F4761" w:themeColor="accent1" w:themeShade="BF"/>
      <w:sz w:val="36"/>
      <w:szCs w:val="40"/>
    </w:rPr>
  </w:style>
  <w:style w:type="paragraph" w:styleId="Heading2">
    <w:name w:val="heading 2"/>
    <w:basedOn w:val="Normal"/>
    <w:next w:val="Normal"/>
    <w:link w:val="Heading2Char"/>
    <w:uiPriority w:val="9"/>
    <w:unhideWhenUsed/>
    <w:qFormat/>
    <w:rsid w:val="009447F0"/>
    <w:pPr>
      <w:keepNext/>
      <w:keepLines/>
      <w:spacing w:before="60" w:line="259" w:lineRule="auto"/>
      <w:contextualSpacing/>
      <w:outlineLvl w:val="1"/>
    </w:pPr>
    <w:rPr>
      <w:rFonts w:ascii="Calibri" w:eastAsiaTheme="majorEastAsia" w:hAnsi="Calibri" w:cstheme="majorBidi"/>
      <w:b/>
      <w:bCs/>
      <w:color w:val="156082" w:themeColor="accent1"/>
      <w:kern w:val="2"/>
      <w:sz w:val="26"/>
      <w:szCs w:val="26"/>
      <w14:ligatures w14:val="standardContextual"/>
    </w:rPr>
  </w:style>
  <w:style w:type="paragraph" w:styleId="Heading3">
    <w:name w:val="heading 3"/>
    <w:basedOn w:val="Normal"/>
    <w:next w:val="Normal"/>
    <w:link w:val="Heading3Char"/>
    <w:uiPriority w:val="9"/>
    <w:semiHidden/>
    <w:unhideWhenUsed/>
    <w:qFormat/>
    <w:rsid w:val="005032C6"/>
    <w:pPr>
      <w:keepNext/>
      <w:keepLines/>
      <w:spacing w:before="80" w:line="259" w:lineRule="auto"/>
      <w:contextualSpacing/>
      <w:outlineLvl w:val="2"/>
    </w:pPr>
    <w:rPr>
      <w:rFonts w:asciiTheme="minorHAnsi" w:eastAsiaTheme="majorEastAsia" w:hAnsiTheme="minorHAnsi" w:cstheme="majorBidi"/>
      <w:b/>
      <w:color w:val="0F4761" w:themeColor="accent1" w:themeShade="BF"/>
      <w:szCs w:val="28"/>
    </w:rPr>
  </w:style>
  <w:style w:type="paragraph" w:styleId="Heading4">
    <w:name w:val="heading 4"/>
    <w:basedOn w:val="Normal"/>
    <w:next w:val="Normal"/>
    <w:link w:val="Heading4Char"/>
    <w:uiPriority w:val="9"/>
    <w:semiHidden/>
    <w:unhideWhenUsed/>
    <w:qFormat/>
    <w:rsid w:val="00E336C8"/>
    <w:pPr>
      <w:keepNext/>
      <w:keepLines/>
      <w:spacing w:before="80" w:after="40" w:line="259" w:lineRule="auto"/>
      <w:contextualSpacing/>
      <w:outlineLvl w:val="3"/>
    </w:pPr>
    <w:rPr>
      <w:rFonts w:asciiTheme="minorHAnsi" w:eastAsiaTheme="majorEastAsia" w:hAnsiTheme="minorHAnsi" w:cstheme="majorBidi"/>
      <w:i/>
      <w:iCs/>
      <w:color w:val="0F4761" w:themeColor="accent1" w:themeShade="BF"/>
      <w:sz w:val="22"/>
      <w:szCs w:val="22"/>
    </w:rPr>
  </w:style>
  <w:style w:type="paragraph" w:styleId="Heading5">
    <w:name w:val="heading 5"/>
    <w:basedOn w:val="Normal"/>
    <w:next w:val="Normal"/>
    <w:link w:val="Heading5Char"/>
    <w:uiPriority w:val="9"/>
    <w:semiHidden/>
    <w:unhideWhenUsed/>
    <w:qFormat/>
    <w:rsid w:val="00E336C8"/>
    <w:pPr>
      <w:keepNext/>
      <w:keepLines/>
      <w:spacing w:before="80" w:after="40" w:line="259" w:lineRule="auto"/>
      <w:contextualSpacing/>
      <w:outlineLvl w:val="4"/>
    </w:pPr>
    <w:rPr>
      <w:rFonts w:asciiTheme="minorHAnsi" w:eastAsiaTheme="majorEastAsia" w:hAnsiTheme="minorHAnsi" w:cstheme="majorBidi"/>
      <w:color w:val="0F4761" w:themeColor="accent1" w:themeShade="BF"/>
      <w:sz w:val="22"/>
      <w:szCs w:val="22"/>
    </w:rPr>
  </w:style>
  <w:style w:type="paragraph" w:styleId="Heading6">
    <w:name w:val="heading 6"/>
    <w:basedOn w:val="Normal"/>
    <w:next w:val="Normal"/>
    <w:link w:val="Heading6Char"/>
    <w:uiPriority w:val="9"/>
    <w:semiHidden/>
    <w:unhideWhenUsed/>
    <w:qFormat/>
    <w:rsid w:val="00E336C8"/>
    <w:pPr>
      <w:keepNext/>
      <w:keepLines/>
      <w:spacing w:before="40" w:line="259" w:lineRule="auto"/>
      <w:contextualSpacing/>
      <w:outlineLvl w:val="5"/>
    </w:pPr>
    <w:rPr>
      <w:rFonts w:asciiTheme="minorHAnsi" w:eastAsiaTheme="majorEastAsia" w:hAnsiTheme="minorHAnsi" w:cstheme="majorBidi"/>
      <w:i/>
      <w:iCs/>
      <w:color w:val="595959" w:themeColor="text1" w:themeTint="A6"/>
      <w:sz w:val="22"/>
      <w:szCs w:val="22"/>
    </w:rPr>
  </w:style>
  <w:style w:type="paragraph" w:styleId="Heading7">
    <w:name w:val="heading 7"/>
    <w:basedOn w:val="Normal"/>
    <w:next w:val="Normal"/>
    <w:link w:val="Heading7Char"/>
    <w:uiPriority w:val="9"/>
    <w:semiHidden/>
    <w:unhideWhenUsed/>
    <w:qFormat/>
    <w:rsid w:val="00E336C8"/>
    <w:pPr>
      <w:keepNext/>
      <w:keepLines/>
      <w:spacing w:before="40" w:line="259" w:lineRule="auto"/>
      <w:contextualSpacing/>
      <w:outlineLvl w:val="6"/>
    </w:pPr>
    <w:rPr>
      <w:rFonts w:asciiTheme="minorHAnsi" w:eastAsiaTheme="majorEastAsia" w:hAnsiTheme="minorHAnsi" w:cstheme="majorBidi"/>
      <w:color w:val="595959" w:themeColor="text1" w:themeTint="A6"/>
      <w:sz w:val="22"/>
      <w:szCs w:val="22"/>
    </w:rPr>
  </w:style>
  <w:style w:type="paragraph" w:styleId="Heading8">
    <w:name w:val="heading 8"/>
    <w:basedOn w:val="Normal"/>
    <w:next w:val="Normal"/>
    <w:link w:val="Heading8Char"/>
    <w:uiPriority w:val="9"/>
    <w:semiHidden/>
    <w:unhideWhenUsed/>
    <w:qFormat/>
    <w:rsid w:val="00E336C8"/>
    <w:pPr>
      <w:keepNext/>
      <w:keepLines/>
      <w:spacing w:line="259" w:lineRule="auto"/>
      <w:contextualSpacing/>
      <w:outlineLvl w:val="7"/>
    </w:pPr>
    <w:rPr>
      <w:rFonts w:asciiTheme="minorHAnsi" w:eastAsiaTheme="majorEastAsia" w:hAnsiTheme="minorHAnsi" w:cstheme="majorBidi"/>
      <w:i/>
      <w:iCs/>
      <w:color w:val="272727" w:themeColor="text1" w:themeTint="D8"/>
      <w:sz w:val="22"/>
      <w:szCs w:val="22"/>
    </w:rPr>
  </w:style>
  <w:style w:type="paragraph" w:styleId="Heading9">
    <w:name w:val="heading 9"/>
    <w:basedOn w:val="Normal"/>
    <w:next w:val="Normal"/>
    <w:link w:val="Heading9Char"/>
    <w:uiPriority w:val="9"/>
    <w:semiHidden/>
    <w:unhideWhenUsed/>
    <w:qFormat/>
    <w:rsid w:val="00E336C8"/>
    <w:pPr>
      <w:keepNext/>
      <w:keepLines/>
      <w:spacing w:line="259" w:lineRule="auto"/>
      <w:contextualSpacing/>
      <w:outlineLvl w:val="8"/>
    </w:pPr>
    <w:rPr>
      <w:rFonts w:asciiTheme="minorHAnsi" w:eastAsiaTheme="majorEastAsia" w:hAnsiTheme="minorHAnsi" w:cstheme="majorBidi"/>
      <w:color w:val="272727" w:themeColor="text1" w:themeTint="D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447F0"/>
    <w:pPr>
      <w:keepLines/>
      <w:spacing w:after="120" w:line="259" w:lineRule="auto"/>
      <w:contextualSpacing/>
      <w:jc w:val="center"/>
    </w:pPr>
    <w:rPr>
      <w:rFonts w:ascii="Arial Narrow" w:eastAsiaTheme="majorEastAsia" w:hAnsi="Arial Narrow" w:cs="Times New Roman (Headings CS)"/>
      <w:b/>
      <w:kern w:val="28"/>
      <w:sz w:val="40"/>
      <w:szCs w:val="56"/>
    </w:rPr>
  </w:style>
  <w:style w:type="character" w:customStyle="1" w:styleId="TitleChar">
    <w:name w:val="Title Char"/>
    <w:basedOn w:val="DefaultParagraphFont"/>
    <w:link w:val="Title"/>
    <w:uiPriority w:val="10"/>
    <w:rsid w:val="009447F0"/>
    <w:rPr>
      <w:rFonts w:ascii="Arial Narrow" w:eastAsiaTheme="majorEastAsia" w:hAnsi="Arial Narrow" w:cs="Times New Roman (Headings CS)"/>
      <w:b/>
      <w:kern w:val="28"/>
      <w:sz w:val="40"/>
      <w:szCs w:val="56"/>
      <w14:ligatures w14:val="none"/>
    </w:rPr>
  </w:style>
  <w:style w:type="character" w:customStyle="1" w:styleId="Heading2Char">
    <w:name w:val="Heading 2 Char"/>
    <w:basedOn w:val="DefaultParagraphFont"/>
    <w:link w:val="Heading2"/>
    <w:uiPriority w:val="9"/>
    <w:rsid w:val="009447F0"/>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semiHidden/>
    <w:rsid w:val="005032C6"/>
    <w:rPr>
      <w:rFonts w:eastAsiaTheme="majorEastAsia" w:cstheme="majorBidi"/>
      <w:b/>
      <w:color w:val="0F4761" w:themeColor="accent1" w:themeShade="BF"/>
      <w:kern w:val="0"/>
      <w:szCs w:val="28"/>
      <w14:ligatures w14:val="none"/>
    </w:rPr>
  </w:style>
  <w:style w:type="paragraph" w:styleId="ListBullet">
    <w:name w:val="List Bullet"/>
    <w:basedOn w:val="Normal"/>
    <w:uiPriority w:val="99"/>
    <w:unhideWhenUsed/>
    <w:qFormat/>
    <w:rsid w:val="009447F0"/>
    <w:pPr>
      <w:numPr>
        <w:numId w:val="3"/>
      </w:numPr>
      <w:spacing w:after="80" w:line="259" w:lineRule="auto"/>
      <w:contextualSpacing/>
    </w:pPr>
    <w:rPr>
      <w:rFonts w:ascii="Calibri" w:eastAsiaTheme="minorEastAsia" w:hAnsi="Calibri" w:cstheme="minorBidi"/>
      <w:sz w:val="22"/>
      <w:szCs w:val="22"/>
    </w:rPr>
  </w:style>
  <w:style w:type="paragraph" w:styleId="Subtitle">
    <w:name w:val="Subtitle"/>
    <w:basedOn w:val="Normal"/>
    <w:next w:val="Normal"/>
    <w:link w:val="SubtitleChar"/>
    <w:uiPriority w:val="11"/>
    <w:qFormat/>
    <w:rsid w:val="009447F0"/>
    <w:pPr>
      <w:numPr>
        <w:ilvl w:val="1"/>
      </w:numPr>
      <w:spacing w:after="160" w:line="259" w:lineRule="auto"/>
      <w:contextualSpacing/>
      <w:jc w:val="center"/>
    </w:pPr>
    <w:rPr>
      <w:rFonts w:ascii="Calibri" w:eastAsiaTheme="majorEastAsia" w:hAnsi="Calibri" w:cs="Times New Roman (Headings CS)"/>
      <w:color w:val="595959" w:themeColor="text1" w:themeTint="A6"/>
      <w:spacing w:val="5"/>
      <w:sz w:val="28"/>
      <w:szCs w:val="28"/>
    </w:rPr>
  </w:style>
  <w:style w:type="character" w:customStyle="1" w:styleId="SubtitleChar">
    <w:name w:val="Subtitle Char"/>
    <w:basedOn w:val="DefaultParagraphFont"/>
    <w:link w:val="Subtitle"/>
    <w:uiPriority w:val="11"/>
    <w:rsid w:val="009447F0"/>
    <w:rPr>
      <w:rFonts w:ascii="Calibri" w:eastAsiaTheme="majorEastAsia" w:hAnsi="Calibri" w:cs="Times New Roman (Headings CS)"/>
      <w:color w:val="595959" w:themeColor="text1" w:themeTint="A6"/>
      <w:spacing w:val="5"/>
      <w:kern w:val="0"/>
      <w:sz w:val="28"/>
      <w:szCs w:val="28"/>
      <w14:ligatures w14:val="none"/>
    </w:rPr>
  </w:style>
  <w:style w:type="paragraph" w:styleId="Footer">
    <w:name w:val="footer"/>
    <w:basedOn w:val="Normal"/>
    <w:link w:val="FooterChar"/>
    <w:uiPriority w:val="99"/>
    <w:unhideWhenUsed/>
    <w:qFormat/>
    <w:rsid w:val="009447F0"/>
    <w:pPr>
      <w:tabs>
        <w:tab w:val="center" w:pos="4680"/>
        <w:tab w:val="right" w:pos="9360"/>
      </w:tabs>
    </w:pPr>
    <w:rPr>
      <w:rFonts w:ascii="Calibri" w:eastAsiaTheme="minorEastAsia" w:hAnsi="Calibri" w:cstheme="minorBidi"/>
      <w:sz w:val="18"/>
      <w:szCs w:val="22"/>
    </w:rPr>
  </w:style>
  <w:style w:type="character" w:customStyle="1" w:styleId="FooterChar">
    <w:name w:val="Footer Char"/>
    <w:basedOn w:val="DefaultParagraphFont"/>
    <w:link w:val="Footer"/>
    <w:uiPriority w:val="99"/>
    <w:rsid w:val="009447F0"/>
    <w:rPr>
      <w:rFonts w:ascii="Calibri" w:eastAsiaTheme="minorEastAsia" w:hAnsi="Calibri"/>
      <w:kern w:val="0"/>
      <w:sz w:val="18"/>
      <w:szCs w:val="22"/>
      <w14:ligatures w14:val="none"/>
    </w:rPr>
  </w:style>
  <w:style w:type="character" w:customStyle="1" w:styleId="Heading1Char">
    <w:name w:val="Heading 1 Char"/>
    <w:basedOn w:val="DefaultParagraphFont"/>
    <w:link w:val="Heading1"/>
    <w:uiPriority w:val="9"/>
    <w:rsid w:val="009447F0"/>
    <w:rPr>
      <w:rFonts w:asciiTheme="majorHAnsi" w:eastAsiaTheme="majorEastAsia" w:hAnsiTheme="majorHAnsi" w:cstheme="majorBidi"/>
      <w:color w:val="0F4761" w:themeColor="accent1" w:themeShade="BF"/>
      <w:kern w:val="0"/>
      <w:sz w:val="36"/>
      <w:szCs w:val="40"/>
      <w14:ligatures w14:val="none"/>
    </w:rPr>
  </w:style>
  <w:style w:type="character" w:customStyle="1" w:styleId="Heading4Char">
    <w:name w:val="Heading 4 Char"/>
    <w:basedOn w:val="DefaultParagraphFont"/>
    <w:link w:val="Heading4"/>
    <w:uiPriority w:val="9"/>
    <w:semiHidden/>
    <w:rsid w:val="00E336C8"/>
    <w:rPr>
      <w:rFonts w:eastAsiaTheme="majorEastAsia" w:cstheme="majorBidi"/>
      <w:i/>
      <w:iCs/>
      <w:color w:val="0F4761" w:themeColor="accent1" w:themeShade="BF"/>
      <w:kern w:val="0"/>
      <w:sz w:val="22"/>
      <w:szCs w:val="22"/>
      <w14:ligatures w14:val="none"/>
    </w:rPr>
  </w:style>
  <w:style w:type="character" w:customStyle="1" w:styleId="Heading5Char">
    <w:name w:val="Heading 5 Char"/>
    <w:basedOn w:val="DefaultParagraphFont"/>
    <w:link w:val="Heading5"/>
    <w:uiPriority w:val="9"/>
    <w:semiHidden/>
    <w:rsid w:val="00E336C8"/>
    <w:rPr>
      <w:rFonts w:eastAsiaTheme="majorEastAsia"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E336C8"/>
    <w:rPr>
      <w:rFonts w:eastAsiaTheme="majorEastAsia" w:cstheme="majorBidi"/>
      <w:i/>
      <w:iCs/>
      <w:color w:val="595959" w:themeColor="text1" w:themeTint="A6"/>
      <w:kern w:val="0"/>
      <w:sz w:val="22"/>
      <w:szCs w:val="22"/>
      <w14:ligatures w14:val="none"/>
    </w:rPr>
  </w:style>
  <w:style w:type="character" w:customStyle="1" w:styleId="Heading7Char">
    <w:name w:val="Heading 7 Char"/>
    <w:basedOn w:val="DefaultParagraphFont"/>
    <w:link w:val="Heading7"/>
    <w:uiPriority w:val="9"/>
    <w:semiHidden/>
    <w:rsid w:val="00E336C8"/>
    <w:rPr>
      <w:rFonts w:eastAsiaTheme="majorEastAsia" w:cstheme="majorBidi"/>
      <w:color w:val="595959" w:themeColor="text1" w:themeTint="A6"/>
      <w:kern w:val="0"/>
      <w:sz w:val="22"/>
      <w:szCs w:val="22"/>
      <w14:ligatures w14:val="none"/>
    </w:rPr>
  </w:style>
  <w:style w:type="character" w:customStyle="1" w:styleId="Heading8Char">
    <w:name w:val="Heading 8 Char"/>
    <w:basedOn w:val="DefaultParagraphFont"/>
    <w:link w:val="Heading8"/>
    <w:uiPriority w:val="9"/>
    <w:semiHidden/>
    <w:rsid w:val="00E336C8"/>
    <w:rPr>
      <w:rFonts w:eastAsiaTheme="majorEastAsia" w:cstheme="majorBidi"/>
      <w:i/>
      <w:iCs/>
      <w:color w:val="272727" w:themeColor="text1" w:themeTint="D8"/>
      <w:kern w:val="0"/>
      <w:sz w:val="22"/>
      <w:szCs w:val="22"/>
      <w14:ligatures w14:val="none"/>
    </w:rPr>
  </w:style>
  <w:style w:type="character" w:customStyle="1" w:styleId="Heading9Char">
    <w:name w:val="Heading 9 Char"/>
    <w:basedOn w:val="DefaultParagraphFont"/>
    <w:link w:val="Heading9"/>
    <w:uiPriority w:val="9"/>
    <w:semiHidden/>
    <w:rsid w:val="00E336C8"/>
    <w:rPr>
      <w:rFonts w:eastAsiaTheme="majorEastAsia" w:cstheme="majorBidi"/>
      <w:color w:val="272727" w:themeColor="text1" w:themeTint="D8"/>
      <w:kern w:val="0"/>
      <w:sz w:val="22"/>
      <w:szCs w:val="22"/>
      <w14:ligatures w14:val="none"/>
    </w:rPr>
  </w:style>
  <w:style w:type="paragraph" w:styleId="Quote">
    <w:name w:val="Quote"/>
    <w:basedOn w:val="Normal"/>
    <w:next w:val="Normal"/>
    <w:link w:val="QuoteChar"/>
    <w:uiPriority w:val="29"/>
    <w:qFormat/>
    <w:rsid w:val="00E336C8"/>
    <w:pPr>
      <w:spacing w:before="160" w:after="160" w:line="259" w:lineRule="auto"/>
      <w:contextualSpacing/>
      <w:jc w:val="center"/>
    </w:pPr>
    <w:rPr>
      <w:rFonts w:ascii="Calibri" w:eastAsiaTheme="minorEastAsia" w:hAnsi="Calibri" w:cstheme="minorBidi"/>
      <w:i/>
      <w:iCs/>
      <w:color w:val="404040" w:themeColor="text1" w:themeTint="BF"/>
      <w:sz w:val="22"/>
      <w:szCs w:val="22"/>
    </w:rPr>
  </w:style>
  <w:style w:type="character" w:customStyle="1" w:styleId="QuoteChar">
    <w:name w:val="Quote Char"/>
    <w:basedOn w:val="DefaultParagraphFont"/>
    <w:link w:val="Quote"/>
    <w:uiPriority w:val="29"/>
    <w:rsid w:val="00E336C8"/>
    <w:rPr>
      <w:rFonts w:ascii="Calibri" w:eastAsiaTheme="minorEastAsia" w:hAnsi="Calibri"/>
      <w:i/>
      <w:iCs/>
      <w:color w:val="404040" w:themeColor="text1" w:themeTint="BF"/>
      <w:kern w:val="0"/>
      <w:sz w:val="22"/>
      <w:szCs w:val="22"/>
      <w14:ligatures w14:val="none"/>
    </w:rPr>
  </w:style>
  <w:style w:type="paragraph" w:styleId="ListParagraph">
    <w:name w:val="List Paragraph"/>
    <w:basedOn w:val="Normal"/>
    <w:uiPriority w:val="34"/>
    <w:qFormat/>
    <w:rsid w:val="00E336C8"/>
    <w:pPr>
      <w:spacing w:after="80" w:line="259" w:lineRule="auto"/>
      <w:ind w:left="720"/>
      <w:contextualSpacing/>
    </w:pPr>
    <w:rPr>
      <w:rFonts w:ascii="Calibri" w:eastAsiaTheme="minorEastAsia" w:hAnsi="Calibri" w:cstheme="minorBidi"/>
      <w:sz w:val="22"/>
      <w:szCs w:val="22"/>
    </w:rPr>
  </w:style>
  <w:style w:type="character" w:styleId="IntenseEmphasis">
    <w:name w:val="Intense Emphasis"/>
    <w:basedOn w:val="DefaultParagraphFont"/>
    <w:uiPriority w:val="21"/>
    <w:qFormat/>
    <w:rsid w:val="00E336C8"/>
    <w:rPr>
      <w:i/>
      <w:iCs/>
      <w:color w:val="0F4761" w:themeColor="accent1" w:themeShade="BF"/>
    </w:rPr>
  </w:style>
  <w:style w:type="paragraph" w:styleId="IntenseQuote">
    <w:name w:val="Intense Quote"/>
    <w:basedOn w:val="Normal"/>
    <w:next w:val="Normal"/>
    <w:link w:val="IntenseQuoteChar"/>
    <w:uiPriority w:val="30"/>
    <w:qFormat/>
    <w:rsid w:val="00E336C8"/>
    <w:pPr>
      <w:pBdr>
        <w:top w:val="single" w:sz="4" w:space="10" w:color="0F4761" w:themeColor="accent1" w:themeShade="BF"/>
        <w:bottom w:val="single" w:sz="4" w:space="10" w:color="0F4761" w:themeColor="accent1" w:themeShade="BF"/>
      </w:pBdr>
      <w:spacing w:before="360" w:after="360" w:line="259" w:lineRule="auto"/>
      <w:ind w:left="864" w:right="864"/>
      <w:contextualSpacing/>
      <w:jc w:val="center"/>
    </w:pPr>
    <w:rPr>
      <w:rFonts w:ascii="Calibri" w:eastAsiaTheme="minorEastAsia" w:hAnsi="Calibri" w:cstheme="minorBidi"/>
      <w:i/>
      <w:iCs/>
      <w:color w:val="0F4761" w:themeColor="accent1" w:themeShade="BF"/>
      <w:sz w:val="22"/>
      <w:szCs w:val="22"/>
    </w:rPr>
  </w:style>
  <w:style w:type="character" w:customStyle="1" w:styleId="IntenseQuoteChar">
    <w:name w:val="Intense Quote Char"/>
    <w:basedOn w:val="DefaultParagraphFont"/>
    <w:link w:val="IntenseQuote"/>
    <w:uiPriority w:val="30"/>
    <w:rsid w:val="00E336C8"/>
    <w:rPr>
      <w:rFonts w:ascii="Calibri" w:eastAsiaTheme="minorEastAsia" w:hAnsi="Calibri"/>
      <w:i/>
      <w:iCs/>
      <w:color w:val="0F4761" w:themeColor="accent1" w:themeShade="BF"/>
      <w:kern w:val="0"/>
      <w:sz w:val="22"/>
      <w:szCs w:val="22"/>
      <w14:ligatures w14:val="none"/>
    </w:rPr>
  </w:style>
  <w:style w:type="character" w:styleId="IntenseReference">
    <w:name w:val="Intense Reference"/>
    <w:basedOn w:val="DefaultParagraphFont"/>
    <w:uiPriority w:val="32"/>
    <w:qFormat/>
    <w:rsid w:val="00E336C8"/>
    <w:rPr>
      <w:b/>
      <w:bCs/>
      <w:smallCaps/>
      <w:color w:val="0F4761" w:themeColor="accent1" w:themeShade="BF"/>
      <w:spacing w:val="5"/>
    </w:rPr>
  </w:style>
  <w:style w:type="paragraph" w:styleId="Header">
    <w:name w:val="header"/>
    <w:basedOn w:val="Normal"/>
    <w:link w:val="HeaderChar"/>
    <w:uiPriority w:val="99"/>
    <w:unhideWhenUsed/>
    <w:rsid w:val="00E336C8"/>
    <w:pPr>
      <w:tabs>
        <w:tab w:val="center" w:pos="4680"/>
        <w:tab w:val="right" w:pos="9360"/>
      </w:tabs>
      <w:contextualSpacing/>
    </w:pPr>
    <w:rPr>
      <w:rFonts w:ascii="Calibri" w:eastAsiaTheme="minorEastAsia" w:hAnsi="Calibri" w:cstheme="minorBidi"/>
      <w:sz w:val="22"/>
      <w:szCs w:val="22"/>
    </w:rPr>
  </w:style>
  <w:style w:type="character" w:customStyle="1" w:styleId="HeaderChar">
    <w:name w:val="Header Char"/>
    <w:basedOn w:val="DefaultParagraphFont"/>
    <w:link w:val="Header"/>
    <w:uiPriority w:val="99"/>
    <w:rsid w:val="00E336C8"/>
    <w:rPr>
      <w:rFonts w:ascii="Calibri" w:eastAsiaTheme="minorEastAsia" w:hAnsi="Calibri"/>
      <w:kern w:val="0"/>
      <w:sz w:val="22"/>
      <w:szCs w:val="22"/>
      <w14:ligatures w14:val="none"/>
    </w:rPr>
  </w:style>
  <w:style w:type="character" w:styleId="BookTitle">
    <w:name w:val="Book Title"/>
    <w:basedOn w:val="DefaultParagraphFont"/>
    <w:uiPriority w:val="33"/>
    <w:qFormat/>
    <w:rsid w:val="006F5C0C"/>
    <w:rPr>
      <w:b/>
      <w:bCs/>
      <w:i/>
      <w:iCs/>
      <w:spacing w:val="5"/>
    </w:rPr>
  </w:style>
  <w:style w:type="paragraph" w:styleId="Caption">
    <w:name w:val="caption"/>
    <w:basedOn w:val="Normal"/>
    <w:next w:val="Normal"/>
    <w:uiPriority w:val="35"/>
    <w:semiHidden/>
    <w:unhideWhenUsed/>
    <w:qFormat/>
    <w:rsid w:val="006F5C0C"/>
    <w:pPr>
      <w:spacing w:after="200"/>
      <w:contextualSpacing/>
    </w:pPr>
    <w:rPr>
      <w:rFonts w:ascii="Calibri" w:eastAsiaTheme="minorEastAsia" w:hAnsi="Calibri" w:cstheme="minorBidi"/>
      <w:i/>
      <w:iCs/>
      <w:color w:val="0E2841" w:themeColor="text2"/>
      <w:sz w:val="18"/>
      <w:szCs w:val="18"/>
    </w:rPr>
  </w:style>
  <w:style w:type="character" w:styleId="Emphasis">
    <w:name w:val="Emphasis"/>
    <w:basedOn w:val="DefaultParagraphFont"/>
    <w:uiPriority w:val="20"/>
    <w:qFormat/>
    <w:rsid w:val="006F5C0C"/>
    <w:rPr>
      <w:i/>
      <w:iCs/>
    </w:rPr>
  </w:style>
  <w:style w:type="paragraph" w:styleId="NoSpacing">
    <w:name w:val="No Spacing"/>
    <w:uiPriority w:val="1"/>
    <w:qFormat/>
    <w:rsid w:val="006F5C0C"/>
    <w:pPr>
      <w:spacing w:before="0"/>
      <w:contextualSpacing/>
    </w:pPr>
    <w:rPr>
      <w:rFonts w:ascii="Calibri" w:eastAsiaTheme="minorEastAsia" w:hAnsi="Calibri"/>
      <w:kern w:val="0"/>
      <w:sz w:val="22"/>
      <w:szCs w:val="22"/>
      <w14:ligatures w14:val="none"/>
    </w:rPr>
  </w:style>
  <w:style w:type="character" w:styleId="Strong">
    <w:name w:val="Strong"/>
    <w:basedOn w:val="DefaultParagraphFont"/>
    <w:uiPriority w:val="22"/>
    <w:qFormat/>
    <w:rsid w:val="006F5C0C"/>
    <w:rPr>
      <w:b/>
      <w:bCs/>
    </w:rPr>
  </w:style>
  <w:style w:type="character" w:styleId="SubtleEmphasis">
    <w:name w:val="Subtle Emphasis"/>
    <w:basedOn w:val="DefaultParagraphFont"/>
    <w:uiPriority w:val="19"/>
    <w:qFormat/>
    <w:rsid w:val="006F5C0C"/>
    <w:rPr>
      <w:i/>
      <w:iCs/>
      <w:color w:val="404040" w:themeColor="text1" w:themeTint="BF"/>
    </w:rPr>
  </w:style>
  <w:style w:type="character" w:styleId="SubtleReference">
    <w:name w:val="Subtle Reference"/>
    <w:basedOn w:val="DefaultParagraphFont"/>
    <w:uiPriority w:val="31"/>
    <w:qFormat/>
    <w:rsid w:val="006F5C0C"/>
    <w:rPr>
      <w:smallCaps/>
      <w:color w:val="5A5A5A" w:themeColor="text1" w:themeTint="A5"/>
    </w:rPr>
  </w:style>
  <w:style w:type="paragraph" w:styleId="TOCHeading">
    <w:name w:val="TOC Heading"/>
    <w:basedOn w:val="Heading1"/>
    <w:next w:val="Normal"/>
    <w:uiPriority w:val="39"/>
    <w:semiHidden/>
    <w:unhideWhenUsed/>
    <w:qFormat/>
    <w:rsid w:val="006F5C0C"/>
    <w:pPr>
      <w:spacing w:before="240" w:after="0"/>
      <w:outlineLvl w:val="9"/>
    </w:pPr>
    <w:rPr>
      <w:sz w:val="32"/>
      <w:szCs w:val="32"/>
    </w:rPr>
  </w:style>
  <w:style w:type="paragraph" w:styleId="NormalWeb">
    <w:name w:val="Normal (Web)"/>
    <w:basedOn w:val="Normal"/>
    <w:uiPriority w:val="99"/>
    <w:semiHidden/>
    <w:unhideWhenUsed/>
    <w:rsid w:val="00BD1027"/>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7</Pages>
  <Words>2902</Words>
  <Characters>15967</Characters>
  <Application>Microsoft Office Word</Application>
  <DocSecurity>0</DocSecurity>
  <Lines>307</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Landry</dc:creator>
  <cp:keywords/>
  <dc:description/>
  <cp:lastModifiedBy>Alan Landry</cp:lastModifiedBy>
  <cp:revision>5</cp:revision>
  <cp:lastPrinted>2026-08-10T18:06:00Z</cp:lastPrinted>
  <dcterms:created xsi:type="dcterms:W3CDTF">2026-08-10T20:12:00Z</dcterms:created>
  <dcterms:modified xsi:type="dcterms:W3CDTF">2026-08-11T16:23:00Z</dcterms:modified>
</cp:coreProperties>
</file>