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Document.docx" ContentType="application/vnd.openxmlformats-officedocument.wordprocessingml.documen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A70D96" w14:textId="77777777" w:rsidR="00A63D17" w:rsidRDefault="00000000">
      <w:pPr>
        <w:spacing w:before="2400" w:after="200"/>
        <w:jc w:val="center"/>
      </w:pPr>
      <w:r>
        <w:rPr>
          <w:b/>
          <w:bCs/>
          <w:color w:val="1F3864"/>
          <w:sz w:val="40"/>
          <w:szCs w:val="40"/>
        </w:rPr>
        <w:t>THE LANDRY FAMILY</w:t>
      </w:r>
    </w:p>
    <w:p w14:paraId="31C1277B" w14:textId="77777777" w:rsidR="00A63D17" w:rsidRDefault="00000000">
      <w:pPr>
        <w:spacing w:after="400"/>
        <w:jc w:val="center"/>
      </w:pPr>
      <w:r>
        <w:rPr>
          <w:b/>
          <w:bCs/>
          <w:color w:val="1F3864"/>
          <w:sz w:val="36"/>
          <w:szCs w:val="36"/>
        </w:rPr>
        <w:t>EQUITY INVESTMENT OPERATING SYSTEM</w:t>
      </w:r>
    </w:p>
    <w:p w14:paraId="5A147A6A" w14:textId="77777777" w:rsidR="00A63D17" w:rsidRDefault="00000000">
      <w:pPr>
        <w:spacing w:after="100"/>
        <w:jc w:val="center"/>
      </w:pPr>
      <w:r>
        <w:rPr>
          <w:b/>
          <w:bCs/>
          <w:color w:val="2E5090"/>
          <w:sz w:val="26"/>
          <w:szCs w:val="26"/>
        </w:rPr>
        <w:t>Version 1.05</w:t>
      </w:r>
    </w:p>
    <w:p w14:paraId="5EA92174" w14:textId="77777777" w:rsidR="00A63D17" w:rsidRDefault="00000000">
      <w:pPr>
        <w:spacing w:after="600"/>
        <w:jc w:val="center"/>
      </w:pPr>
      <w:r>
        <w:rPr>
          <w:i/>
          <w:iCs/>
          <w:color w:val="606060"/>
        </w:rPr>
        <w:t>Long-Term Equity Appreciation over a 3–10 Year Horizon  |  Capital Preservation, &lt;30% Drawdown Objective</w:t>
      </w:r>
    </w:p>
    <w:p w14:paraId="19753D07" w14:textId="77777777" w:rsidR="00A63D17" w:rsidRDefault="00000000">
      <w:pPr>
        <w:spacing w:before="300" w:after="40"/>
        <w:jc w:val="center"/>
      </w:pPr>
      <w:r>
        <w:rPr>
          <w:b/>
          <w:bCs/>
          <w:color w:val="404040"/>
          <w:sz w:val="18"/>
          <w:szCs w:val="18"/>
        </w:rPr>
        <w:t>Document Control</w:t>
      </w:r>
    </w:p>
    <w:p w14:paraId="41B2FFDF" w14:textId="77777777" w:rsidR="00A63D17" w:rsidRDefault="00000000">
      <w:pPr>
        <w:spacing w:after="40"/>
        <w:jc w:val="center"/>
      </w:pPr>
      <w:r>
        <w:rPr>
          <w:i/>
          <w:iCs/>
          <w:color w:val="606060"/>
          <w:sz w:val="16"/>
          <w:szCs w:val="16"/>
        </w:rPr>
        <w:t>Version 1.05  |  Current Steward: designated System Steward  |  Effective Date: to be maintained with the current approved version</w:t>
      </w:r>
    </w:p>
    <w:p w14:paraId="0B0EEF0C" w14:textId="77777777" w:rsidR="00A63D17" w:rsidRDefault="00000000">
      <w:pPr>
        <w:spacing w:after="500"/>
        <w:jc w:val="center"/>
      </w:pPr>
      <w:r>
        <w:rPr>
          <w:i/>
          <w:iCs/>
          <w:color w:val="606060"/>
          <w:sz w:val="16"/>
          <w:szCs w:val="16"/>
        </w:rPr>
        <w:t>Revision history shall be preserved under the governance process established in Part 9.</w:t>
      </w:r>
    </w:p>
    <w:p w14:paraId="56F55B73" w14:textId="77777777" w:rsidR="00786A9A" w:rsidRDefault="00000000">
      <w:pPr>
        <w:pStyle w:val="Heading2"/>
      </w:pPr>
      <w:r>
        <w:t>Revision History</w:t>
      </w:r>
    </w:p>
    <w:p w14:paraId="1DC23E8B" w14:textId="77777777" w:rsidR="00786A9A" w:rsidRDefault="00000000">
      <w:r>
        <w:t>v1.02 (2026-08-25): Added two Piotroski F-Score-derived cross-checks under Part 2, both scoped as additive documentation feeding existing mechanisms -- neither changes an indicator weight, a threshold, the Composite Score formula, or a Hard Rule, so this does not meet the Part 9 Change Control threshold for weight/threshold/Hard Rule revisions; logged here for auditability.</w:t>
      </w:r>
    </w:p>
    <w:p w14:paraId="3FE62653" w14:textId="77777777" w:rsidR="00786A9A" w:rsidRDefault="00000000">
      <w:r>
        <w:t>(1) Accruals Quality Cross-Check (Tier 1, FCF Yield &amp; Trend): tags Low Confidence when cash from operations does not exceed net income for the most recent fiscal year. Confidence-tagging only -- the FCF Yield &amp; Trend score itself is unaffected. Interacts with the existing Rule 4 cap (2+ Tier 1 indicators tagged Low Confidence caps the classification at Buy) through the ordinary confidence-tag mechanism, unchanged.</w:t>
      </w:r>
    </w:p>
    <w:p w14:paraId="7B591118" w14:textId="77777777" w:rsidR="00786A9A" w:rsidRDefault="00000000">
      <w:r>
        <w:t>(2) Leverage Trajectory Note (Tier 2, Management Quality &amp; Capital Allocation): documents whether trailing Debt/FCF increased, decreased, or held flat versus the prior fiscal year, alongside the existing Rule 19 level check. Unlike (1), this informs both the Confidence tag and this indicator's 1-5 score -- consistent with Management Quality's existing status as a permanently qualitative, analyst-judgment indicator (Part 12) whose score was already meant to weigh leverage as part of its 5-year capital-allocation review. Rule 19's own 5x hard cap on the Composite Score is unchanged; trajectory is context for judgment, not a modifier to the cap.</w:t>
      </w:r>
    </w:p>
    <w:p w14:paraId="22F1C8D8" w14:textId="77777777" w:rsidR="00786A9A" w:rsidRDefault="00000000">
      <w:r>
        <w:t>Evidence: Piotroski F-Score framework. Expected benefit: earlier detection of earnings-quality divergence, and clearer risk differentiation between a name deleveraging versus one levering up further at the same Debt/FCF level. No unintended consequences identified.</w:t>
      </w:r>
    </w:p>
    <w:p w14:paraId="1DC23E8B" w14:textId="77777777" w:rsidR="00786A9A" w:rsidRDefault="00000000">
      <w:r>
        <w:t>v1.03 (2026-09-13): Added an Early Partial Trim provision under Part 6 (Hard Rules: Sell Triggers — Valuation), for holdings in Probationary Hold (Composite 50–64) only. If the same Tier 1/2 indicator(s) that caused Probationary Hold entry are reconfirmed unimproved or worse by a later filing, scheduled re-score, or equivalent documented evidence before the 90-day deadline, trim one-third of the share count held at entry; may recur up to twice more in the same window (maximum three trims / full liquidation in the worst case). Does not apply to price movement alone — an unconfirmed decline remains governed by Hold Through. Unlike the 2026-08-25 Piotroski entry above, this DOES meet the Part 9 Change Control threshold for a Hard Rule revision, hence the version bump to v1.03 and the Hard Rule count increasing from 49 to 50. Motivating case: CRWD entered Probationary Hold 2026-09-13 on confirmed FCF-margin and ROIC deterioration, with price already down 10-15% over the prior two weeks -- raised the question of whether an all-or-nothing 90-day wait unnecessarily rides out further decline on a name with reconfirmed (not just price-based) deterioration. Expected benefit: reduces downside exposure during the 90-day window on such positions while preserving upside if a position genuinely recovers before a full trim cycle completes. Explicitly scoped to Probationary Hold only (not Exit Review) and treated as a first pass, not a final calibration -- trim size and scope may be tightened or adjusted once more positions have gone through this and a real pattern (not a single case) suggests which specific metric combinations most reliably predict non-recovery, consistent with Part 9's standing caution against reactive changes after a single case.</w:t>
      </w:r>
    </w:p>
    <w:p w14:paraId="51A00004" w14:textId="77777777" w:rsidR="00786A9A" w:rsidRDefault="00000000">
      <w:r>
        <w:t xml:space="preserve">v1.04 (2026-10-01): Added a Technical/Momentum Floor Review requirement under Part 3 (Hard Rules: Composite Score &amp; Confidence), extending the existing Tier 1-only "any indicator at 1" mandatory-review requirement to Relative Strength vs. SPY and Technical Trend specifically — both previously outside every hard-rule gate’s scope despite being exactly the measures that would catch sustained price-trend deterioration in an otherwise fundamentally-strong name. This DOES meet the Part 9 Change Control threshold for a Hard Rule revision, hence the version bump to v1.04 and the Hard Rule count increasing from 50 to 51. Motivating case: NFLX, purchased 2026-09-30 on a Composite Score of 83.8 (Strong Buy) despite Relative Strength scored at the literal floor (1) and on record since 2026-09-13 — approved and never hidden, but mathematically invisible to the Composite at only 3% weight and structurally invisible to Rules 1-4, which reference Tier 1 columns only. A direct chart cross-check (prompted by the position’s decline the day after purchase) confirmed the sustained downtrend the Relative Strength score had already captured. A dry-run against the live Scoring tab found this rule would also have flagged ADBE (Strong Buy, held) and ABT (Buy) for the same reason — ADBE’s Relative Strength had already independently prompted a Moat Quality review the day before this rule was drafted, so the rule would have surfaced that need automatically rather than requiring it to be noticed first. Scoped narrowly to Relative Strength and Technical Trend, not all Tier 2/3 indicators: Valuation Multiples also showed literal-1 scores in the same dry-run, but that is a different signal already governed by the existing Implied-Return Bear Case 0%-or-higher entry gate under Part 4, and including it here would duplicate an existing safeguard rather than close a real gap. Expected benefit: a severe, sustained momentum red flag can no longer ride through to a live purchase, or sit unexamined in an existing holding, purely because it is diluted by Tier 1 weight. Possible unintended consequence: review fatigue if these two indicators prove volatile across many names at once — track the actual flag rate over the next several scoring cycles before judging whether the literal-1 threshold (rather than ≤2) needs adjustment. First pass, not final calibration, same posture as Rule 34.</w:t>
      </w:r>
    </w:p>
    <w:p w:rsidR="00786A9A" w:rsidRDefault="00000000">
      <w:r>
        <w:t>v1.05 (2026-10-08): Added a Stop-Review Ladder under Part 6 (Hard Rules: Stop-Review Ladder) -- a price-triggered re-underwrite for a holding that falls well below cost with weak relative strength or a price under its 200-day average -- and stated the basis of the Part 5 sector cap (Rule 16: market value, direct holdings). (1) Stop-Review Ladder: Rung 1 -- a holding 20% or more below its cost basis with Relative Strength scored 1 or the price under its 200-day average takes no additions and needs a documented re-underwrite within 10 trading days (a fresh Tier 1 reread, the leading indicators for the business model, and the Rule 5 review concluded as reaffirmed, resized or referred), repeated every 90 days; Rung 2 -- 30% or more below cost with deterioration found: trim one third, another third on a second confirmation; Rung 3 -- 40% or more below cost with Relative Strength 1 and eight weeks under the 200-day average: Exit Review. Hold Through's first condition no longer covers a holding that has reached a rung. (2) Sector cap: Rule 16 is measured at market value on direct holdings (exchange-traded funds are not looked through; their treatment remains a separate open policy question). This DOES meet the Part 9 Change Control threshold for a Hard Rule revision, hence the version bump to v1.05; the ladder is an un-numbered Hard Rules block, like Hold Through, so the numbered Hard Rule count stays at 51 and no rule number changes. (An earlier draft also called v1.05, which would have softened Rule 3 for holdings, was never adopted and is unrelated.) Motivating case: ADBE, 21% below cost and 35% below its 52-week high on 2026-10-07 with Relative Strength scored 1, a high free-cash-flow yield, and trailing scores that nothing required anyone to revisit before the next earnings date -- Hold Through correctly said a price decline alone is not a reason to sell, but nothing said a falling holding must be re-examined, and the Rule 5 review it called for had gone unwritten for nearly four weeks. Evidence considered: a test of mechanical stops on 110 US stocks (2011-2026, an entry every 21 trading days, 12-month holds) found fixed and trailing price stops cut the worst outcomes but cost 3 to 14 points of average return, fired in 17% to 84% of entries and whip-sawed about 48% of the time against about 20% saved; a stop confirmed by price and trend cost 2.6 points and whip-sawed 40% against 25% saved; after a fall of 30% or more from the 52-week high with weak relative strength and a close under the 200-day average the median 12-month return was +17%, one third were still down at 12 months and 49% fell a further 15% within six months -- a deep fall marks further-downside risk without being a reliable exit signal, which is why the ladder forces work, not sales. Expected benefit: a holding whose price keeps falling is re-underwritten on a deadline against leading indicators (such as net new ARR and remaining performance obligations) that trailing statements cannot see, additions stop while that is open, and a confirmed deterioration is trimmed in steps rather than ridden out. Possible unintended consequences: review fatigue in a broad drawdown (many holdings on Rung 1 at once); cost-basis anchoring (a rung is measured from cost, so a position bought high keeps tripping); and the survivor bias and bull-market sample of the test, which understate what stops protect -- track the rung rate and the trims taken over the next several quarters before changing the thresholds. Effective 2026-10-08, not applied retroactively; ADBE is on Rung 1 under it. First pass, not final calibration, the same posture as Rules 5 and 34. Two companion provisions are still to be designed and are not part of this revision: a leading-indicator qualifier for ARR / backlog names and a cluster-level drawdown review.</w:t>
      </w:r>
    </w:p>
    <w:p w14:paraId="30B2DB5D" w14:textId="77777777" w:rsidR="00A63D17" w:rsidRDefault="00000000">
      <w:pPr>
        <w:spacing w:before="1200"/>
        <w:jc w:val="center"/>
      </w:pPr>
      <w:r>
        <w:rPr>
          <w:i/>
          <w:iCs/>
          <w:color w:val="999999"/>
          <w:sz w:val="18"/>
          <w:szCs w:val="18"/>
        </w:rPr>
        <w:t>[ Preamble and Introduction — reserved ]</w:t>
      </w:r>
    </w:p>
    <w:p w14:paraId="589650E8" w14:textId="77777777" w:rsidR="00A63D17" w:rsidRDefault="00A63D17">
      <w:pPr>
        <w:sectPr w:rsidR="00A63D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pPr>
    </w:p>
    <w:sdt>
      <w:sdtPr>
        <w:rPr>
          <w:rFonts w:ascii="Calibri" w:eastAsia="Calibri" w:hAnsi="Calibri" w:cs="Calibri"/>
          <w:color w:val="auto"/>
          <w:sz w:val="20"/>
          <w:szCs w:val="20"/>
        </w:rPr>
        <w:id w:val="357010734"/>
        <w:docPartObj>
          <w:docPartGallery w:val="Table of Contents"/>
          <w:docPartUnique/>
        </w:docPartObj>
      </w:sdtPr>
      <w:sdtEndPr>
        <w:rPr>
          <w:b/>
          <w:bCs/>
          <w:noProof/>
        </w:rPr>
      </w:sdtEndPr>
      <w:sdtContent>
        <w:p w14:paraId="19AAB11F" w14:textId="77777777" w:rsidR="002219D7" w:rsidRDefault="002219D7" w:rsidP="002219D7">
          <w:pPr>
            <w:pStyle w:val="TOCHeading"/>
            <w:jc w:val="center"/>
          </w:pPr>
          <w:r>
            <w:t>Table of Contents</w:t>
          </w:r>
        </w:p>
        <w:p w14:paraId="4459A7C3" w14:textId="77777777" w:rsidR="00B962C2" w:rsidRDefault="002219D7">
          <w:pPr>
            <w:pStyle w:val="TOC1"/>
            <w:tabs>
              <w:tab w:val="right" w:leader="dot" w:pos="935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6826945" w:history="1">
            <w:r>
              <w:rPr>
                <w:rStyle w:val="Hyperlink"/>
                <w:noProof/>
              </w:rPr>
              <w:t>EXECUTIVE SUMMARY</w:t>
            </w:r>
            <w:r>
              <w:rPr>
                <w:noProof/>
                <w:webHidden/>
              </w:rPr>
              <w:tab/>
              <w:fldChar w:fldCharType="begin"/>
              <w:instrText xml:space="preserve"> PAGEREF _Toc236826945 \h </w:instrText>
              <w:fldChar w:fldCharType="separate"/>
              <w:t>3</w:t>
              <w:fldChar w:fldCharType="end"/>
            </w:r>
          </w:hyperlink>
        </w:p>
        <w:p w14:paraId="3E85B1D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46" w:history="1">
            <w:r>
              <w:rPr>
                <w:rStyle w:val="Hyperlink"/>
                <w:noProof/>
              </w:rPr>
              <w:t>PART 1 — PHILOSOPHY, SCOPE &amp; GOVERNING HIERARCHY</w:t>
            </w:r>
            <w:r>
              <w:rPr>
                <w:noProof/>
                <w:webHidden/>
              </w:rPr>
              <w:tab/>
              <w:fldChar w:fldCharType="begin"/>
              <w:instrText xml:space="preserve"> PAGEREF _Toc236826946 \h </w:instrText>
              <w:fldChar w:fldCharType="separate"/>
              <w:t>4</w:t>
              <w:fldChar w:fldCharType="end"/>
            </w:r>
          </w:hyperlink>
        </w:p>
        <w:p w14:paraId="2A04625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7" w:history="1">
            <w:r>
              <w:rPr>
                <w:rStyle w:val="Hyperlink"/>
                <w:noProof/>
              </w:rPr>
              <w:t>1.1 Core Principles</w:t>
            </w:r>
            <w:r>
              <w:rPr>
                <w:noProof/>
                <w:webHidden/>
              </w:rPr>
              <w:tab/>
              <w:fldChar w:fldCharType="begin"/>
              <w:instrText xml:space="preserve"> PAGEREF _Toc236826947 \h </w:instrText>
              <w:fldChar w:fldCharType="separate"/>
              <w:t>4</w:t>
              <w:fldChar w:fldCharType="end"/>
            </w:r>
          </w:hyperlink>
        </w:p>
        <w:p w14:paraId="053C95C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8" w:history="1">
            <w:r>
              <w:rPr>
                <w:rStyle w:val="Hyperlink"/>
                <w:noProof/>
              </w:rPr>
              <w:t>1.2 Stewardship Philosophy, Values, Vision &amp; Mission</w:t>
            </w:r>
            <w:r>
              <w:rPr>
                <w:noProof/>
                <w:webHidden/>
              </w:rPr>
              <w:tab/>
              <w:fldChar w:fldCharType="begin"/>
              <w:instrText xml:space="preserve"> PAGEREF _Toc236826948 \h </w:instrText>
              <w:fldChar w:fldCharType="separate"/>
              <w:t>4</w:t>
              <w:fldChar w:fldCharType="end"/>
            </w:r>
          </w:hyperlink>
        </w:p>
        <w:p w14:paraId="004A5FF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9" w:history="1">
            <w:r>
              <w:rPr>
                <w:rStyle w:val="Hyperlink"/>
                <w:noProof/>
              </w:rPr>
              <w:t>1.3 Scope &amp; Applicability</w:t>
            </w:r>
            <w:r>
              <w:rPr>
                <w:noProof/>
                <w:webHidden/>
              </w:rPr>
              <w:tab/>
              <w:fldChar w:fldCharType="begin"/>
              <w:instrText xml:space="preserve"> PAGEREF _Toc236826949 \h </w:instrText>
              <w:fldChar w:fldCharType="separate"/>
              <w:t>4</w:t>
              <w:fldChar w:fldCharType="end"/>
            </w:r>
          </w:hyperlink>
        </w:p>
        <w:p w14:paraId="40503F7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0" w:history="1">
            <w:r>
              <w:rPr>
                <w:rStyle w:val="Hyperlink"/>
                <w:noProof/>
              </w:rPr>
              <w:t>1.4 How to Use This System</w:t>
            </w:r>
            <w:r>
              <w:rPr>
                <w:noProof/>
                <w:webHidden/>
              </w:rPr>
              <w:tab/>
              <w:fldChar w:fldCharType="begin"/>
              <w:instrText xml:space="preserve"> PAGEREF _Toc236826950 \h </w:instrText>
              <w:fldChar w:fldCharType="separate"/>
              <w:t>4</w:t>
              <w:fldChar w:fldCharType="end"/>
            </w:r>
          </w:hyperlink>
        </w:p>
        <w:p w14:paraId="619F0BDF"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1" w:history="1">
            <w:r>
              <w:rPr>
                <w:rStyle w:val="Hyperlink"/>
                <w:noProof/>
              </w:rPr>
              <w:t>1.5 Decision Integrity</w:t>
            </w:r>
            <w:r>
              <w:rPr>
                <w:noProof/>
                <w:webHidden/>
              </w:rPr>
              <w:tab/>
              <w:fldChar w:fldCharType="begin"/>
              <w:instrText xml:space="preserve"> PAGEREF _Toc236826951 \h </w:instrText>
              <w:fldChar w:fldCharType="separate"/>
              <w:t>4</w:t>
              <w:fldChar w:fldCharType="end"/>
            </w:r>
          </w:hyperlink>
        </w:p>
        <w:p w14:paraId="2D97643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2" w:history="1">
            <w:r>
              <w:rPr>
                <w:rStyle w:val="Hyperlink"/>
                <w:noProof/>
              </w:rPr>
              <w:t>1.6 Evidence Standard</w:t>
            </w:r>
            <w:r>
              <w:rPr>
                <w:noProof/>
                <w:webHidden/>
              </w:rPr>
              <w:tab/>
              <w:fldChar w:fldCharType="begin"/>
              <w:instrText xml:space="preserve"> PAGEREF _Toc236826952 \h </w:instrText>
              <w:fldChar w:fldCharType="separate"/>
              <w:t>5</w:t>
              <w:fldChar w:fldCharType="end"/>
            </w:r>
          </w:hyperlink>
        </w:p>
        <w:p w14:paraId="23EC9C0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3" w:history="1">
            <w:r>
              <w:rPr>
                <w:rStyle w:val="Hyperlink"/>
                <w:noProof/>
              </w:rPr>
              <w:t>1.7 Investment Decision Hierarchy</w:t>
            </w:r>
            <w:r>
              <w:rPr>
                <w:noProof/>
                <w:webHidden/>
              </w:rPr>
              <w:tab/>
              <w:fldChar w:fldCharType="begin"/>
              <w:instrText xml:space="preserve"> PAGEREF _Toc236826953 \h </w:instrText>
              <w:fldChar w:fldCharType="separate"/>
              <w:t>5</w:t>
              <w:fldChar w:fldCharType="end"/>
            </w:r>
          </w:hyperlink>
        </w:p>
        <w:p w14:paraId="472975CE"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4" w:history="1">
            <w:r>
              <w:rPr>
                <w:rStyle w:val="Hyperlink"/>
                <w:noProof/>
              </w:rPr>
              <w:t>1.8 Selling Philosophy</w:t>
            </w:r>
            <w:r>
              <w:rPr>
                <w:noProof/>
                <w:webHidden/>
              </w:rPr>
              <w:tab/>
              <w:fldChar w:fldCharType="begin"/>
              <w:instrText xml:space="preserve"> PAGEREF _Toc236826954 \h </w:instrText>
              <w:fldChar w:fldCharType="separate"/>
              <w:t>5</w:t>
              <w:fldChar w:fldCharType="end"/>
            </w:r>
          </w:hyperlink>
        </w:p>
        <w:p w14:paraId="1C993675"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5" w:history="1">
            <w:r>
              <w:rPr>
                <w:rStyle w:val="Hyperlink"/>
                <w:noProof/>
              </w:rPr>
              <w:t>PART 2 — INDICATOR FRAMEWORK &amp; SCORING</w:t>
            </w:r>
            <w:r>
              <w:rPr>
                <w:noProof/>
                <w:webHidden/>
              </w:rPr>
              <w:tab/>
              <w:fldChar w:fldCharType="begin"/>
              <w:instrText xml:space="preserve"> PAGEREF _Toc236826955 \h </w:instrText>
              <w:fldChar w:fldCharType="separate"/>
              <w:t>6</w:t>
              <w:fldChar w:fldCharType="end"/>
            </w:r>
          </w:hyperlink>
        </w:p>
        <w:p w14:paraId="3CCAD91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6" w:history="1">
            <w:r>
              <w:rPr>
                <w:rStyle w:val="Hyperlink"/>
                <w:noProof/>
              </w:rPr>
              <w:t>Tier 1 — Highest Predictive Weight (70% of Decision)</w:t>
            </w:r>
            <w:r>
              <w:rPr>
                <w:noProof/>
                <w:webHidden/>
              </w:rPr>
              <w:tab/>
              <w:fldChar w:fldCharType="begin"/>
              <w:instrText xml:space="preserve"> PAGEREF _Toc236826956 \h </w:instrText>
              <w:fldChar w:fldCharType="separate"/>
              <w:t>6</w:t>
              <w:fldChar w:fldCharType="end"/>
            </w:r>
          </w:hyperlink>
        </w:p>
        <w:p w14:paraId="4CF6C568"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7" w:history="1">
            <w:r>
              <w:rPr>
                <w:rStyle w:val="Hyperlink"/>
                <w:noProof/>
              </w:rPr>
              <w:t>Tier 2 — High Importance (25% of Decision)</w:t>
            </w:r>
            <w:r>
              <w:rPr>
                <w:noProof/>
                <w:webHidden/>
              </w:rPr>
              <w:tab/>
              <w:fldChar w:fldCharType="begin"/>
              <w:instrText xml:space="preserve"> PAGEREF _Toc236826957 \h </w:instrText>
              <w:fldChar w:fldCharType="separate"/>
              <w:t>7</w:t>
              <w:fldChar w:fldCharType="end"/>
            </w:r>
          </w:hyperlink>
        </w:p>
        <w:p w14:paraId="32000B4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8" w:history="1">
            <w:r>
              <w:rPr>
                <w:rStyle w:val="Hyperlink"/>
                <w:noProof/>
              </w:rPr>
              <w:t>Tier 3 — Confirmatory Weight (5% of Decision)</w:t>
            </w:r>
            <w:r>
              <w:rPr>
                <w:noProof/>
                <w:webHidden/>
              </w:rPr>
              <w:tab/>
              <w:fldChar w:fldCharType="begin"/>
              <w:instrText xml:space="preserve"> PAGEREF _Toc236826958 \h </w:instrText>
              <w:fldChar w:fldCharType="separate"/>
              <w:t>7</w:t>
              <w:fldChar w:fldCharType="end"/>
            </w:r>
          </w:hyperlink>
        </w:p>
        <w:p w14:paraId="46BCD312"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9" w:history="1">
            <w:r>
              <w:rPr>
                <w:rStyle w:val="Hyperlink"/>
                <w:noProof/>
              </w:rPr>
              <w:t>PART 3 — COMPOSITE SCORE &amp; CONFIDENCE</w:t>
            </w:r>
            <w:r>
              <w:rPr>
                <w:noProof/>
                <w:webHidden/>
              </w:rPr>
              <w:tab/>
              <w:fldChar w:fldCharType="begin"/>
              <w:instrText xml:space="preserve"> PAGEREF _Toc236826959 \h </w:instrText>
              <w:fldChar w:fldCharType="separate"/>
              <w:t>8</w:t>
              <w:fldChar w:fldCharType="end"/>
            </w:r>
          </w:hyperlink>
        </w:p>
        <w:p w14:paraId="54FA293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0" w:history="1">
            <w:r>
              <w:rPr>
                <w:rStyle w:val="Hyperlink"/>
                <w:noProof/>
              </w:rPr>
              <w:t>Confidence Tagging</w:t>
            </w:r>
            <w:r>
              <w:rPr>
                <w:noProof/>
                <w:webHidden/>
              </w:rPr>
              <w:tab/>
              <w:fldChar w:fldCharType="begin"/>
              <w:instrText xml:space="preserve"> PAGEREF _Toc236826960 \h </w:instrText>
              <w:fldChar w:fldCharType="separate"/>
              <w:t>8</w:t>
              <w:fldChar w:fldCharType="end"/>
            </w:r>
          </w:hyperlink>
        </w:p>
        <w:p w14:paraId="1C0AF38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1" w:history="1">
            <w:r>
              <w:rPr>
                <w:rStyle w:val="Hyperlink"/>
                <w:noProof/>
              </w:rPr>
              <w:t>Hard Rules: Composite Score &amp; Confidence</w:t>
            </w:r>
            <w:r>
              <w:rPr>
                <w:noProof/>
                <w:webHidden/>
              </w:rPr>
              <w:tab/>
              <w:fldChar w:fldCharType="begin"/>
              <w:instrText xml:space="preserve"> PAGEREF _Toc236826961 \h </w:instrText>
              <w:fldChar w:fldCharType="separate"/>
              <w:t>8</w:t>
              <w:fldChar w:fldCharType="end"/>
            </w:r>
          </w:hyperlink>
        </w:p>
        <w:p w14:paraId="6B2C3FE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2" w:history="1">
            <w:r>
              <w:rPr>
                <w:rStyle w:val="Hyperlink"/>
                <w:noProof/>
              </w:rPr>
              <w:t>PART 4 — ENTRY RULES</w:t>
            </w:r>
            <w:r>
              <w:rPr>
                <w:noProof/>
                <w:webHidden/>
              </w:rPr>
              <w:tab/>
              <w:fldChar w:fldCharType="begin"/>
              <w:instrText xml:space="preserve"> PAGEREF _Toc236826962 \h </w:instrText>
              <w:fldChar w:fldCharType="separate"/>
              <w:t>9</w:t>
              <w:fldChar w:fldCharType="end"/>
            </w:r>
          </w:hyperlink>
        </w:p>
        <w:p w14:paraId="1B9C68E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3" w:history="1">
            <w:r>
              <w:rPr>
                <w:rStyle w:val="Hyperlink"/>
                <w:noProof/>
              </w:rPr>
              <w:t>Cyclical Business Adjustment</w:t>
            </w:r>
            <w:r>
              <w:rPr>
                <w:noProof/>
                <w:webHidden/>
              </w:rPr>
              <w:tab/>
              <w:fldChar w:fldCharType="begin"/>
              <w:instrText xml:space="preserve"> PAGEREF _Toc236826963 \h </w:instrText>
              <w:fldChar w:fldCharType="separate"/>
              <w:t>9</w:t>
              <w:fldChar w:fldCharType="end"/>
            </w:r>
          </w:hyperlink>
        </w:p>
        <w:p w14:paraId="5A71DDB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4" w:history="1">
            <w:r>
              <w:rPr>
                <w:rStyle w:val="Hyperlink"/>
                <w:noProof/>
              </w:rPr>
              <w:t>Hard Rules: Entry Checklist</w:t>
            </w:r>
            <w:r>
              <w:rPr>
                <w:noProof/>
                <w:webHidden/>
              </w:rPr>
              <w:tab/>
              <w:fldChar w:fldCharType="begin"/>
              <w:instrText xml:space="preserve"> PAGEREF _Toc236826964 \h </w:instrText>
              <w:fldChar w:fldCharType="separate"/>
              <w:t>9</w:t>
              <w:fldChar w:fldCharType="end"/>
            </w:r>
          </w:hyperlink>
        </w:p>
        <w:p w14:paraId="5D53368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5" w:history="1">
            <w:r>
              <w:rPr>
                <w:rStyle w:val="Hyperlink"/>
                <w:noProof/>
              </w:rPr>
              <w:t>Standardized Implied-Return Methodology</w:t>
            </w:r>
            <w:r>
              <w:rPr>
                <w:noProof/>
                <w:webHidden/>
              </w:rPr>
              <w:tab/>
              <w:fldChar w:fldCharType="begin"/>
              <w:instrText xml:space="preserve"> PAGEREF _Toc236826965 \h </w:instrText>
              <w:fldChar w:fldCharType="separate"/>
              <w:t>9</w:t>
              <w:fldChar w:fldCharType="end"/>
            </w:r>
          </w:hyperlink>
        </w:p>
        <w:p w14:paraId="5C5FC7B6"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6" w:history="1">
            <w:r>
              <w:rPr>
                <w:rStyle w:val="Hyperlink"/>
                <w:noProof/>
              </w:rPr>
              <w:t>Bear-Case Implied Return Test</w:t>
            </w:r>
            <w:r>
              <w:rPr>
                <w:noProof/>
                <w:webHidden/>
              </w:rPr>
              <w:tab/>
              <w:fldChar w:fldCharType="begin"/>
              <w:instrText xml:space="preserve"> PAGEREF _Toc236826966 \h </w:instrText>
              <w:fldChar w:fldCharType="separate"/>
              <w:t>10</w:t>
              <w:fldChar w:fldCharType="end"/>
            </w:r>
          </w:hyperlink>
        </w:p>
        <w:p w14:paraId="617D75D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7" w:history="1">
            <w:r>
              <w:rPr>
                <w:rStyle w:val="Hyperlink"/>
                <w:noProof/>
              </w:rPr>
              <w:t>Scenario Range (Bull / Base / Bear)</w:t>
            </w:r>
            <w:r>
              <w:rPr>
                <w:noProof/>
                <w:webHidden/>
              </w:rPr>
              <w:tab/>
              <w:fldChar w:fldCharType="begin"/>
              <w:instrText xml:space="preserve"> PAGEREF _Toc236826967 \h </w:instrText>
              <w:fldChar w:fldCharType="separate"/>
              <w:t>10</w:t>
              <w:fldChar w:fldCharType="end"/>
            </w:r>
          </w:hyperlink>
        </w:p>
        <w:p w14:paraId="251DD7E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8" w:history="1">
            <w:r>
              <w:rPr>
                <w:rStyle w:val="Hyperlink"/>
                <w:noProof/>
              </w:rPr>
              <w:t>Valuation Ceiling ("Too Expensive to Buy")</w:t>
            </w:r>
            <w:r>
              <w:rPr>
                <w:noProof/>
                <w:webHidden/>
              </w:rPr>
              <w:tab/>
              <w:fldChar w:fldCharType="begin"/>
              <w:instrText xml:space="preserve"> PAGEREF _Toc236826968 \h </w:instrText>
              <w:fldChar w:fldCharType="separate"/>
              <w:t>10</w:t>
              <w:fldChar w:fldCharType="end"/>
            </w:r>
          </w:hyperlink>
        </w:p>
        <w:p w14:paraId="04F16263"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9" w:history="1">
            <w:r>
              <w:rPr>
                <w:rStyle w:val="Hyperlink"/>
                <w:noProof/>
              </w:rPr>
              <w:t>PART 5 — POSITION SIZING</w:t>
            </w:r>
            <w:r>
              <w:rPr>
                <w:noProof/>
                <w:webHidden/>
              </w:rPr>
              <w:tab/>
              <w:fldChar w:fldCharType="begin"/>
              <w:instrText xml:space="preserve"> PAGEREF _Toc236826969 \h </w:instrText>
              <w:fldChar w:fldCharType="separate"/>
              <w:t>11</w:t>
              <w:fldChar w:fldCharType="end"/>
            </w:r>
          </w:hyperlink>
        </w:p>
        <w:p w14:paraId="3B5827C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0" w:history="1">
            <w:r>
              <w:rPr>
                <w:rStyle w:val="Hyperlink"/>
                <w:noProof/>
              </w:rPr>
              <w:t>Sizing Modifiers</w:t>
            </w:r>
            <w:r>
              <w:rPr>
                <w:noProof/>
                <w:webHidden/>
              </w:rPr>
              <w:tab/>
              <w:fldChar w:fldCharType="begin"/>
              <w:instrText xml:space="preserve"> PAGEREF _Toc236826970 \h </w:instrText>
              <w:fldChar w:fldCharType="separate"/>
              <w:t>11</w:t>
              <w:fldChar w:fldCharType="end"/>
            </w:r>
          </w:hyperlink>
        </w:p>
        <w:p w14:paraId="3FFB303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1" w:history="1">
            <w:r>
              <w:rPr>
                <w:rStyle w:val="Hyperlink"/>
                <w:noProof/>
              </w:rPr>
              <w:t>Hard Rules: Position Sizing</w:t>
            </w:r>
            <w:r>
              <w:rPr>
                <w:noProof/>
                <w:webHidden/>
              </w:rPr>
              <w:tab/>
              <w:fldChar w:fldCharType="begin"/>
              <w:instrText xml:space="preserve"> PAGEREF _Toc236826971 \h </w:instrText>
              <w:fldChar w:fldCharType="separate"/>
              <w:t>11</w:t>
              <w:fldChar w:fldCharType="end"/>
            </w:r>
          </w:hyperlink>
        </w:p>
        <w:p w14:paraId="2275CB4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2" w:history="1">
            <w:r>
              <w:rPr>
                <w:rStyle w:val="Hyperlink"/>
                <w:noProof/>
              </w:rPr>
              <w:t>Leverage Hard Cap</w:t>
            </w:r>
            <w:r>
              <w:rPr>
                <w:noProof/>
                <w:webHidden/>
              </w:rPr>
              <w:tab/>
              <w:fldChar w:fldCharType="begin"/>
              <w:instrText xml:space="preserve"> PAGEREF _Toc236826972 \h </w:instrText>
              <w:fldChar w:fldCharType="separate"/>
              <w:t>11</w:t>
              <w:fldChar w:fldCharType="end"/>
            </w:r>
          </w:hyperlink>
        </w:p>
        <w:p w14:paraId="1C03609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3" w:history="1">
            <w:r>
              <w:rPr>
                <w:rStyle w:val="Hyperlink"/>
                <w:noProof/>
              </w:rPr>
              <w:t>Volatility / Beta Sizing Overlay</w:t>
            </w:r>
            <w:r>
              <w:rPr>
                <w:noProof/>
                <w:webHidden/>
              </w:rPr>
              <w:tab/>
              <w:fldChar w:fldCharType="begin"/>
              <w:instrText xml:space="preserve"> PAGEREF _Toc236826973 \h </w:instrText>
              <w:fldChar w:fldCharType="separate"/>
              <w:t>11</w:t>
              <w:fldChar w:fldCharType="end"/>
            </w:r>
          </w:hyperlink>
        </w:p>
        <w:p w14:paraId="489C805A"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74" w:history="1">
            <w:r>
              <w:rPr>
                <w:rStyle w:val="Hyperlink"/>
                <w:noProof/>
              </w:rPr>
              <w:t>PART 6 — EXIT &amp; SELL DISCIPLINE</w:t>
            </w:r>
            <w:r>
              <w:rPr>
                <w:noProof/>
                <w:webHidden/>
              </w:rPr>
              <w:tab/>
              <w:fldChar w:fldCharType="begin"/>
              <w:instrText xml:space="preserve"> PAGEREF _Toc236826974 \h </w:instrText>
              <w:fldChar w:fldCharType="separate"/>
              <w:t>12</w:t>
              <w:fldChar w:fldCharType="end"/>
            </w:r>
          </w:hyperlink>
        </w:p>
        <w:p w14:paraId="36F4E93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5" w:history="1">
            <w:r>
              <w:rPr>
                <w:rStyle w:val="Hyperlink"/>
                <w:noProof/>
              </w:rPr>
              <w:t>Hard Rules: Sell Triggers — Fundamental (act within 30 days of confirmation)</w:t>
            </w:r>
            <w:r>
              <w:rPr>
                <w:noProof/>
                <w:webHidden/>
              </w:rPr>
              <w:tab/>
              <w:fldChar w:fldCharType="begin"/>
              <w:instrText xml:space="preserve"> PAGEREF _Toc236826975 \h </w:instrText>
              <w:fldChar w:fldCharType="separate"/>
              <w:t>12</w:t>
              <w:fldChar w:fldCharType="end"/>
            </w:r>
          </w:hyperlink>
        </w:p>
        <w:p w14:paraId="6CA2D73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6" w:history="1">
            <w:r>
              <w:rPr>
                <w:rStyle w:val="Hyperlink"/>
                <w:noProof/>
              </w:rPr>
              <w:t>Hard Rules: Sell Triggers — Valuation (trim or sell when price exceeds intrinsic value)</w:t>
            </w:r>
            <w:r>
              <w:rPr>
                <w:noProof/>
                <w:webHidden/>
              </w:rPr>
              <w:tab/>
              <w:fldChar w:fldCharType="begin"/>
              <w:instrText xml:space="preserve"> PAGEREF _Toc236826976 \h </w:instrText>
              <w:fldChar w:fldCharType="separate"/>
              <w:t>12</w:t>
              <w:fldChar w:fldCharType="end"/>
            </w:r>
          </w:hyperlink>
        </w:p>
        <w:p w14:paraId="3E28223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7" w:history="1">
            <w:r>
              <w:rPr>
                <w:rStyle w:val="Hyperlink"/>
                <w:noProof/>
              </w:rPr>
              <w:t>Hard Rules: Hold Through (do NOT sell based on these alone)</w:t>
            </w:r>
            <w:r>
              <w:rPr>
                <w:noProof/>
                <w:webHidden/>
              </w:rPr>
              <w:tab/>
              <w:fldChar w:fldCharType="begin"/>
              <w:instrText xml:space="preserve"> PAGEREF _Toc236826977 \h </w:instrText>
              <w:fldChar w:fldCharType="separate"/>
              <w:t>12</w:t>
              <w:fldChar w:fldCharType="end"/>
            </w:r>
          </w:hyperlink>
        </w:p>
        <w:p w14:paraId="24B576C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8" w:history="1">
            <w:r>
              <w:rPr>
                <w:rStyle w:val="Hyperlink"/>
                <w:noProof/>
              </w:rPr>
              <w:t>Opportunity-Cost Replacement (Quality Upgrade)</w:t>
            </w:r>
            <w:r>
              <w:rPr>
                <w:noProof/>
                <w:webHidden/>
              </w:rPr>
              <w:tab/>
              <w:fldChar w:fldCharType="begin"/>
              <w:instrText xml:space="preserve"> PAGEREF _Toc236826978 \h </w:instrText>
              <w:fldChar w:fldCharType="separate"/>
              <w:t>12</w:t>
              <w:fldChar w:fldCharType="end"/>
            </w:r>
          </w:hyperlink>
        </w:p>
        <w:p w14:paraId="609A0E6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9" w:history="1">
            <w:r>
              <w:rPr>
                <w:rStyle w:val="Hyperlink"/>
                <w:noProof/>
              </w:rPr>
              <w:t>Hard Rules: Opportunity-Cost Replacement</w:t>
            </w:r>
            <w:r>
              <w:rPr>
                <w:noProof/>
                <w:webHidden/>
              </w:rPr>
              <w:tab/>
              <w:fldChar w:fldCharType="begin"/>
              <w:instrText xml:space="preserve"> PAGEREF _Toc236826979 \h </w:instrText>
              <w:fldChar w:fldCharType="separate"/>
              <w:t>13</w:t>
              <w:fldChar w:fldCharType="end"/>
            </w:r>
          </w:hyperlink>
        </w:p>
        <w:p w14:paraId="1128418B"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0" w:history="1">
            <w:r>
              <w:rPr>
                <w:rStyle w:val="Hyperlink"/>
                <w:noProof/>
              </w:rPr>
              <w:t>PART 7 — PORTFOLIO RISK MANAGEMENT</w:t>
            </w:r>
            <w:r>
              <w:rPr>
                <w:noProof/>
                <w:webHidden/>
              </w:rPr>
              <w:tab/>
              <w:fldChar w:fldCharType="begin"/>
              <w:instrText xml:space="preserve"> PAGEREF _Toc236826980 \h </w:instrText>
              <w:fldChar w:fldCharType="separate"/>
              <w:t>14</w:t>
              <w:fldChar w:fldCharType="end"/>
            </w:r>
          </w:hyperlink>
        </w:p>
        <w:p w14:paraId="5067321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1" w:history="1">
            <w:r>
              <w:rPr>
                <w:rStyle w:val="Hyperlink"/>
                <w:noProof/>
              </w:rPr>
              <w:t>Macro-Overlay</w:t>
            </w:r>
            <w:r>
              <w:rPr>
                <w:noProof/>
                <w:webHidden/>
              </w:rPr>
              <w:tab/>
              <w:fldChar w:fldCharType="begin"/>
              <w:instrText xml:space="preserve"> PAGEREF _Toc236826981 \h </w:instrText>
              <w:fldChar w:fldCharType="separate"/>
              <w:t>14</w:t>
              <w:fldChar w:fldCharType="end"/>
            </w:r>
          </w:hyperlink>
        </w:p>
        <w:p w14:paraId="21F93F8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2" w:history="1">
            <w:r>
              <w:rPr>
                <w:rStyle w:val="Hyperlink"/>
                <w:noProof/>
              </w:rPr>
              <w:t>Hard Rule: Correlation Cap</w:t>
            </w:r>
            <w:r>
              <w:rPr>
                <w:noProof/>
                <w:webHidden/>
              </w:rPr>
              <w:tab/>
              <w:fldChar w:fldCharType="begin"/>
              <w:instrText xml:space="preserve"> PAGEREF _Toc236826982 \h </w:instrText>
              <w:fldChar w:fldCharType="separate"/>
              <w:t>14</w:t>
              <w:fldChar w:fldCharType="end"/>
            </w:r>
          </w:hyperlink>
        </w:p>
        <w:p w14:paraId="7205CC3E"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3" w:history="1">
            <w:r>
              <w:rPr>
                <w:rStyle w:val="Hyperlink"/>
                <w:noProof/>
              </w:rPr>
              <w:t>Portfolio-Level Drawdown Response</w:t>
            </w:r>
            <w:r>
              <w:rPr>
                <w:noProof/>
                <w:webHidden/>
              </w:rPr>
              <w:tab/>
              <w:fldChar w:fldCharType="begin"/>
              <w:instrText xml:space="preserve"> PAGEREF _Toc236826983 \h </w:instrText>
              <w:fldChar w:fldCharType="separate"/>
              <w:t>15</w:t>
              <w:fldChar w:fldCharType="end"/>
            </w:r>
          </w:hyperlink>
        </w:p>
        <w:p w14:paraId="63794FF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4" w:history="1">
            <w:r>
              <w:rPr>
                <w:rStyle w:val="Hyperlink"/>
                <w:noProof/>
              </w:rPr>
              <w:t>Hard Rule: Portfolio Drawdown Response</w:t>
            </w:r>
            <w:r>
              <w:rPr>
                <w:noProof/>
                <w:webHidden/>
              </w:rPr>
              <w:tab/>
              <w:fldChar w:fldCharType="begin"/>
              <w:instrText xml:space="preserve"> PAGEREF _Toc236826984 \h </w:instrText>
              <w:fldChar w:fldCharType="separate"/>
              <w:t>15</w:t>
              <w:fldChar w:fldCharType="end"/>
            </w:r>
          </w:hyperlink>
        </w:p>
        <w:p w14:paraId="3FFCE6A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5" w:history="1">
            <w:r>
              <w:rPr>
                <w:rStyle w:val="Hyperlink"/>
                <w:noProof/>
              </w:rPr>
              <w:t>Cash-Raising Waterfall</w:t>
            </w:r>
            <w:r>
              <w:rPr>
                <w:noProof/>
                <w:webHidden/>
              </w:rPr>
              <w:tab/>
              <w:fldChar w:fldCharType="begin"/>
              <w:instrText xml:space="preserve"> PAGEREF _Toc236826985 \h </w:instrText>
              <w:fldChar w:fldCharType="separate"/>
              <w:t>15</w:t>
              <w:fldChar w:fldCharType="end"/>
            </w:r>
          </w:hyperlink>
        </w:p>
        <w:p w14:paraId="6428A80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6" w:history="1">
            <w:r>
              <w:rPr>
                <w:rStyle w:val="Hyperlink"/>
                <w:noProof/>
              </w:rPr>
              <w:t>Target Drawdown Reference</w:t>
            </w:r>
            <w:r>
              <w:rPr>
                <w:noProof/>
                <w:webHidden/>
              </w:rPr>
              <w:tab/>
              <w:fldChar w:fldCharType="begin"/>
              <w:instrText xml:space="preserve"> PAGEREF _Toc236826986 \h </w:instrText>
              <w:fldChar w:fldCharType="separate"/>
              <w:t>15</w:t>
              <w:fldChar w:fldCharType="end"/>
            </w:r>
          </w:hyperlink>
        </w:p>
        <w:p w14:paraId="06C2B97D"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7" w:history="1">
            <w:r>
              <w:rPr>
                <w:rStyle w:val="Hyperlink"/>
                <w:noProof/>
              </w:rPr>
              <w:t>PART 8 — TAX-AWARE PORTFOLIO MANAGEMENT</w:t>
            </w:r>
            <w:r>
              <w:rPr>
                <w:noProof/>
                <w:webHidden/>
              </w:rPr>
              <w:tab/>
              <w:fldChar w:fldCharType="begin"/>
              <w:instrText xml:space="preserve"> PAGEREF _Toc236826987 \h </w:instrText>
              <w:fldChar w:fldCharType="separate"/>
              <w:t>17</w:t>
              <w:fldChar w:fldCharType="end"/>
            </w:r>
          </w:hyperlink>
        </w:p>
        <w:p w14:paraId="7752929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8" w:history="1">
            <w:r>
              <w:rPr>
                <w:rStyle w:val="Hyperlink"/>
                <w:noProof/>
              </w:rPr>
              <w:t>Holding Period Awareness</w:t>
            </w:r>
            <w:r>
              <w:rPr>
                <w:noProof/>
                <w:webHidden/>
              </w:rPr>
              <w:tab/>
              <w:fldChar w:fldCharType="begin"/>
              <w:instrText xml:space="preserve"> PAGEREF _Toc236826988 \h </w:instrText>
              <w:fldChar w:fldCharType="separate"/>
              <w:t>17</w:t>
              <w:fldChar w:fldCharType="end"/>
            </w:r>
          </w:hyperlink>
        </w:p>
        <w:p w14:paraId="35CE0B0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9" w:history="1">
            <w:r>
              <w:rPr>
                <w:rStyle w:val="Hyperlink"/>
                <w:noProof/>
              </w:rPr>
              <w:t>Tax-Loss Harvesting</w:t>
            </w:r>
            <w:r>
              <w:rPr>
                <w:noProof/>
                <w:webHidden/>
              </w:rPr>
              <w:tab/>
              <w:fldChar w:fldCharType="begin"/>
              <w:instrText xml:space="preserve"> PAGEREF _Toc236826989 \h </w:instrText>
              <w:fldChar w:fldCharType="separate"/>
              <w:t>17</w:t>
              <w:fldChar w:fldCharType="end"/>
            </w:r>
          </w:hyperlink>
        </w:p>
        <w:p w14:paraId="3C89447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0" w:history="1">
            <w:r>
              <w:rPr>
                <w:rStyle w:val="Hyperlink"/>
                <w:noProof/>
              </w:rPr>
              <w:t>Lot Selection Discipline</w:t>
            </w:r>
            <w:r>
              <w:rPr>
                <w:noProof/>
                <w:webHidden/>
              </w:rPr>
              <w:tab/>
              <w:fldChar w:fldCharType="begin"/>
              <w:instrText xml:space="preserve"> PAGEREF _Toc236826990 \h </w:instrText>
              <w:fldChar w:fldCharType="separate"/>
              <w:t>17</w:t>
              <w:fldChar w:fldCharType="end"/>
            </w:r>
          </w:hyperlink>
        </w:p>
        <w:p w14:paraId="7913481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1" w:history="1">
            <w:r>
              <w:rPr>
                <w:rStyle w:val="Hyperlink"/>
                <w:noProof/>
              </w:rPr>
              <w:t>Turnover Discipline</w:t>
            </w:r>
            <w:r>
              <w:rPr>
                <w:noProof/>
                <w:webHidden/>
              </w:rPr>
              <w:tab/>
              <w:fldChar w:fldCharType="begin"/>
              <w:instrText xml:space="preserve"> PAGEREF _Toc236826991 \h </w:instrText>
              <w:fldChar w:fldCharType="separate"/>
              <w:t>17</w:t>
              <w:fldChar w:fldCharType="end"/>
            </w:r>
          </w:hyperlink>
        </w:p>
        <w:p w14:paraId="73C083A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2" w:history="1">
            <w:r>
              <w:rPr>
                <w:rStyle w:val="Hyperlink"/>
                <w:noProof/>
              </w:rPr>
              <w:t>Hard Rules: Tax-Aware Portfolio Management</w:t>
            </w:r>
            <w:r>
              <w:rPr>
                <w:noProof/>
                <w:webHidden/>
              </w:rPr>
              <w:tab/>
              <w:fldChar w:fldCharType="begin"/>
              <w:instrText xml:space="preserve"> PAGEREF _Toc236826992 \h </w:instrText>
              <w:fldChar w:fldCharType="separate"/>
              <w:t>17</w:t>
              <w:fldChar w:fldCharType="end"/>
            </w:r>
          </w:hyperlink>
        </w:p>
        <w:p w14:paraId="3B88530C"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3" w:history="1">
            <w:r>
              <w:rPr>
                <w:rStyle w:val="Hyperlink"/>
                <w:noProof/>
              </w:rPr>
              <w:t>PART 9 — REVIEW SCHEDULE, DOCUMENTATION &amp; GOVERNANCE</w:t>
            </w:r>
            <w:r>
              <w:rPr>
                <w:noProof/>
                <w:webHidden/>
              </w:rPr>
              <w:tab/>
              <w:fldChar w:fldCharType="begin"/>
              <w:instrText xml:space="preserve"> PAGEREF _Toc236826993 \h </w:instrText>
              <w:fldChar w:fldCharType="separate"/>
              <w:t>18</w:t>
              <w:fldChar w:fldCharType="end"/>
            </w:r>
          </w:hyperlink>
        </w:p>
        <w:p w14:paraId="77E6CD0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4" w:history="1">
            <w:r>
              <w:rPr>
                <w:rStyle w:val="Hyperlink"/>
                <w:noProof/>
              </w:rPr>
              <w:t>Hard Rules: Review Schedule</w:t>
            </w:r>
            <w:r>
              <w:rPr>
                <w:noProof/>
                <w:webHidden/>
              </w:rPr>
              <w:tab/>
              <w:fldChar w:fldCharType="begin"/>
              <w:instrText xml:space="preserve"> PAGEREF _Toc236826994 \h </w:instrText>
              <w:fldChar w:fldCharType="separate"/>
              <w:t>18</w:t>
              <w:fldChar w:fldCharType="end"/>
            </w:r>
          </w:hyperlink>
        </w:p>
        <w:p w14:paraId="6C552F7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5" w:history="1">
            <w:r>
              <w:rPr>
                <w:rStyle w:val="Hyperlink"/>
                <w:noProof/>
              </w:rPr>
              <w:t>Required Investment File</w:t>
            </w:r>
            <w:r>
              <w:rPr>
                <w:noProof/>
                <w:webHidden/>
              </w:rPr>
              <w:tab/>
              <w:fldChar w:fldCharType="begin"/>
              <w:instrText xml:space="preserve"> PAGEREF _Toc236826995 \h </w:instrText>
              <w:fldChar w:fldCharType="separate"/>
              <w:t>18</w:t>
              <w:fldChar w:fldCharType="end"/>
            </w:r>
          </w:hyperlink>
        </w:p>
        <w:p w14:paraId="1B0A7D2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6" w:history="1">
            <w:r>
              <w:rPr>
                <w:rStyle w:val="Hyperlink"/>
                <w:noProof/>
              </w:rPr>
              <w:t>Documentation Standards</w:t>
            </w:r>
            <w:r>
              <w:rPr>
                <w:noProof/>
                <w:webHidden/>
              </w:rPr>
              <w:tab/>
              <w:fldChar w:fldCharType="begin"/>
              <w:instrText xml:space="preserve"> PAGEREF _Toc236826996 \h </w:instrText>
              <w:fldChar w:fldCharType="separate"/>
              <w:t>18</w:t>
              <w:fldChar w:fldCharType="end"/>
            </w:r>
          </w:hyperlink>
        </w:p>
        <w:p w14:paraId="7C6F754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7" w:history="1">
            <w:r>
              <w:rPr>
                <w:rStyle w:val="Hyperlink"/>
                <w:noProof/>
              </w:rPr>
              <w:t>Performance Benchmarking</w:t>
            </w:r>
            <w:r>
              <w:rPr>
                <w:noProof/>
                <w:webHidden/>
              </w:rPr>
              <w:tab/>
              <w:fldChar w:fldCharType="begin"/>
              <w:instrText xml:space="preserve"> PAGEREF _Toc236826997 \h </w:instrText>
              <w:fldChar w:fldCharType="separate"/>
              <w:t>18</w:t>
              <w:fldChar w:fldCharType="end"/>
            </w:r>
          </w:hyperlink>
        </w:p>
        <w:p w14:paraId="5AF28B7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8" w:history="1">
            <w:r>
              <w:rPr>
                <w:rStyle w:val="Hyperlink"/>
                <w:noProof/>
              </w:rPr>
              <w:t>Governance</w:t>
            </w:r>
            <w:r>
              <w:rPr>
                <w:noProof/>
                <w:webHidden/>
              </w:rPr>
              <w:tab/>
              <w:fldChar w:fldCharType="begin"/>
              <w:instrText xml:space="preserve"> PAGEREF _Toc236826998 \h </w:instrText>
              <w:fldChar w:fldCharType="separate"/>
              <w:t>19</w:t>
              <w:fldChar w:fldCharType="end"/>
            </w:r>
          </w:hyperlink>
        </w:p>
        <w:p w14:paraId="25DD454D"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9" w:history="1">
            <w:r>
              <w:rPr>
                <w:rStyle w:val="Hyperlink"/>
                <w:noProof/>
              </w:rPr>
              <w:t>PART 10 — SECTOR ADAPTATIONS &amp; OPERATING DEFINITIONS</w:t>
            </w:r>
            <w:r>
              <w:rPr>
                <w:noProof/>
                <w:webHidden/>
              </w:rPr>
              <w:tab/>
              <w:fldChar w:fldCharType="begin"/>
              <w:instrText xml:space="preserve"> PAGEREF _Toc236826999 \h </w:instrText>
              <w:fldChar w:fldCharType="separate"/>
              <w:t>20</w:t>
              <w:fldChar w:fldCharType="end"/>
            </w:r>
          </w:hyperlink>
        </w:p>
        <w:p w14:paraId="34B8521F"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0" w:history="1">
            <w:r>
              <w:rPr>
                <w:rStyle w:val="Hyperlink"/>
                <w:noProof/>
              </w:rPr>
              <w:t>Rule Hierarchy and Conflict Resolution</w:t>
            </w:r>
            <w:r>
              <w:rPr>
                <w:noProof/>
                <w:webHidden/>
              </w:rPr>
              <w:tab/>
              <w:fldChar w:fldCharType="begin"/>
              <w:instrText xml:space="preserve"> PAGEREF _Toc236827000 \h </w:instrText>
              <w:fldChar w:fldCharType="separate"/>
              <w:t>20</w:t>
              <w:fldChar w:fldCharType="end"/>
            </w:r>
          </w:hyperlink>
        </w:p>
        <w:p w14:paraId="1E333D1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1" w:history="1">
            <w:r>
              <w:rPr>
                <w:rStyle w:val="Hyperlink"/>
                <w:noProof/>
              </w:rPr>
              <w:t>Data and Source Hierarchy</w:t>
            </w:r>
            <w:r>
              <w:rPr>
                <w:noProof/>
                <w:webHidden/>
              </w:rPr>
              <w:tab/>
              <w:fldChar w:fldCharType="begin"/>
              <w:instrText xml:space="preserve"> PAGEREF _Toc236827001 \h </w:instrText>
              <w:fldChar w:fldCharType="separate"/>
              <w:t>20</w:t>
              <w:fldChar w:fldCharType="end"/>
            </w:r>
          </w:hyperlink>
        </w:p>
        <w:p w14:paraId="2EBC50D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2" w:history="1">
            <w:r>
              <w:rPr>
                <w:rStyle w:val="Hyperlink"/>
                <w:noProof/>
              </w:rPr>
              <w:t>Core Measurement Definitions</w:t>
            </w:r>
            <w:r>
              <w:rPr>
                <w:noProof/>
                <w:webHidden/>
              </w:rPr>
              <w:tab/>
              <w:fldChar w:fldCharType="begin"/>
              <w:instrText xml:space="preserve"> PAGEREF _Toc236827002 \h </w:instrText>
              <w:fldChar w:fldCharType="separate"/>
              <w:t>20</w:t>
              <w:fldChar w:fldCharType="end"/>
            </w:r>
          </w:hyperlink>
        </w:p>
        <w:p w14:paraId="0974F5C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3" w:history="1">
            <w:r>
              <w:rPr>
                <w:rStyle w:val="Hyperlink"/>
                <w:noProof/>
              </w:rPr>
              <w:t>Sector Adaptation — Financial Companies</w:t>
            </w:r>
            <w:r>
              <w:rPr>
                <w:noProof/>
                <w:webHidden/>
              </w:rPr>
              <w:tab/>
              <w:fldChar w:fldCharType="begin"/>
              <w:instrText xml:space="preserve"> PAGEREF _Toc236827003 \h </w:instrText>
              <w:fldChar w:fldCharType="separate"/>
              <w:t>20</w:t>
              <w:fldChar w:fldCharType="end"/>
            </w:r>
          </w:hyperlink>
        </w:p>
        <w:p w14:paraId="6705D8A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4" w:history="1">
            <w:r>
              <w:rPr>
                <w:rStyle w:val="Hyperlink"/>
                <w:noProof/>
              </w:rPr>
              <w:t>Hard Rules: Financial-Sector Leverage and Valuation Ceilings</w:t>
            </w:r>
            <w:r>
              <w:rPr>
                <w:noProof/>
                <w:webHidden/>
              </w:rPr>
              <w:tab/>
              <w:fldChar w:fldCharType="begin"/>
              <w:instrText xml:space="preserve"> PAGEREF _Toc236827004 \h </w:instrText>
              <w:fldChar w:fldCharType="separate"/>
              <w:t>20</w:t>
              <w:fldChar w:fldCharType="end"/>
            </w:r>
          </w:hyperlink>
        </w:p>
        <w:p w14:paraId="6655D7E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5" w:history="1">
            <w:r>
              <w:rPr>
                <w:rStyle w:val="Hyperlink"/>
                <w:noProof/>
              </w:rPr>
              <w:t>Sector Adaptation — REITs, Utilities, Early-Stage and Commodity Producers</w:t>
            </w:r>
            <w:r>
              <w:rPr>
                <w:noProof/>
                <w:webHidden/>
              </w:rPr>
              <w:tab/>
              <w:fldChar w:fldCharType="begin"/>
              <w:instrText xml:space="preserve"> PAGEREF _Toc236827005 \h </w:instrText>
              <w:fldChar w:fldCharType="separate"/>
              <w:t>20</w:t>
              <w:fldChar w:fldCharType="end"/>
            </w:r>
          </w:hyperlink>
        </w:p>
        <w:p w14:paraId="0647E90C"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6" w:history="1">
            <w:r>
              <w:rPr>
                <w:rStyle w:val="Hyperlink"/>
                <w:noProof/>
              </w:rPr>
              <w:t>PART 11 — WHAT TO AVOID</w:t>
            </w:r>
            <w:r>
              <w:rPr>
                <w:noProof/>
                <w:webHidden/>
              </w:rPr>
              <w:tab/>
              <w:fldChar w:fldCharType="begin"/>
              <w:instrText xml:space="preserve"> PAGEREF _Toc236827006 \h </w:instrText>
              <w:fldChar w:fldCharType="separate"/>
              <w:t>21</w:t>
              <w:fldChar w:fldCharType="end"/>
            </w:r>
          </w:hyperlink>
        </w:p>
        <w:p w14:paraId="0FC43313"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7" w:history="1">
            <w:r>
              <w:rPr>
                <w:rStyle w:val="Hyperlink"/>
                <w:noProof/>
              </w:rPr>
              <w:t>PART 12 — STOCK SCORING TEMPLATE</w:t>
            </w:r>
            <w:r>
              <w:rPr>
                <w:noProof/>
                <w:webHidden/>
              </w:rPr>
              <w:tab/>
              <w:fldChar w:fldCharType="begin"/>
              <w:instrText xml:space="preserve"> PAGEREF _Toc236827007 \h </w:instrText>
              <w:fldChar w:fldCharType="separate"/>
              <w:t>21</w:t>
              <w:fldChar w:fldCharType="end"/>
            </w:r>
          </w:hyperlink>
        </w:p>
        <w:p w14:paraId="74E81ED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8" w:history="1">
            <w:r>
              <w:rPr>
                <w:rStyle w:val="Hyperlink"/>
                <w:noProof/>
              </w:rPr>
              <w:t>APPENDIX</w:t>
            </w:r>
            <w:r>
              <w:rPr>
                <w:noProof/>
                <w:webHidden/>
              </w:rPr>
              <w:tab/>
              <w:fldChar w:fldCharType="begin"/>
              <w:instrText xml:space="preserve"> PAGEREF _Toc236827008 \h </w:instrText>
              <w:fldChar w:fldCharType="separate"/>
              <w:t>22</w:t>
              <w:fldChar w:fldCharType="end"/>
            </w:r>
          </w:hyperlink>
        </w:p>
        <w:p w14:paraId="07F40E2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9" w:history="1">
            <w:r>
              <w:rPr>
                <w:rStyle w:val="Hyperlink"/>
                <w:noProof/>
              </w:rPr>
              <w:t>Scoring Template (Formatted Example / Working)</w:t>
            </w:r>
            <w:r>
              <w:rPr>
                <w:noProof/>
                <w:webHidden/>
              </w:rPr>
              <w:tab/>
              <w:fldChar w:fldCharType="begin"/>
              <w:instrText xml:space="preserve"> PAGEREF _Toc236827009 \h </w:instrText>
              <w:fldChar w:fldCharType="separate"/>
              <w:t>22</w:t>
              <w:fldChar w:fldCharType="end"/>
            </w:r>
          </w:hyperlink>
        </w:p>
        <w:p w14:paraId="38CEAA62"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0" w:history="1">
            <w:r>
              <w:rPr>
                <w:rStyle w:val="Hyperlink"/>
                <w:noProof/>
              </w:rPr>
              <w:t>GLOSSARY</w:t>
            </w:r>
            <w:r>
              <w:rPr>
                <w:noProof/>
                <w:webHidden/>
              </w:rPr>
              <w:tab/>
              <w:fldChar w:fldCharType="begin"/>
              <w:instrText xml:space="preserve"> PAGEREF _Toc236827010 \h </w:instrText>
              <w:fldChar w:fldCharType="separate"/>
              <w:t>23</w:t>
              <w:fldChar w:fldCharType="end"/>
            </w:r>
          </w:hyperlink>
        </w:p>
        <w:p w14:paraId="6B6B336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1" w:history="1">
            <w:r>
              <w:rPr>
                <w:rStyle w:val="Hyperlink"/>
                <w:noProof/>
              </w:rPr>
              <w:t>Common Investment Abbreviations</w:t>
            </w:r>
            <w:r>
              <w:rPr>
                <w:noProof/>
                <w:webHidden/>
              </w:rPr>
              <w:tab/>
              <w:fldChar w:fldCharType="begin"/>
              <w:instrText xml:space="preserve"> PAGEREF _Toc236827011 \h </w:instrText>
              <w:fldChar w:fldCharType="separate"/>
              <w:t>23</w:t>
              <w:fldChar w:fldCharType="end"/>
            </w:r>
          </w:hyperlink>
        </w:p>
        <w:p w14:paraId="0A9F493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2" w:history="1">
            <w:r>
              <w:rPr>
                <w:rStyle w:val="Hyperlink"/>
                <w:noProof/>
              </w:rPr>
              <w:t>Common Investment Terms</w:t>
            </w:r>
            <w:r>
              <w:rPr>
                <w:noProof/>
                <w:webHidden/>
              </w:rPr>
              <w:tab/>
              <w:fldChar w:fldCharType="begin"/>
              <w:instrText xml:space="preserve"> PAGEREF _Toc236827012 \h </w:instrText>
              <w:fldChar w:fldCharType="separate"/>
              <w:t>24</w:t>
              <w:fldChar w:fldCharType="end"/>
            </w:r>
          </w:hyperlink>
        </w:p>
        <w:p w14:paraId="1BC96EC5"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3" w:history="1">
            <w:r>
              <w:rPr>
                <w:rStyle w:val="Hyperlink"/>
                <w:noProof/>
              </w:rPr>
              <w:t>INDEX — MASTER RULE REGISTER &amp; WHAT TO AVOID</w:t>
            </w:r>
            <w:r>
              <w:rPr>
                <w:noProof/>
                <w:webHidden/>
              </w:rPr>
              <w:tab/>
              <w:fldChar w:fldCharType="begin"/>
              <w:instrText xml:space="preserve"> PAGEREF _Toc236827013 \h </w:instrText>
              <w:fldChar w:fldCharType="separate"/>
              <w:t>25</w:t>
              <w:fldChar w:fldCharType="end"/>
            </w:r>
          </w:hyperlink>
        </w:p>
        <w:p w14:paraId="19AB4B98"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4" w:history="1">
            <w:r>
              <w:rPr>
                <w:rStyle w:val="Hyperlink"/>
                <w:noProof/>
              </w:rPr>
              <w:t>Part 3 — Composite Score &amp; Confidence</w:t>
            </w:r>
            <w:r>
              <w:rPr>
                <w:noProof/>
                <w:webHidden/>
              </w:rPr>
              <w:tab/>
              <w:fldChar w:fldCharType="begin"/>
              <w:instrText xml:space="preserve"> PAGEREF _Toc236827014 \h </w:instrText>
              <w:fldChar w:fldCharType="separate"/>
              <w:t>25</w:t>
              <w:fldChar w:fldCharType="end"/>
            </w:r>
          </w:hyperlink>
        </w:p>
        <w:p w14:paraId="5B7FB96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5" w:history="1">
            <w:r>
              <w:rPr>
                <w:rStyle w:val="Hyperlink"/>
                <w:noProof/>
              </w:rPr>
              <w:t>Part 4 — Entry Rules</w:t>
            </w:r>
            <w:r>
              <w:rPr>
                <w:noProof/>
                <w:webHidden/>
              </w:rPr>
              <w:tab/>
              <w:fldChar w:fldCharType="begin"/>
              <w:instrText xml:space="preserve"> PAGEREF _Toc236827015 \h </w:instrText>
              <w:fldChar w:fldCharType="separate"/>
              <w:t>25</w:t>
              <w:fldChar w:fldCharType="end"/>
            </w:r>
          </w:hyperlink>
        </w:p>
        <w:p w14:paraId="4DF833D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6" w:history="1">
            <w:r>
              <w:rPr>
                <w:rStyle w:val="Hyperlink"/>
                <w:noProof/>
              </w:rPr>
              <w:t>Part 5 — Position Sizing</w:t>
            </w:r>
            <w:r>
              <w:rPr>
                <w:noProof/>
                <w:webHidden/>
              </w:rPr>
              <w:tab/>
              <w:fldChar w:fldCharType="begin"/>
              <w:instrText xml:space="preserve"> PAGEREF _Toc236827016 \h </w:instrText>
              <w:fldChar w:fldCharType="separate"/>
              <w:t>25</w:t>
              <w:fldChar w:fldCharType="end"/>
            </w:r>
          </w:hyperlink>
        </w:p>
        <w:p w14:paraId="45EA1C1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7" w:history="1">
            <w:r>
              <w:rPr>
                <w:rStyle w:val="Hyperlink"/>
                <w:noProof/>
              </w:rPr>
              <w:t>Part 6 — Exit &amp; Sell Discipline</w:t>
            </w:r>
            <w:r>
              <w:rPr>
                <w:noProof/>
                <w:webHidden/>
              </w:rPr>
              <w:tab/>
              <w:fldChar w:fldCharType="begin"/>
              <w:instrText xml:space="preserve"> PAGEREF _Toc236827017 \h </w:instrText>
              <w:fldChar w:fldCharType="separate"/>
              <w:t>26</w:t>
              <w:fldChar w:fldCharType="end"/>
            </w:r>
          </w:hyperlink>
        </w:p>
        <w:p w14:paraId="4143AB4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8" w:history="1">
            <w:r>
              <w:rPr>
                <w:rStyle w:val="Hyperlink"/>
                <w:noProof/>
              </w:rPr>
              <w:t>Part 7 — Portfolio Risk Management</w:t>
            </w:r>
            <w:r>
              <w:rPr>
                <w:noProof/>
                <w:webHidden/>
              </w:rPr>
              <w:tab/>
              <w:fldChar w:fldCharType="begin"/>
              <w:instrText xml:space="preserve"> PAGEREF _Toc236827018 \h </w:instrText>
              <w:fldChar w:fldCharType="separate"/>
              <w:t>27</w:t>
              <w:fldChar w:fldCharType="end"/>
            </w:r>
          </w:hyperlink>
        </w:p>
        <w:p w14:paraId="5C0E298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9" w:history="1">
            <w:r>
              <w:rPr>
                <w:rStyle w:val="Hyperlink"/>
                <w:noProof/>
              </w:rPr>
              <w:t>Part 8 — Tax-Aware Portfolio Management</w:t>
            </w:r>
            <w:r>
              <w:rPr>
                <w:noProof/>
                <w:webHidden/>
              </w:rPr>
              <w:tab/>
              <w:fldChar w:fldCharType="begin"/>
              <w:instrText xml:space="preserve"> PAGEREF _Toc236827019 \h </w:instrText>
              <w:fldChar w:fldCharType="separate"/>
              <w:t>27</w:t>
              <w:fldChar w:fldCharType="end"/>
            </w:r>
          </w:hyperlink>
        </w:p>
        <w:p w14:paraId="265C8B2B"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0" w:history="1">
            <w:r>
              <w:rPr>
                <w:rStyle w:val="Hyperlink"/>
                <w:noProof/>
              </w:rPr>
              <w:t>Part 9 — Review Schedule, Documentation &amp; Governance</w:t>
            </w:r>
            <w:r>
              <w:rPr>
                <w:noProof/>
                <w:webHidden/>
              </w:rPr>
              <w:tab/>
              <w:fldChar w:fldCharType="begin"/>
              <w:instrText xml:space="preserve"> PAGEREF _Toc236827020 \h </w:instrText>
              <w:fldChar w:fldCharType="separate"/>
              <w:t>27</w:t>
              <w:fldChar w:fldCharType="end"/>
            </w:r>
          </w:hyperlink>
        </w:p>
        <w:p w14:paraId="4753CA0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1" w:history="1">
            <w:r>
              <w:rPr>
                <w:rStyle w:val="Hyperlink"/>
                <w:noProof/>
              </w:rPr>
              <w:t>Part 10 — Sector Adaptations &amp; Operating Definitions</w:t>
            </w:r>
            <w:r>
              <w:rPr>
                <w:noProof/>
                <w:webHidden/>
              </w:rPr>
              <w:tab/>
              <w:fldChar w:fldCharType="begin"/>
              <w:instrText xml:space="preserve"> PAGEREF _Toc236827021 \h </w:instrText>
              <w:fldChar w:fldCharType="separate"/>
              <w:t>27</w:t>
              <w:fldChar w:fldCharType="end"/>
            </w:r>
          </w:hyperlink>
        </w:p>
        <w:p w14:paraId="7479A35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2" w:history="1">
            <w:r>
              <w:rPr>
                <w:rStyle w:val="Hyperlink"/>
                <w:noProof/>
              </w:rPr>
              <w:t>Part 11 — What to Avoid</w:t>
            </w:r>
            <w:r>
              <w:rPr>
                <w:noProof/>
                <w:webHidden/>
              </w:rPr>
              <w:tab/>
              <w:fldChar w:fldCharType="begin"/>
              <w:instrText xml:space="preserve"> PAGEREF _Toc236827022 \h </w:instrText>
              <w:fldChar w:fldCharType="separate"/>
              <w:t>28</w:t>
              <w:fldChar w:fldCharType="end"/>
            </w:r>
          </w:hyperlink>
        </w:p>
        <w:p w14:paraId="797B262D" w14:textId="77777777" w:rsidR="002219D7" w:rsidRDefault="002219D7">
          <w:r>
            <w:rPr>
              <w:b/>
              <w:bCs/>
              <w:noProof/>
            </w:rPr>
            <w:fldChar w:fldCharType="end"/>
          </w:r>
        </w:p>
      </w:sdtContent>
    </w:sdt>
    <w:p w14:paraId="04747EC4" w14:textId="77777777" w:rsidR="002219D7" w:rsidRDefault="002219D7" w:rsidP="00D418EE">
      <w:pPr>
        <w:pStyle w:val="Heading1"/>
        <w:pBdr>
          <w:top w:val="single" w:sz="4" w:space="1" w:color="auto"/>
        </w:pBdr>
      </w:pPr>
      <w:bookmarkStart w:id="0" w:name="_Toc236826945"/>
      <w:r>
        <w:t>EXECUTIVE SUMMARY</w:t>
      </w:r>
      <w:bookmarkEnd w:id="0"/>
    </w:p>
    <w:p w14:paraId="042FE6C5" w14:textId="77777777" w:rsidR="002219D7" w:rsidRDefault="002219D7" w:rsidP="002219D7">
      <w:pPr>
        <w:spacing w:after="120"/>
      </w:pPr>
      <w:r>
        <w:t>This document describes a repeatable stock-selection operating system for long-term equity investing over a 3–10 year horizon. It employs a bottom-up, quality-at-reasonable-price approach that ranks businesses through a weighted indicator framework, converts those scores into clear decisions, and links those decisions to entry timing, position sizing, and exit discipline.</w:t>
      </w:r>
    </w:p>
    <w:p w14:paraId="3CB4C492" w14:textId="77777777" w:rsidR="002219D7" w:rsidRDefault="002219D7" w:rsidP="002219D7">
      <w:pPr>
        <w:spacing w:after="120"/>
      </w:pPr>
      <w:r>
        <w:t>Three successive evaluation tiers guide investment decisions for any given stock. Tier 1 indicators drive the outcome by measuring cash generation durability, growth quality, competitive strength, revenue visibility, and margin structure. Tier 2 indicators confirm business quality and execution. Tier 3 indicators help refine timing and valuation without overriding the core fundamental case.</w:t>
      </w:r>
    </w:p>
    <w:p w14:paraId="7DE5E6EF" w14:textId="77777777" w:rsidR="002219D7" w:rsidRDefault="002219D7" w:rsidP="002219D7">
      <w:pPr>
        <w:spacing w:after="120"/>
      </w:pPr>
      <w:r>
        <w:t>The Composite Score translates all three tiers into a score out of 100, which then maps to decision thresholds, sizing rules, and monitoring requirements. A limited macro-overlay adjusts urgency and exposure when conditions are unfavorable, but does not replace business-level analysis.</w:t>
      </w:r>
    </w:p>
    <w:p w14:paraId="77D94D1E" w14:textId="77777777" w:rsidR="002219D7" w:rsidRDefault="002219D7" w:rsidP="002219D7">
      <w:pPr>
        <w:spacing w:after="300"/>
      </w:pPr>
      <w:r>
        <w:rPr>
          <w:b/>
          <w:bCs/>
        </w:rPr>
        <w:t>The goal is to make every decision auditable, consistent, and resistant to emotion.</w:t>
      </w:r>
    </w:p>
    <w:p w14:paraId="6670601F" w14:textId="77777777" w:rsidR="00A63D17" w:rsidRDefault="00A63D17">
      <w:pPr>
        <w:sectPr w:rsidR="00A63D17" w:rsidSect="002219D7">
          <w:footerReference w:type="default" r:id="rId14"/>
          <w:pgSz w:w="12240" w:h="15840"/>
          <w:pgMar w:top="270" w:right="1440" w:bottom="954" w:left="1440" w:header="708" w:footer="708" w:gutter="0"/>
          <w:cols w:space="720"/>
          <w:docGrid w:linePitch="360"/>
        </w:sectPr>
      </w:pPr>
    </w:p>
    <w:p w14:paraId="00247895" w14:textId="77777777" w:rsidR="00A63D17" w:rsidRDefault="00000000" w:rsidP="00E34BC5">
      <w:pPr>
        <w:pStyle w:val="Heading1"/>
      </w:pPr>
      <w:bookmarkStart w:id="1" w:name="_Toc236826946"/>
      <w:r>
        <w:lastRenderedPageBreak/>
        <w:t>PART 1 — PHILOSOPHY, SCOPE &amp; GOVERNING HIERARCHY</w:t>
      </w:r>
      <w:bookmarkEnd w:id="1"/>
    </w:p>
    <w:p w14:paraId="12328E26" w14:textId="77777777" w:rsidR="00A63D17" w:rsidRDefault="00000000">
      <w:pPr>
        <w:spacing w:after="160"/>
      </w:pPr>
      <w:r>
        <w:rPr>
          <w:b/>
          <w:bCs/>
          <w:i/>
          <w:iCs/>
          <w:color w:val="2E5090"/>
        </w:rPr>
        <w:t xml:space="preserve">Purpose of this Part: </w:t>
      </w:r>
      <w:r>
        <w:rPr>
          <w:i/>
          <w:iCs/>
          <w:color w:val="404040"/>
        </w:rPr>
        <w:t>This Part establishes the philosophy, scope, values, and governing hierarchy that every subsequent Part and every investment decision shall operate within.</w:t>
      </w:r>
    </w:p>
    <w:p w14:paraId="38840D1E" w14:textId="77777777" w:rsidR="00A63D17" w:rsidRDefault="00000000">
      <w:pPr>
        <w:spacing w:after="120"/>
      </w:pPr>
      <w:r>
        <w:t>This Operating System governs long-term equity appreciation over a 3–10 year horizon through a quality-at-reasonable-price approach. Stock selection is bottom-up; a limited macro-overlay adjusts conviction and sizing without overriding business fundamentals.</w:t>
      </w:r>
    </w:p>
    <w:p w14:paraId="3CF7FA6B" w14:textId="77777777" w:rsidR="00A63D17" w:rsidRDefault="00000000" w:rsidP="00E34BC5">
      <w:pPr>
        <w:pStyle w:val="Heading2"/>
      </w:pPr>
      <w:bookmarkStart w:id="2" w:name="_Toc236826947"/>
      <w:r>
        <w:t>1.1 Core Principles</w:t>
      </w:r>
      <w:bookmarkEnd w:id="2"/>
    </w:p>
    <w:p w14:paraId="104EA19B" w14:textId="77777777" w:rsidR="00A63D17" w:rsidRDefault="00000000">
      <w:pPr>
        <w:ind w:left="360"/>
      </w:pPr>
      <w:r>
        <w:t xml:space="preserve">•  </w:t>
      </w:r>
      <w:r>
        <w:rPr>
          <w:b/>
          <w:bCs/>
        </w:rPr>
        <w:t xml:space="preserve">Free cash flow is the primary long-term value signal, </w:t>
      </w:r>
      <w:r>
        <w:t>because it measures cash available after operating and capital needs. It is generally less dependent on accounting estimates than reported earnings, but shall still be normalized for working-capital timing, acquisitions, capitalized costs, stock-based compensation, and unusual items.</w:t>
      </w:r>
    </w:p>
    <w:p w14:paraId="339A7CC5" w14:textId="77777777" w:rsidR="00A63D17" w:rsidRDefault="00000000">
      <w:pPr>
        <w:ind w:left="360"/>
      </w:pPr>
      <w:r>
        <w:t xml:space="preserve">•  </w:t>
      </w:r>
      <w:r>
        <w:rPr>
          <w:b/>
          <w:bCs/>
        </w:rPr>
        <w:t xml:space="preserve">Quality compounds; weak economics mean-revert. </w:t>
      </w:r>
      <w:r>
        <w:t>The goal is to own businesses with durable advantages, not to predict short-term market direction.</w:t>
      </w:r>
    </w:p>
    <w:p w14:paraId="48B153A7" w14:textId="77777777" w:rsidR="00A63D17" w:rsidRDefault="00000000">
      <w:pPr>
        <w:ind w:left="360"/>
      </w:pPr>
      <w:r>
        <w:t xml:space="preserve">•  </w:t>
      </w:r>
      <w:r>
        <w:rPr>
          <w:b/>
          <w:bCs/>
        </w:rPr>
        <w:t xml:space="preserve">Fundamentals determine direction; technicals refine timing. </w:t>
      </w:r>
      <w:r>
        <w:t>This hierarchy shall never be reversed.</w:t>
      </w:r>
    </w:p>
    <w:p w14:paraId="55E30F73" w14:textId="77777777" w:rsidR="00A63D17" w:rsidRDefault="00000000">
      <w:pPr>
        <w:ind w:left="360"/>
      </w:pPr>
      <w:r>
        <w:t xml:space="preserve">•  </w:t>
      </w:r>
      <w:r>
        <w:rPr>
          <w:b/>
          <w:bCs/>
        </w:rPr>
        <w:t xml:space="preserve">No single indicator is sufficient. </w:t>
      </w:r>
      <w:r>
        <w:t>Confluence of signals across tiers is where real edge lives.</w:t>
      </w:r>
    </w:p>
    <w:p w14:paraId="02D48A32" w14:textId="77777777" w:rsidR="00A63D17" w:rsidRDefault="00000000">
      <w:pPr>
        <w:ind w:left="360"/>
      </w:pPr>
      <w:r>
        <w:t xml:space="preserve">•  </w:t>
      </w:r>
      <w:r>
        <w:rPr>
          <w:b/>
          <w:bCs/>
        </w:rPr>
        <w:t xml:space="preserve">Explicit rules prevent emotional override. </w:t>
      </w:r>
      <w:r>
        <w:t>Every decision — entry, sizing, exit — shall follow a defined process.</w:t>
      </w:r>
    </w:p>
    <w:p w14:paraId="2EC6445B" w14:textId="77777777" w:rsidR="00A63D17" w:rsidRDefault="00000000" w:rsidP="00E34BC5">
      <w:pPr>
        <w:pStyle w:val="Heading2"/>
      </w:pPr>
      <w:bookmarkStart w:id="3" w:name="_Toc236826948"/>
      <w:r>
        <w:t>1.2 Stewardship Philosophy, Values, Vision &amp; Mission</w:t>
      </w:r>
      <w:bookmarkEnd w:id="3"/>
    </w:p>
    <w:p w14:paraId="073926A3" w14:textId="77777777" w:rsidR="00A63D17" w:rsidRDefault="00000000">
      <w:pPr>
        <w:spacing w:after="120"/>
      </w:pPr>
      <w:r>
        <w:t>Financial capital represents years of work, discipline, and deferred consumption. This Operating System exists to steward that capital wisely, through disciplined analysis and rational decision-making rather than prediction or speculation.</w:t>
      </w:r>
    </w:p>
    <w:p w14:paraId="368C01F3" w14:textId="77777777" w:rsidR="00A63D17" w:rsidRDefault="00000000">
      <w:pPr>
        <w:spacing w:after="120"/>
      </w:pPr>
      <w:r>
        <w:rPr>
          <w:b/>
          <w:bCs/>
        </w:rPr>
        <w:t xml:space="preserve">Vision — </w:t>
      </w:r>
      <w:r>
        <w:t>to preserve, protect, and prudently compound family wealth across generations through a durable, repeatable investment process.</w:t>
      </w:r>
    </w:p>
    <w:p w14:paraId="34338CBD" w14:textId="77777777" w:rsidR="00A63D17" w:rsidRDefault="00000000">
      <w:pPr>
        <w:spacing w:after="120"/>
      </w:pPr>
      <w:r>
        <w:rPr>
          <w:b/>
          <w:bCs/>
        </w:rPr>
        <w:t xml:space="preserve">Mission — </w:t>
      </w:r>
      <w:r>
        <w:t>to provide a decision framework that lets current and future stewards allocate capital consistently and objectively, in accordance with clearly defined principles, regardless of who is applying it.</w:t>
      </w:r>
    </w:p>
    <w:p w14:paraId="38AAF0BF" w14:textId="77777777" w:rsidR="00A63D17" w:rsidRDefault="00000000">
      <w:pPr>
        <w:spacing w:after="120"/>
      </w:pPr>
      <w:r>
        <w:rPr>
          <w:b/>
          <w:bCs/>
        </w:rPr>
        <w:t xml:space="preserve">Values — </w:t>
      </w:r>
      <w:r>
        <w:t>Integrity. Discipline. Evidence before opinion. Long-term ownership. Continuous learning. Consistency. Transparency. Stewardship.</w:t>
      </w:r>
    </w:p>
    <w:p w14:paraId="10E2B12C" w14:textId="77777777" w:rsidR="00A63D17" w:rsidRDefault="00000000" w:rsidP="00E34BC5">
      <w:pPr>
        <w:pStyle w:val="Heading2"/>
      </w:pPr>
      <w:bookmarkStart w:id="4" w:name="_Toc236826949"/>
      <w:r>
        <w:t>1.3 Scope &amp; Applicability</w:t>
      </w:r>
      <w:bookmarkEnd w:id="4"/>
    </w:p>
    <w:p w14:paraId="63B39A08" w14:textId="77777777" w:rsidR="00A63D17" w:rsidRDefault="00000000" w:rsidP="00AD5195">
      <w:pPr>
        <w:pStyle w:val="ListParagraph"/>
        <w:numPr>
          <w:ilvl w:val="0"/>
          <w:numId w:val="29"/>
        </w:numPr>
      </w:pPr>
      <w:r>
        <w:t>The core scoring model applies to individual public equities across all market capitalizations, primarily nonfinancial operating companies.</w:t>
      </w:r>
    </w:p>
    <w:p w14:paraId="7C2915D2" w14:textId="77777777" w:rsidR="00A63D17" w:rsidRDefault="00000000" w:rsidP="00AD5195">
      <w:pPr>
        <w:pStyle w:val="ListParagraph"/>
        <w:numPr>
          <w:ilvl w:val="0"/>
          <w:numId w:val="29"/>
        </w:numPr>
      </w:pPr>
      <w:r>
        <w:t>Sector-specific adaptations are required where standard indicators do not apply. Financial companies, REITs, utilities, early-stage companies, and commodity producers may be scored only under the documented adaptations in Part 10. Where no adaptation is available, the result shall be classified Low Confidence and shall not permit a Strong Buy designation.</w:t>
      </w:r>
    </w:p>
    <w:p w14:paraId="4F370F3A" w14:textId="77777777" w:rsidR="00A63D17" w:rsidRDefault="00000000" w:rsidP="00AD5195">
      <w:pPr>
        <w:pStyle w:val="ListParagraph"/>
        <w:numPr>
          <w:ilvl w:val="0"/>
          <w:numId w:val="29"/>
        </w:numPr>
      </w:pPr>
      <w:r>
        <w:rPr>
          <w:b/>
          <w:bCs/>
        </w:rPr>
        <w:t xml:space="preserve">This system is not designed </w:t>
      </w:r>
      <w:r>
        <w:t>for options, exchange-traded funds, short selling, or time horizons under 12 months. Exchange-traded fund evaluation is governed by a separate operating system.</w:t>
      </w:r>
    </w:p>
    <w:p w14:paraId="0E4FFA2B" w14:textId="77777777" w:rsidR="00A63D17" w:rsidRDefault="00000000" w:rsidP="00E34BC5">
      <w:pPr>
        <w:pStyle w:val="Heading2"/>
      </w:pPr>
      <w:bookmarkStart w:id="5" w:name="_Toc236826950"/>
      <w:r>
        <w:t>1.4 How to Use This System</w:t>
      </w:r>
      <w:bookmarkEnd w:id="5"/>
    </w:p>
    <w:p w14:paraId="2D3CEBC9" w14:textId="77777777" w:rsidR="00A63D17" w:rsidRDefault="00000000" w:rsidP="00AD5195">
      <w:pPr>
        <w:pStyle w:val="ListParagraph"/>
        <w:numPr>
          <w:ilvl w:val="0"/>
          <w:numId w:val="32"/>
        </w:numPr>
        <w:spacing w:after="60"/>
      </w:pPr>
      <w:r>
        <w:t>Identify a candidate stock that fits the scope of the system.</w:t>
      </w:r>
    </w:p>
    <w:p w14:paraId="152E3F49" w14:textId="77777777" w:rsidR="00A63D17" w:rsidRDefault="00000000" w:rsidP="00AD5195">
      <w:pPr>
        <w:pStyle w:val="ListParagraph"/>
        <w:numPr>
          <w:ilvl w:val="0"/>
          <w:numId w:val="32"/>
        </w:numPr>
        <w:spacing w:after="60"/>
      </w:pPr>
      <w:r>
        <w:t xml:space="preserve">Score all Tier 1 indicators first. If the Tier 1 weighted average is below 3.0, stop and reject the idea. </w:t>
        <w:br/>
        <w:t>If it is 3.0 or above, score Tier 2 and Tier 3 and calculate the Composite Score.</w:t>
      </w:r>
    </w:p>
    <w:p w14:paraId="2A3E8F04" w14:textId="77777777" w:rsidR="00A63D17" w:rsidRDefault="00000000" w:rsidP="00AD5195">
      <w:pPr>
        <w:pStyle w:val="ListParagraph"/>
        <w:numPr>
          <w:ilvl w:val="0"/>
          <w:numId w:val="32"/>
        </w:numPr>
        <w:spacing w:after="60"/>
      </w:pPr>
      <w:r>
        <w:t>Apply decision thresholds to classify the stock as Strong Buy, Buy, Watch List, Avoid, or Pass.</w:t>
      </w:r>
    </w:p>
    <w:p w14:paraId="3D014879" w14:textId="77777777" w:rsidR="00A63D17" w:rsidRDefault="00000000" w:rsidP="00AD5195">
      <w:pPr>
        <w:pStyle w:val="ListParagraph"/>
        <w:numPr>
          <w:ilvl w:val="0"/>
          <w:numId w:val="32"/>
        </w:numPr>
        <w:spacing w:after="60"/>
      </w:pPr>
      <w:r>
        <w:t>If the stock qualifies for purchase, apply the Entry Checklist, the Implied-Return test, and Position-Sizing rules.</w:t>
      </w:r>
    </w:p>
    <w:p w14:paraId="75461063" w14:textId="77777777" w:rsidR="00A63D17" w:rsidRDefault="00000000" w:rsidP="00AD5195">
      <w:pPr>
        <w:pStyle w:val="ListParagraph"/>
        <w:numPr>
          <w:ilvl w:val="0"/>
          <w:numId w:val="32"/>
        </w:numPr>
        <w:spacing w:after="60"/>
      </w:pPr>
      <w:r>
        <w:t>Document the decision: key risks and review triggers at time of entry.</w:t>
      </w:r>
    </w:p>
    <w:p w14:paraId="1BEF9C47" w14:textId="77777777" w:rsidR="00A63D17" w:rsidRDefault="00000000" w:rsidP="00AD5195">
      <w:pPr>
        <w:pStyle w:val="ListParagraph"/>
        <w:numPr>
          <w:ilvl w:val="0"/>
          <w:numId w:val="32"/>
        </w:numPr>
        <w:spacing w:after="60"/>
      </w:pPr>
      <w:r>
        <w:t>Re-score holdings on the required review schedule. Use the Sell Rules and Maintenance process (Part 9) to keep the system current.</w:t>
      </w:r>
    </w:p>
    <w:p w14:paraId="524B2270" w14:textId="77777777" w:rsidR="00A63D17" w:rsidRDefault="00000000" w:rsidP="00AD5195">
      <w:pPr>
        <w:pStyle w:val="Heading2"/>
        <w:keepLines/>
      </w:pPr>
      <w:bookmarkStart w:id="6" w:name="_Toc236826951"/>
      <w:r>
        <w:lastRenderedPageBreak/>
        <w:t>1.5 Decision Integrity</w:t>
      </w:r>
      <w:bookmarkEnd w:id="6"/>
    </w:p>
    <w:p w14:paraId="277509F1" w14:textId="77777777" w:rsidR="00A63D17" w:rsidRDefault="00000000" w:rsidP="00AD5195">
      <w:pPr>
        <w:keepLines/>
        <w:spacing w:after="120"/>
      </w:pPr>
      <w:r>
        <w:t>The Composite Score provides a disciplined framework for comparing investment opportunities, but it does not replace professional judgment. Judgment shall be exercised only within the boundaries established by this Operating System. No discretionary judgment may override a published Hard Rule. Likewise, no single favorable indicator, valuation metric, technical signal, or narrative may compensate for inadequate Tier 1 business quality.</w:t>
      </w:r>
    </w:p>
    <w:p w14:paraId="500B2191" w14:textId="77777777" w:rsidR="00A63D17" w:rsidRDefault="00000000" w:rsidP="00E34BC5">
      <w:pPr>
        <w:pStyle w:val="Heading2"/>
      </w:pPr>
      <w:bookmarkStart w:id="7" w:name="_Toc236826952"/>
      <w:r>
        <w:t>1.6 Evidence Standard</w:t>
      </w:r>
      <w:bookmarkEnd w:id="7"/>
    </w:p>
    <w:p w14:paraId="5613884C" w14:textId="77777777" w:rsidR="00A63D17" w:rsidRDefault="00000000">
      <w:pPr>
        <w:spacing w:after="120"/>
      </w:pPr>
      <w:r>
        <w:t>Every investment decision shall be supported by objective evidence. Where evidence is incomplete, the more conservative reasonable interpretation shall govern. Unsupported opinions, narratives, or promotional material shall not form the basis of an investment decision. This standard applies equally to the Data and Source Hierarchy established in Part 10.</w:t>
      </w:r>
    </w:p>
    <w:p w14:paraId="4660B688" w14:textId="77777777" w:rsidR="00A63D17" w:rsidRPr="00E34BC5" w:rsidRDefault="00000000" w:rsidP="00E34BC5">
      <w:pPr>
        <w:pStyle w:val="Heading2"/>
      </w:pPr>
      <w:bookmarkStart w:id="8" w:name="_Toc236826953"/>
      <w:r>
        <w:t>1.7 Investment Decision Hierarchy</w:t>
      </w:r>
      <w:bookmarkEnd w:id="8"/>
    </w:p>
    <w:p w14:paraId="074760F7" w14:textId="77777777" w:rsidR="00A63D17" w:rsidRDefault="00000000" w:rsidP="00E34BC5">
      <w:pPr>
        <w:keepNext/>
        <w:spacing w:after="120"/>
      </w:pPr>
      <w:r>
        <w:t>Investment decisions shall always preserve this hierarchy:</w:t>
      </w:r>
    </w:p>
    <w:p w14:paraId="585FAA3D" w14:textId="77777777" w:rsidR="00A63D17" w:rsidRDefault="00000000" w:rsidP="00AD5195">
      <w:pPr>
        <w:pStyle w:val="ListParagraph"/>
        <w:keepNext/>
        <w:numPr>
          <w:ilvl w:val="0"/>
          <w:numId w:val="34"/>
        </w:numPr>
        <w:spacing w:after="60"/>
      </w:pPr>
      <w:r>
        <w:t>Fundamental Business Quality</w:t>
      </w:r>
    </w:p>
    <w:p w14:paraId="6912BD13" w14:textId="77777777" w:rsidR="00A63D17" w:rsidRDefault="00000000" w:rsidP="00AD5195">
      <w:pPr>
        <w:pStyle w:val="ListParagraph"/>
        <w:keepNext/>
        <w:numPr>
          <w:ilvl w:val="0"/>
          <w:numId w:val="34"/>
        </w:numPr>
        <w:spacing w:after="60"/>
      </w:pPr>
      <w:r>
        <w:t>Capital Allocation and Financial Strength</w:t>
      </w:r>
    </w:p>
    <w:p w14:paraId="0EEC76B8" w14:textId="77777777" w:rsidR="00A63D17" w:rsidRDefault="00000000" w:rsidP="00AD5195">
      <w:pPr>
        <w:pStyle w:val="ListParagraph"/>
        <w:keepNext/>
        <w:numPr>
          <w:ilvl w:val="0"/>
          <w:numId w:val="34"/>
        </w:numPr>
        <w:spacing w:after="60"/>
      </w:pPr>
      <w:r>
        <w:t>Valuation</w:t>
      </w:r>
    </w:p>
    <w:p w14:paraId="20932B24" w14:textId="77777777" w:rsidR="00A63D17" w:rsidRDefault="00000000" w:rsidP="00AD5195">
      <w:pPr>
        <w:pStyle w:val="ListParagraph"/>
        <w:keepNext/>
        <w:numPr>
          <w:ilvl w:val="0"/>
          <w:numId w:val="34"/>
        </w:numPr>
        <w:spacing w:after="60"/>
      </w:pPr>
      <w:r>
        <w:t>Technical Confirmation</w:t>
      </w:r>
    </w:p>
    <w:p w14:paraId="48EAC3B1" w14:textId="77777777" w:rsidR="00A63D17" w:rsidRDefault="00000000" w:rsidP="00AD5195">
      <w:pPr>
        <w:pStyle w:val="ListParagraph"/>
        <w:keepNext/>
        <w:numPr>
          <w:ilvl w:val="0"/>
          <w:numId w:val="34"/>
        </w:numPr>
        <w:spacing w:after="60"/>
      </w:pPr>
      <w:r>
        <w:t>Portfolio Construction</w:t>
      </w:r>
    </w:p>
    <w:p w14:paraId="71623F4E" w14:textId="77777777" w:rsidR="00A63D17" w:rsidRDefault="00000000" w:rsidP="00AD5195">
      <w:pPr>
        <w:pStyle w:val="ListParagraph"/>
        <w:numPr>
          <w:ilvl w:val="0"/>
          <w:numId w:val="34"/>
        </w:numPr>
        <w:spacing w:after="60"/>
      </w:pPr>
      <w:r>
        <w:t>Risk Management</w:t>
      </w:r>
    </w:p>
    <w:p w14:paraId="612383A7" w14:textId="77777777" w:rsidR="00A63D17" w:rsidRDefault="00000000">
      <w:pPr>
        <w:spacing w:after="200"/>
      </w:pPr>
      <w:r>
        <w:t>This hierarchy shall govern every investment decision throughout the life of the position.</w:t>
      </w:r>
    </w:p>
    <w:p w14:paraId="2A7E824C" w14:textId="77777777" w:rsidR="00A63D17" w:rsidRDefault="00000000" w:rsidP="00E34BC5">
      <w:pPr>
        <w:pStyle w:val="Heading2"/>
      </w:pPr>
      <w:bookmarkStart w:id="9" w:name="_Toc236826954"/>
      <w:r>
        <w:t>1.8 Selling Philosophy</w:t>
      </w:r>
      <w:bookmarkEnd w:id="9"/>
    </w:p>
    <w:p w14:paraId="52597546" w14:textId="77777777" w:rsidR="00A63D17" w:rsidRDefault="00000000">
      <w:pPr>
        <w:spacing w:after="120"/>
      </w:pPr>
      <w:r>
        <w:t>Selling decisions follow the same hierarchy as purchase decisions. Priority shall always be given to:</w:t>
      </w:r>
    </w:p>
    <w:p w14:paraId="4CF4EC33" w14:textId="77777777" w:rsidR="00A63D17" w:rsidRDefault="00000000" w:rsidP="00AD5195">
      <w:pPr>
        <w:pStyle w:val="ListParagraph"/>
        <w:numPr>
          <w:ilvl w:val="0"/>
          <w:numId w:val="36"/>
        </w:numPr>
        <w:spacing w:after="60"/>
      </w:pPr>
      <w:r>
        <w:t>Preservation of Business Quality</w:t>
      </w:r>
    </w:p>
    <w:p w14:paraId="6B163E56" w14:textId="77777777" w:rsidR="00A63D17" w:rsidRDefault="00000000" w:rsidP="00AD5195">
      <w:pPr>
        <w:pStyle w:val="ListParagraph"/>
        <w:numPr>
          <w:ilvl w:val="0"/>
          <w:numId w:val="36"/>
        </w:numPr>
        <w:spacing w:after="60"/>
      </w:pPr>
      <w:r>
        <w:t>Protection of Capital</w:t>
      </w:r>
    </w:p>
    <w:p w14:paraId="4F6252F7" w14:textId="77777777" w:rsidR="00A63D17" w:rsidRDefault="00000000" w:rsidP="00AD5195">
      <w:pPr>
        <w:pStyle w:val="ListParagraph"/>
        <w:numPr>
          <w:ilvl w:val="0"/>
          <w:numId w:val="36"/>
        </w:numPr>
        <w:spacing w:after="60"/>
      </w:pPr>
      <w:r>
        <w:t>Portfolio Risk Management</w:t>
      </w:r>
    </w:p>
    <w:p w14:paraId="0A15B2F6" w14:textId="77777777" w:rsidR="00A63D17" w:rsidRDefault="00000000" w:rsidP="00AD5195">
      <w:pPr>
        <w:pStyle w:val="ListParagraph"/>
        <w:numPr>
          <w:ilvl w:val="0"/>
          <w:numId w:val="36"/>
        </w:numPr>
        <w:spacing w:after="60"/>
      </w:pPr>
      <w:r>
        <w:t>Expected Long-Term Return</w:t>
      </w:r>
    </w:p>
    <w:p w14:paraId="7D7F4A0D" w14:textId="77777777" w:rsidR="00A63D17" w:rsidRDefault="00000000" w:rsidP="00AD5195">
      <w:pPr>
        <w:pStyle w:val="ListParagraph"/>
        <w:numPr>
          <w:ilvl w:val="0"/>
          <w:numId w:val="36"/>
        </w:numPr>
        <w:spacing w:after="60"/>
      </w:pPr>
      <w:r>
        <w:t>Tax Efficiency</w:t>
      </w:r>
    </w:p>
    <w:p w14:paraId="1748C7E4" w14:textId="77777777" w:rsidR="00A63D17" w:rsidRDefault="00000000">
      <w:pPr>
        <w:spacing w:after="120"/>
      </w:pPr>
      <w:r>
        <w:t>The first four considerations govern whether a position should be owned. Tax efficiency governs how and when an otherwise appropriate sale is executed. Tax considerations may influence execution timing but shall never prevent the sale of a holding whose long-term investment case has materially deteriorated.</w:t>
      </w:r>
    </w:p>
    <w:p w14:paraId="5E293058" w14:textId="77777777" w:rsidR="00A63D17" w:rsidRDefault="00000000">
      <w:pPr>
        <w:spacing w:after="120"/>
      </w:pPr>
      <w:r>
        <w:rPr>
          <w:b/>
          <w:bCs/>
          <w:i/>
          <w:iCs/>
        </w:rPr>
        <w:t xml:space="preserve">Principles endure. Policies evolve. Procedures improve. </w:t>
      </w:r>
      <w:r>
        <w:rPr>
          <w:i/>
          <w:iCs/>
        </w:rPr>
        <w:t>The purpose of this Operating System is not to predict markets, but to make consistently better investment decisions across decades of disciplined stewardship.</w:t>
      </w:r>
    </w:p>
    <w:p w14:paraId="6D309AD9" w14:textId="77777777" w:rsidR="00E34BC5" w:rsidRPr="00AD5195" w:rsidRDefault="00000000" w:rsidP="00AD5195">
      <w:pPr>
        <w:spacing w:before="160" w:after="120"/>
      </w:pPr>
      <w:r>
        <w:rPr>
          <w:b/>
          <w:bCs/>
        </w:rPr>
        <w:t xml:space="preserve">Transition: </w:t>
      </w:r>
      <w:r>
        <w:rPr>
          <w:i/>
          <w:iCs/>
        </w:rPr>
        <w:t>With philosophy, values, and scope established, Part 2 defines the indicator framework used to score every investment candidate.</w:t>
      </w:r>
    </w:p>
    <w:p w14:paraId="7CB172D6" w14:textId="77777777" w:rsidR="00AD5195" w:rsidRDefault="00AD5195">
      <w:pPr>
        <w:rPr>
          <w:b/>
          <w:bCs/>
          <w:color w:val="1F3864"/>
          <w:sz w:val="28"/>
          <w:szCs w:val="28"/>
        </w:rPr>
      </w:pPr>
      <w:bookmarkStart w:id="10" w:name="_Toc236826955"/>
      <w:r>
        <w:br w:type="page"/>
      </w:r>
    </w:p>
    <w:p w14:paraId="3E8F6D42" w14:textId="77777777" w:rsidR="00A63D17" w:rsidRDefault="00000000" w:rsidP="00E34BC5">
      <w:pPr>
        <w:pStyle w:val="Heading1"/>
      </w:pPr>
      <w:r>
        <w:lastRenderedPageBreak/>
        <w:t>PART 2 — INDICATOR FRAMEWORK &amp; SCORING</w:t>
      </w:r>
      <w:bookmarkEnd w:id="10"/>
    </w:p>
    <w:p w14:paraId="1F5F5E03" w14:textId="77777777" w:rsidR="00AD5195" w:rsidRDefault="00000000" w:rsidP="00541765">
      <w:pPr>
        <w:spacing w:after="0"/>
        <w:rPr>
          <w:i/>
          <w:iCs/>
          <w:color w:val="404040"/>
        </w:rPr>
      </w:pPr>
      <w:r>
        <w:rPr>
          <w:b/>
          <w:bCs/>
          <w:i/>
          <w:iCs/>
          <w:color w:val="2E5090"/>
        </w:rPr>
        <w:t xml:space="preserve">Purpose of this Part: </w:t>
      </w:r>
      <w:r>
        <w:rPr>
          <w:i/>
          <w:iCs/>
          <w:color w:val="404040"/>
        </w:rPr>
        <w:t>This Part defines the indicator framework and scoring rubrics used to evaluate every investment candidate consistently across Tier 1, Tier 2, and Tier 3.</w:t>
      </w:r>
    </w:p>
    <w:p w14:paraId="28A6552F" w14:textId="77777777" w:rsidR="00AD5195" w:rsidRPr="00AD5195" w:rsidRDefault="00AD5195" w:rsidP="00541765">
      <w:pPr>
        <w:spacing w:after="0"/>
        <w:rPr>
          <w:i/>
          <w:iCs/>
          <w:color w:val="404040"/>
          <w:sz w:val="10"/>
          <w:szCs w:val="10"/>
        </w:rPr>
      </w:pPr>
    </w:p>
    <w:p w14:paraId="101EB97A" w14:textId="77777777" w:rsidR="00A63D17" w:rsidRDefault="00000000" w:rsidP="00541765">
      <w:pPr>
        <w:spacing w:after="0"/>
      </w:pPr>
      <w:r>
        <w:t>Once the investment universe is defined, the next step is to score each stock consistently. Every indicator shall receive a 1–5 score, which is multiplied by its weight to produce a weighted contribution. The sum of all weighted contributions becomes the Composite Score out of 100.</w:t>
      </w:r>
    </w:p>
    <w:tbl>
      <w:tblPr>
        <w:tblW w:w="5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5130"/>
      </w:tblGrid>
      <w:tr w:rsidR="00A63D17" w:rsidRPr="00AD5195" w14:paraId="25C7E783" w14:textId="77777777" w:rsidTr="005F7A22">
        <w:trPr>
          <w:tblHeade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05BE4927" w14:textId="77777777" w:rsidR="00A63D17" w:rsidRPr="00AD5195" w:rsidRDefault="00000000" w:rsidP="00E34BC5">
            <w:pPr>
              <w:spacing w:after="0"/>
              <w:jc w:val="center"/>
              <w:rPr>
                <w:sz w:val="21"/>
                <w:szCs w:val="21"/>
              </w:rPr>
            </w:pPr>
            <w:r>
              <w:rPr>
                <w:b/>
                <w:bCs/>
                <w:color w:val="FFFFFF"/>
                <w:sz w:val="21"/>
                <w:szCs w:val="21"/>
              </w:rPr>
              <w:t>Score</w:t>
            </w:r>
          </w:p>
        </w:tc>
        <w:tc>
          <w:tcPr>
            <w:tcW w:w="5130"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700909BF" w14:textId="77777777" w:rsidR="00A63D17" w:rsidRPr="00AD5195" w:rsidRDefault="00000000" w:rsidP="00E34BC5">
            <w:pPr>
              <w:spacing w:after="0"/>
              <w:jc w:val="center"/>
              <w:rPr>
                <w:sz w:val="21"/>
                <w:szCs w:val="21"/>
              </w:rPr>
            </w:pPr>
            <w:r>
              <w:rPr>
                <w:b/>
                <w:bCs/>
                <w:color w:val="FFFFFF"/>
                <w:sz w:val="21"/>
                <w:szCs w:val="21"/>
              </w:rPr>
              <w:t>Meaning</w:t>
            </w:r>
          </w:p>
        </w:tc>
      </w:tr>
      <w:tr w:rsidR="00A63D17" w:rsidRPr="00ED39AF" w14:paraId="3ABFE276"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0109617D" w14:textId="77777777" w:rsidR="00A63D17" w:rsidRPr="00ED39AF" w:rsidRDefault="00000000" w:rsidP="00E34BC5">
            <w:pPr>
              <w:spacing w:after="0"/>
              <w:jc w:val="center"/>
            </w:pPr>
            <w:r>
              <w:rPr>
                <w:b/>
                <w:bCs/>
              </w:rPr>
              <w:t>5</w:t>
            </w:r>
          </w:p>
        </w:tc>
        <w:tc>
          <w:tcPr>
            <w:tcW w:w="513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5FEDA42B" w14:textId="77777777" w:rsidR="00A63D17" w:rsidRPr="00ED39AF" w:rsidRDefault="00000000" w:rsidP="005F7A22">
            <w:pPr>
              <w:spacing w:after="0"/>
              <w:ind w:left="263"/>
            </w:pPr>
            <w:r>
              <w:rPr>
                <w:b/>
                <w:bCs/>
              </w:rPr>
              <w:t>Exceptional</w:t>
            </w:r>
            <w:r>
              <w:t xml:space="preserve"> — top quintile, strong positive signal</w:t>
            </w:r>
          </w:p>
        </w:tc>
      </w:tr>
      <w:tr w:rsidR="00A63D17" w:rsidRPr="00ED39AF" w14:paraId="04C49A4A"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6E5F89D4" w14:textId="77777777" w:rsidR="00A63D17" w:rsidRPr="00ED39AF" w:rsidRDefault="00000000" w:rsidP="00E34BC5">
            <w:pPr>
              <w:spacing w:after="0"/>
              <w:jc w:val="center"/>
            </w:pPr>
            <w:r>
              <w:rPr>
                <w:b/>
                <w:bCs/>
              </w:rPr>
              <w:t>4</w:t>
            </w:r>
          </w:p>
        </w:tc>
        <w:tc>
          <w:tcPr>
            <w:tcW w:w="513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6237765C" w14:textId="77777777" w:rsidR="00A63D17" w:rsidRPr="00ED39AF" w:rsidRDefault="00000000" w:rsidP="005F7A22">
            <w:pPr>
              <w:spacing w:after="0"/>
              <w:ind w:left="263"/>
            </w:pPr>
            <w:r>
              <w:rPr>
                <w:b/>
                <w:bCs/>
              </w:rPr>
              <w:t xml:space="preserve">Good </w:t>
            </w:r>
            <w:r>
              <w:t>— above average, mild positive signal</w:t>
            </w:r>
          </w:p>
        </w:tc>
      </w:tr>
      <w:tr w:rsidR="00A63D17" w:rsidRPr="00ED39AF" w14:paraId="6EC9BDA1"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055FCDD2" w14:textId="77777777" w:rsidR="00A63D17" w:rsidRPr="00ED39AF" w:rsidRDefault="00000000" w:rsidP="00E34BC5">
            <w:pPr>
              <w:spacing w:after="0"/>
              <w:jc w:val="center"/>
            </w:pPr>
            <w:r>
              <w:rPr>
                <w:b/>
                <w:bCs/>
              </w:rPr>
              <w:t>3</w:t>
            </w:r>
          </w:p>
        </w:tc>
        <w:tc>
          <w:tcPr>
            <w:tcW w:w="5130"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4767A8F6" w14:textId="77777777" w:rsidR="00A63D17" w:rsidRPr="00ED39AF" w:rsidRDefault="00000000" w:rsidP="005F7A22">
            <w:pPr>
              <w:spacing w:after="0"/>
              <w:ind w:left="263"/>
            </w:pPr>
            <w:r>
              <w:rPr>
                <w:b/>
                <w:bCs/>
              </w:rPr>
              <w:t xml:space="preserve">Neutral </w:t>
            </w:r>
            <w:r>
              <w:t>— average, neither confirms nor disqualifies</w:t>
            </w:r>
          </w:p>
        </w:tc>
      </w:tr>
      <w:tr w:rsidR="00A63D17" w:rsidRPr="00ED39AF" w14:paraId="6CEEAB3F"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4C7CC8A4" w14:textId="77777777" w:rsidR="00A63D17" w:rsidRPr="00ED39AF" w:rsidRDefault="00000000" w:rsidP="00E34BC5">
            <w:pPr>
              <w:spacing w:after="0"/>
              <w:jc w:val="center"/>
            </w:pPr>
            <w:r>
              <w:rPr>
                <w:b/>
                <w:bCs/>
              </w:rPr>
              <w:t>2</w:t>
            </w:r>
          </w:p>
        </w:tc>
        <w:tc>
          <w:tcPr>
            <w:tcW w:w="513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6A2A1EDB" w14:textId="77777777" w:rsidR="00A63D17" w:rsidRPr="00ED39AF" w:rsidRDefault="00000000" w:rsidP="005F7A22">
            <w:pPr>
              <w:spacing w:after="0"/>
              <w:ind w:left="263"/>
            </w:pPr>
            <w:r>
              <w:rPr>
                <w:b/>
                <w:bCs/>
              </w:rPr>
              <w:t>Weak</w:t>
            </w:r>
            <w:r>
              <w:t xml:space="preserve"> — below average, mild negative signal</w:t>
            </w:r>
          </w:p>
        </w:tc>
      </w:tr>
      <w:tr w:rsidR="00A63D17" w:rsidRPr="00ED39AF" w14:paraId="695AB86A"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1B2C7B1D" w14:textId="77777777" w:rsidR="00A63D17" w:rsidRPr="00ED39AF" w:rsidRDefault="00000000" w:rsidP="00E34BC5">
            <w:pPr>
              <w:spacing w:after="0"/>
              <w:jc w:val="center"/>
            </w:pPr>
            <w:r>
              <w:rPr>
                <w:b/>
                <w:bCs/>
              </w:rPr>
              <w:t>1</w:t>
            </w:r>
          </w:p>
        </w:tc>
        <w:tc>
          <w:tcPr>
            <w:tcW w:w="513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147BB851" w14:textId="77777777" w:rsidR="00A63D17" w:rsidRPr="00ED39AF" w:rsidRDefault="00000000" w:rsidP="005F7A22">
            <w:pPr>
              <w:spacing w:after="0"/>
              <w:ind w:left="263"/>
            </w:pPr>
            <w:r>
              <w:rPr>
                <w:b/>
                <w:bCs/>
              </w:rPr>
              <w:t xml:space="preserve">Poor </w:t>
            </w:r>
            <w:r>
              <w:t>— bottom quintile, red flag</w:t>
            </w:r>
          </w:p>
        </w:tc>
      </w:tr>
    </w:tbl>
    <w:p w14:paraId="5861B52A" w14:textId="77777777" w:rsidR="00A63D17" w:rsidRDefault="00000000" w:rsidP="00AD5195">
      <w:pPr>
        <w:pStyle w:val="Heading2"/>
        <w:spacing w:after="0"/>
      </w:pPr>
      <w:bookmarkStart w:id="11" w:name="_Toc236826956"/>
      <w:r>
        <w:t>Tier 1 — Highest Predictive Weight (70% of Decision)</w:t>
      </w:r>
      <w:bookmarkEnd w:id="11"/>
    </w:p>
    <w:p w14:paraId="376FF35C" w14:textId="77777777" w:rsidR="00A63D17" w:rsidRDefault="00000000">
      <w:pPr>
        <w:spacing w:after="120"/>
      </w:pPr>
      <w:r>
        <w:t>Tier 1 drives the decision because it measures the core economics of the business. A stock must earn at least a 3.0 Tier 1 weighted average to continue through the process.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4445"/>
        <w:gridCol w:w="3330"/>
      </w:tblGrid>
      <w:tr w:rsidR="00A63D17" w14:paraId="29A09897" w14:textId="77777777" w:rsidTr="005F7A22">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CD7E7DD"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1E6E226" w14:textId="77777777" w:rsidR="00A63D17" w:rsidRDefault="00000000">
            <w:pPr>
              <w:jc w:val="center"/>
            </w:pPr>
            <w:r>
              <w:rPr>
                <w:b/>
                <w:bCs/>
                <w:color w:val="FFFFFF"/>
                <w:sz w:val="16"/>
                <w:szCs w:val="16"/>
              </w:rPr>
              <w:t>Wt</w:t>
            </w:r>
          </w:p>
        </w:tc>
        <w:tc>
          <w:tcPr>
            <w:tcW w:w="44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17EB5FA" w14:textId="77777777" w:rsidR="00A63D17" w:rsidRDefault="00000000" w:rsidP="005F7A22">
            <w:pPr>
              <w:ind w:left="202"/>
              <w:jc w:val="center"/>
            </w:pPr>
            <w:r>
              <w:rPr>
                <w:b/>
                <w:bCs/>
                <w:color w:val="FFFFFF"/>
                <w:sz w:val="16"/>
                <w:szCs w:val="16"/>
              </w:rPr>
              <w:t>Scoring Rubric (1–5)</w:t>
            </w:r>
          </w:p>
        </w:tc>
        <w:tc>
          <w:tcPr>
            <w:tcW w:w="333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518206C" w14:textId="77777777" w:rsidR="00A63D17" w:rsidRDefault="00000000" w:rsidP="005F7A22">
            <w:pPr>
              <w:ind w:left="348" w:hanging="180"/>
              <w:jc w:val="center"/>
            </w:pPr>
            <w:r>
              <w:rPr>
                <w:b/>
                <w:bCs/>
                <w:color w:val="FFFFFF"/>
                <w:sz w:val="16"/>
                <w:szCs w:val="16"/>
              </w:rPr>
              <w:t>Sector Adaptation</w:t>
            </w:r>
          </w:p>
        </w:tc>
      </w:tr>
      <w:tr w:rsidR="00A63D17" w14:paraId="556A9BB0"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10AAC07" w14:textId="77777777" w:rsidR="00A63D17" w:rsidRDefault="00000000" w:rsidP="005F7A22">
            <w:pPr>
              <w:jc w:val="center"/>
            </w:pPr>
            <w:r>
              <w:rPr>
                <w:b/>
                <w:bCs/>
                <w:sz w:val="16"/>
                <w:szCs w:val="16"/>
              </w:rPr>
              <w:t>Free Cash Flow Yield &amp;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17653D8" w14:textId="77777777" w:rsidR="00A63D17" w:rsidRDefault="00000000">
            <w:pPr>
              <w:jc w:val="center"/>
            </w:pPr>
            <w:r>
              <w:rPr>
                <w:b/>
                <w:bCs/>
                <w:sz w:val="16"/>
                <w:szCs w:val="16"/>
              </w:rPr>
              <w:t>20%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7B745E" w14:textId="77777777" w:rsidR="00A63D17" w:rsidRDefault="00000000" w:rsidP="005F7A22">
            <w:pPr>
              <w:spacing w:after="40"/>
              <w:ind w:left="202"/>
            </w:pPr>
            <w:r>
              <w:rPr>
                <w:sz w:val="16"/>
                <w:szCs w:val="16"/>
              </w:rPr>
              <w:t>Score level and trend separately, then combine:</w:t>
            </w:r>
          </w:p>
          <w:p w14:paraId="022BE709" w14:textId="77777777" w:rsidR="00A63D17" w:rsidRDefault="00000000" w:rsidP="005F7A22">
            <w:pPr>
              <w:spacing w:after="40"/>
              <w:ind w:left="202"/>
              <w:jc w:val="center"/>
            </w:pPr>
            <w:r>
              <w:rPr>
                <w:b/>
                <w:bCs/>
                <w:sz w:val="16"/>
                <w:szCs w:val="16"/>
              </w:rPr>
              <w:t>Yield level</w:t>
            </w:r>
            <w:r>
              <w:rPr>
                <w:sz w:val="16"/>
                <w:szCs w:val="16"/>
              </w:rPr>
              <w:t xml:space="preserve"> = 60% of indicator; </w:t>
              <w:br/>
            </w:r>
            <w:r>
              <w:rPr>
                <w:b/>
                <w:bCs/>
                <w:sz w:val="16"/>
                <w:szCs w:val="16"/>
              </w:rPr>
              <w:t>Trend level</w:t>
            </w:r>
            <w:r>
              <w:rPr>
                <w:sz w:val="16"/>
                <w:szCs w:val="16"/>
              </w:rPr>
              <w:t xml:space="preserve"> = 40% of indicator</w:t>
            </w:r>
          </w:p>
          <w:p w14:paraId="694AF02D" w14:textId="77777777" w:rsidR="00A63D17" w:rsidRDefault="00000000" w:rsidP="005F7A22">
            <w:pPr>
              <w:spacing w:after="40"/>
              <w:ind w:left="202"/>
              <w:jc w:val="center"/>
            </w:pPr>
            <w:r>
              <w:rPr>
                <w:sz w:val="16"/>
                <w:szCs w:val="16"/>
              </w:rPr>
              <w:t xml:space="preserve">5 = ≥4.5 combined | 4 = 3.5–4.49 | 3 = 2.5–3.49 | </w:t>
              <w:br/>
              <w:t>2 = 1.5–2.49 | 1 = &lt;1.5</w:t>
            </w:r>
          </w:p>
          <w:p w14:paraId="7AECD91F" w14:textId="77777777" w:rsidR="00A63D17" w:rsidRDefault="00AF2BB4" w:rsidP="00AF2BB4">
            <w:pPr>
              <w:spacing w:after="40"/>
              <w:ind w:left="202"/>
            </w:pPr>
            <w:r>
              <w:rPr>
                <w:b/>
                <w:bCs/>
                <w:sz w:val="16"/>
                <w:szCs w:val="16"/>
              </w:rPr>
              <w:tab/>
              <w:t>Yield:</w:t>
            </w:r>
            <w:r>
              <w:rPr>
                <w:sz w:val="16"/>
                <w:szCs w:val="16"/>
              </w:rPr>
              <w:t xml:space="preserve"> 5=&gt;6% 4=4–6% 3=2–4% 2=0–2% 1=negative</w:t>
            </w:r>
          </w:p>
          <w:p w14:paraId="6B5264E2" w14:textId="77777777" w:rsidR="00A63D17" w:rsidRDefault="00AF2BB4" w:rsidP="00AF2BB4">
            <w:pPr>
              <w:spacing w:after="40"/>
              <w:ind w:left="202"/>
            </w:pPr>
            <w:r>
              <w:rPr>
                <w:b/>
                <w:bCs/>
                <w:sz w:val="16"/>
                <w:szCs w:val="16"/>
              </w:rPr>
              <w:tab/>
              <w:t>Trend:</w:t>
            </w:r>
            <w:r>
              <w:rPr>
                <w:sz w:val="16"/>
                <w:szCs w:val="16"/>
              </w:rPr>
              <w:t xml:space="preserve"> 5=expanding 3=stable 1=contracting</w:t>
            </w:r>
          </w:p>
          <w:p w14:paraId="52F51E39" w14:textId="77777777" w:rsidR="00A63D17" w:rsidRDefault="00000000" w:rsidP="005F7A22">
            <w:pPr>
              <w:spacing w:after="40"/>
              <w:ind w:left="202"/>
            </w:pPr>
            <w:r>
              <w:rPr>
                <w:sz w:val="16"/>
                <w:szCs w:val="16"/>
              </w:rPr>
              <w:t>Structural deterioration caps the indicator at 2.</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0954EBF" w14:textId="77777777" w:rsidR="00A63D17" w:rsidRDefault="00000000" w:rsidP="005F7A22">
            <w:pPr>
              <w:spacing w:after="40"/>
              <w:ind w:left="348" w:hanging="180"/>
            </w:pPr>
            <w:r>
              <w:rPr>
                <w:b/>
                <w:bCs/>
                <w:sz w:val="16"/>
                <w:szCs w:val="16"/>
              </w:rPr>
              <w:t>Financials</w:t>
            </w:r>
            <w:r>
              <w:rPr>
                <w:sz w:val="16"/>
                <w:szCs w:val="16"/>
              </w:rPr>
              <w:t>: substitute ROE trend vs. peers.</w:t>
            </w:r>
          </w:p>
          <w:p w14:paraId="1AFAA74B" w14:textId="77777777" w:rsidR="00A63D17" w:rsidRDefault="00000000" w:rsidP="005F7A22">
            <w:pPr>
              <w:spacing w:after="40"/>
              <w:ind w:left="348" w:hanging="180"/>
            </w:pPr>
            <w:r>
              <w:rPr>
                <w:b/>
                <w:bCs/>
                <w:sz w:val="16"/>
                <w:szCs w:val="16"/>
              </w:rPr>
              <w:t>Early-stage growth</w:t>
            </w:r>
            <w:r>
              <w:rPr>
                <w:sz w:val="16"/>
                <w:szCs w:val="16"/>
              </w:rPr>
              <w:t>: use FCF margin trajectory direction.</w:t>
            </w:r>
          </w:p>
          <w:p w14:paraId="1CF09AAD" w14:textId="77777777" w:rsidR="002908CE" w:rsidRDefault="00000000" w:rsidP="00ED39AF">
            <w:pPr>
              <w:ind w:left="168"/>
            </w:pPr>
            <w:r>
              <w:rPr>
                <w:b/>
                <w:sz w:val="16"/>
                <w:highlight w:val="yellow"/>
              </w:rPr>
              <w:t xml:space="preserve">Accruals Quality Cross-Check (Piotroski-derived): </w:t>
            </w:r>
            <w:r>
              <w:rPr>
                <w:bCs/>
                <w:sz w:val="16"/>
                <w:highlight w:val="yellow"/>
              </w:rPr>
              <w:t xml:space="preserve">if cash from operations does not exceed net income for the most recent fiscal year, tag </w:t>
            </w:r>
            <w:r>
              <w:rPr>
                <w:b/>
                <w:sz w:val="16"/>
                <w:highlight w:val="yellow"/>
              </w:rPr>
              <w:t>Low Confidence</w:t>
            </w:r>
            <w:r>
              <w:rPr>
                <w:bCs/>
                <w:sz w:val="16"/>
                <w:highlight w:val="yellow"/>
              </w:rPr>
              <w:t xml:space="preserve"> and document the driver of the divergence before finalizing the score.</w:t>
            </w:r>
          </w:p>
        </w:tc>
      </w:tr>
      <w:tr w:rsidR="00A63D17" w14:paraId="0270F911"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5E39BA8" w14:textId="77777777" w:rsidR="00A63D17" w:rsidRDefault="00000000" w:rsidP="005F7A22">
            <w:pPr>
              <w:jc w:val="center"/>
            </w:pPr>
            <w:r>
              <w:rPr>
                <w:b/>
                <w:bCs/>
                <w:sz w:val="16"/>
                <w:szCs w:val="16"/>
              </w:rPr>
              <w:t>Revenue Growth Consistency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7D76B60"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3F1891" w14:textId="77777777" w:rsidR="00A63D17" w:rsidRDefault="00000000" w:rsidP="005F7A22">
            <w:pPr>
              <w:spacing w:after="40"/>
              <w:ind w:left="202" w:hanging="90"/>
            </w:pPr>
            <w:r>
              <w:rPr>
                <w:sz w:val="16"/>
                <w:szCs w:val="16"/>
              </w:rPr>
              <w:t>Use five full fiscal years where available.</w:t>
            </w:r>
          </w:p>
          <w:p w14:paraId="359E5296" w14:textId="77777777" w:rsidR="00A63D17" w:rsidRDefault="00000000" w:rsidP="005F7A22">
            <w:pPr>
              <w:spacing w:after="40"/>
              <w:ind w:left="202"/>
            </w:pPr>
            <w:r>
              <w:rPr>
                <w:sz w:val="16"/>
                <w:szCs w:val="16"/>
              </w:rPr>
              <w:t>5 = CAGR ≥15% and coefficient of variation (CV) ≤0.35</w:t>
            </w:r>
          </w:p>
          <w:p w14:paraId="15D30B27" w14:textId="77777777" w:rsidR="00A63D17" w:rsidRDefault="00000000" w:rsidP="005F7A22">
            <w:pPr>
              <w:spacing w:after="40"/>
              <w:ind w:left="202"/>
            </w:pPr>
            <w:r>
              <w:rPr>
                <w:sz w:val="16"/>
                <w:szCs w:val="16"/>
              </w:rPr>
              <w:t>4 = CAGR 10–15% and CV ≤0.50</w:t>
            </w:r>
          </w:p>
          <w:p w14:paraId="5C5F95A8" w14:textId="77777777" w:rsidR="00A63D17" w:rsidRDefault="00000000" w:rsidP="005F7A22">
            <w:pPr>
              <w:spacing w:after="40"/>
              <w:ind w:left="202"/>
            </w:pPr>
            <w:r>
              <w:rPr>
                <w:sz w:val="16"/>
                <w:szCs w:val="16"/>
              </w:rPr>
              <w:t>3 = CAGR 5–10% or CV 0.50–0.75</w:t>
            </w:r>
          </w:p>
          <w:p w14:paraId="59FD3A9A" w14:textId="77777777" w:rsidR="00A63D17" w:rsidRDefault="00000000" w:rsidP="005F7A22">
            <w:pPr>
              <w:spacing w:after="40"/>
              <w:ind w:left="202"/>
            </w:pPr>
            <w:r>
              <w:rPr>
                <w:sz w:val="16"/>
                <w:szCs w:val="16"/>
              </w:rPr>
              <w:t>2 = CAGR &lt;5% or CV &gt;0.75</w:t>
            </w:r>
          </w:p>
          <w:p w14:paraId="62BE075A" w14:textId="77777777" w:rsidR="00A63D17" w:rsidRDefault="00000000" w:rsidP="005F7A22">
            <w:pPr>
              <w:spacing w:after="40"/>
              <w:ind w:left="202"/>
            </w:pPr>
            <w:r>
              <w:rPr>
                <w:sz w:val="16"/>
                <w:szCs w:val="16"/>
              </w:rPr>
              <w:t>1 = negative CAGR or repeated unexplained misses</w:t>
            </w:r>
          </w:p>
          <w:p w14:paraId="2F2CE6A1" w14:textId="77777777" w:rsidR="00A63D17" w:rsidRDefault="00000000" w:rsidP="005F7A22">
            <w:pPr>
              <w:spacing w:after="40"/>
              <w:ind w:left="202" w:hanging="90"/>
            </w:pPr>
            <w:r>
              <w:rPr>
                <w:sz w:val="16"/>
                <w:szCs w:val="16"/>
              </w:rPr>
              <w:t>CV = standard deviation of annual growth rates ÷ absolute mean growth rate.</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8988DA5" w14:textId="77777777" w:rsidR="00A63D17" w:rsidRDefault="00000000" w:rsidP="005F7A22">
            <w:pPr>
              <w:spacing w:after="40"/>
              <w:ind w:left="348" w:hanging="180"/>
            </w:pPr>
            <w:r>
              <w:rPr>
                <w:b/>
                <w:bCs/>
                <w:sz w:val="16"/>
                <w:szCs w:val="16"/>
              </w:rPr>
              <w:t>Cyclicals (energy/materials):</w:t>
            </w:r>
            <w:r>
              <w:rPr>
                <w:sz w:val="16"/>
                <w:szCs w:val="16"/>
              </w:rPr>
              <w:t xml:space="preserve"> normalize for commodity cycles.</w:t>
            </w:r>
          </w:p>
          <w:p w14:paraId="3F7EE701" w14:textId="77777777" w:rsidR="00A63D17" w:rsidRDefault="00000000" w:rsidP="005F7A22">
            <w:pPr>
              <w:spacing w:after="40"/>
              <w:ind w:left="348" w:hanging="180"/>
            </w:pPr>
            <w:r>
              <w:rPr>
                <w:sz w:val="16"/>
                <w:szCs w:val="16"/>
              </w:rPr>
              <w:t xml:space="preserve">Use </w:t>
            </w:r>
            <w:r>
              <w:rPr>
                <w:b/>
                <w:bCs/>
                <w:sz w:val="16"/>
                <w:szCs w:val="16"/>
              </w:rPr>
              <w:t>volume growth</w:t>
            </w:r>
            <w:r>
              <w:rPr>
                <w:sz w:val="16"/>
                <w:szCs w:val="16"/>
              </w:rPr>
              <w:t xml:space="preserve"> as secondary check.</w:t>
            </w:r>
          </w:p>
        </w:tc>
      </w:tr>
      <w:tr w:rsidR="00A63D17" w14:paraId="28719C41"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0FC3A3" w14:textId="77777777" w:rsidR="00A63D17" w:rsidRDefault="00000000" w:rsidP="005F7A22">
            <w:pPr>
              <w:jc w:val="center"/>
            </w:pPr>
            <w:r>
              <w:rPr>
                <w:b/>
                <w:bCs/>
                <w:sz w:val="16"/>
                <w:szCs w:val="16"/>
              </w:rPr>
              <w:t>Competitive Moat Quality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D1227A"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248021" w14:textId="77777777" w:rsidR="00A63D17" w:rsidRDefault="00000000" w:rsidP="005F7A22">
            <w:pPr>
              <w:spacing w:after="40"/>
              <w:ind w:left="202"/>
            </w:pPr>
            <w:r>
              <w:rPr>
                <w:sz w:val="16"/>
                <w:szCs w:val="16"/>
              </w:rPr>
              <w:t>5 = Wide moat — multiple reinforcing advantages</w:t>
            </w:r>
          </w:p>
          <w:p w14:paraId="3B545BB6" w14:textId="77777777" w:rsidR="00A63D17" w:rsidRDefault="00000000" w:rsidP="005F7A22">
            <w:pPr>
              <w:spacing w:after="40"/>
              <w:ind w:left="202"/>
            </w:pPr>
            <w:r>
              <w:rPr>
                <w:sz w:val="16"/>
                <w:szCs w:val="16"/>
              </w:rPr>
              <w:t>4 = Narrow but durable — one strong advantage</w:t>
            </w:r>
          </w:p>
          <w:p w14:paraId="2E4F3A46" w14:textId="77777777" w:rsidR="00A63D17" w:rsidRDefault="00000000" w:rsidP="005F7A22">
            <w:pPr>
              <w:spacing w:after="40"/>
              <w:ind w:left="202"/>
            </w:pPr>
            <w:r>
              <w:rPr>
                <w:sz w:val="16"/>
                <w:szCs w:val="16"/>
              </w:rPr>
              <w:t>3 = Mild moat, contestable</w:t>
            </w:r>
          </w:p>
          <w:p w14:paraId="307B4B26" w14:textId="77777777" w:rsidR="00A63D17" w:rsidRDefault="00000000" w:rsidP="005F7A22">
            <w:pPr>
              <w:spacing w:after="40"/>
              <w:ind w:left="202"/>
            </w:pPr>
            <w:r>
              <w:rPr>
                <w:sz w:val="16"/>
                <w:szCs w:val="16"/>
              </w:rPr>
              <w:t>2 = No clear moat, competes on price</w:t>
            </w:r>
          </w:p>
          <w:p w14:paraId="04FEC1BB" w14:textId="77777777" w:rsidR="00A63D17" w:rsidRDefault="00000000" w:rsidP="005F7A22">
            <w:pPr>
              <w:spacing w:after="40"/>
              <w:ind w:left="202"/>
            </w:pPr>
            <w:r>
              <w:rPr>
                <w:sz w:val="16"/>
                <w:szCs w:val="16"/>
              </w:rPr>
              <w:t>1 = Actively losing competitive position</w:t>
            </w:r>
          </w:p>
          <w:p w14:paraId="3C5ADD01" w14:textId="77777777" w:rsidR="00A63D17" w:rsidRDefault="00000000" w:rsidP="005F7A22">
            <w:pPr>
              <w:spacing w:after="40"/>
              <w:ind w:left="202" w:hanging="90"/>
            </w:pPr>
            <w:r>
              <w:rPr>
                <w:sz w:val="16"/>
                <w:szCs w:val="16"/>
              </w:rPr>
              <w:t>Score of 4 or 5 requires positive evidence on at least two of four cross-check tests: (a) pricing power above CPI without volume loss; (b) gross margin vs. industry median (supports confidence tag only, does not mechanically add to score); (c) customer retention/switching cost evidence; (d) market share trend over 3+ years.</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4DD4071" w14:textId="77777777" w:rsidR="00A63D17" w:rsidRDefault="00000000" w:rsidP="005F7A22">
            <w:pPr>
              <w:spacing w:after="40"/>
              <w:ind w:left="348" w:hanging="180"/>
            </w:pPr>
            <w:r>
              <w:rPr>
                <w:sz w:val="16"/>
                <w:szCs w:val="16"/>
              </w:rPr>
              <w:t xml:space="preserve">Use </w:t>
            </w:r>
            <w:r>
              <w:rPr>
                <w:i/>
                <w:iCs/>
                <w:sz w:val="16"/>
                <w:szCs w:val="16"/>
              </w:rPr>
              <w:t>Morningstar</w:t>
            </w:r>
            <w:r>
              <w:rPr>
                <w:sz w:val="16"/>
                <w:szCs w:val="16"/>
              </w:rPr>
              <w:t xml:space="preserve"> moat ratings as cross-check where available.</w:t>
            </w:r>
          </w:p>
          <w:p w14:paraId="36FDD0B2" w14:textId="77777777" w:rsidR="00A63D17" w:rsidRDefault="00000000" w:rsidP="005F7A22">
            <w:pPr>
              <w:spacing w:after="40"/>
              <w:ind w:left="348" w:hanging="180"/>
            </w:pPr>
            <w:r>
              <w:rPr>
                <w:b/>
                <w:bCs/>
                <w:sz w:val="16"/>
                <w:szCs w:val="16"/>
              </w:rPr>
              <w:t>Industrials/defense</w:t>
            </w:r>
            <w:r>
              <w:rPr>
                <w:sz w:val="16"/>
                <w:szCs w:val="16"/>
              </w:rPr>
              <w:t>: backlog-to-revenue ratio (&gt;3x = score 5).</w:t>
            </w:r>
          </w:p>
          <w:p w14:paraId="423C057F" w14:textId="77777777" w:rsidR="00A63D17" w:rsidRDefault="00000000" w:rsidP="005F7A22">
            <w:pPr>
              <w:spacing w:after="40"/>
              <w:ind w:left="348" w:hanging="180"/>
            </w:pPr>
            <w:r>
              <w:rPr>
                <w:b/>
                <w:bCs/>
                <w:sz w:val="16"/>
                <w:szCs w:val="16"/>
              </w:rPr>
              <w:t>Consumer staples</w:t>
            </w:r>
            <w:r>
              <w:rPr>
                <w:sz w:val="16"/>
                <w:szCs w:val="16"/>
              </w:rPr>
              <w:t>: repeat purchase rate and private-label loyalty.</w:t>
            </w:r>
          </w:p>
          <w:p w14:paraId="13ABA1E5" w14:textId="77777777" w:rsidR="00A63D17" w:rsidRDefault="00000000" w:rsidP="005F7A22">
            <w:pPr>
              <w:spacing w:after="40"/>
              <w:ind w:left="348" w:hanging="180"/>
            </w:pPr>
            <w:r>
              <w:rPr>
                <w:b/>
                <w:bCs/>
                <w:sz w:val="16"/>
                <w:szCs w:val="16"/>
              </w:rPr>
              <w:t>Healthcare</w:t>
            </w:r>
            <w:r>
              <w:rPr>
                <w:sz w:val="16"/>
                <w:szCs w:val="16"/>
              </w:rPr>
              <w:t>: formulary coverage, contract renewal, payer concentration.</w:t>
            </w:r>
          </w:p>
          <w:p w14:paraId="3A6E8FFB" w14:textId="77777777" w:rsidR="00A63D17" w:rsidRDefault="00000000" w:rsidP="005F7A22">
            <w:pPr>
              <w:spacing w:after="40"/>
              <w:ind w:left="348" w:hanging="180"/>
            </w:pPr>
            <w:r>
              <w:rPr>
                <w:b/>
                <w:bCs/>
                <w:sz w:val="16"/>
                <w:szCs w:val="16"/>
              </w:rPr>
              <w:t>Financials</w:t>
            </w:r>
            <w:r>
              <w:rPr>
                <w:sz w:val="16"/>
                <w:szCs w:val="16"/>
              </w:rPr>
              <w:t>: deposit stability and net interest margin predictability.</w:t>
            </w:r>
          </w:p>
          <w:p w14:paraId="3E965618" w14:textId="77777777" w:rsidR="00A63D17" w:rsidRDefault="00000000" w:rsidP="005F7A22">
            <w:pPr>
              <w:spacing w:after="40"/>
              <w:ind w:left="348" w:hanging="180"/>
            </w:pPr>
            <w:r>
              <w:rPr>
                <w:b/>
                <w:bCs/>
                <w:sz w:val="16"/>
                <w:szCs w:val="16"/>
              </w:rPr>
              <w:t>Cyclicals</w:t>
            </w:r>
            <w:r>
              <w:rPr>
                <w:sz w:val="16"/>
                <w:szCs w:val="16"/>
              </w:rPr>
              <w:t>: use most recent full-cycle average, not peak-cycle figures.</w:t>
            </w:r>
          </w:p>
        </w:tc>
      </w:tr>
      <w:tr w:rsidR="00A63D17" w14:paraId="512DFDAA"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8432AC" w14:textId="77777777" w:rsidR="00A63D17" w:rsidRDefault="00000000" w:rsidP="005F7A22">
            <w:pPr>
              <w:jc w:val="center"/>
            </w:pPr>
            <w:r>
              <w:rPr>
                <w:b/>
                <w:bCs/>
                <w:sz w:val="16"/>
                <w:szCs w:val="16"/>
              </w:rPr>
              <w:t>Revenue Visibility (ARR/Backlog)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F98A7C8"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697F72" w14:textId="77777777" w:rsidR="00A63D17" w:rsidRDefault="00000000" w:rsidP="005F7A22">
            <w:pPr>
              <w:spacing w:after="40"/>
              <w:ind w:left="202"/>
            </w:pPr>
            <w:r>
              <w:rPr>
                <w:sz w:val="16"/>
                <w:szCs w:val="16"/>
              </w:rPr>
              <w:t>5 = &gt;80% of next-12-month revenue contracted/recurring</w:t>
            </w:r>
          </w:p>
          <w:p w14:paraId="204AFF73" w14:textId="77777777" w:rsidR="00A63D17" w:rsidRDefault="00000000" w:rsidP="005F7A22">
            <w:pPr>
              <w:spacing w:after="40"/>
              <w:ind w:left="202"/>
            </w:pPr>
            <w:r>
              <w:rPr>
                <w:sz w:val="16"/>
                <w:szCs w:val="16"/>
              </w:rPr>
              <w:t>4 = 60–80%</w:t>
            </w:r>
          </w:p>
          <w:p w14:paraId="783699BE" w14:textId="77777777" w:rsidR="00A63D17" w:rsidRDefault="00000000" w:rsidP="005F7A22">
            <w:pPr>
              <w:spacing w:after="40"/>
              <w:ind w:left="202"/>
            </w:pPr>
            <w:r>
              <w:rPr>
                <w:sz w:val="16"/>
                <w:szCs w:val="16"/>
              </w:rPr>
              <w:t>3 = 40–60%</w:t>
            </w:r>
          </w:p>
          <w:p w14:paraId="61B50C5A" w14:textId="77777777" w:rsidR="00A63D17" w:rsidRDefault="00000000" w:rsidP="005F7A22">
            <w:pPr>
              <w:spacing w:after="40"/>
              <w:ind w:left="202"/>
            </w:pPr>
            <w:r>
              <w:rPr>
                <w:sz w:val="16"/>
                <w:szCs w:val="16"/>
              </w:rPr>
              <w:t>2 = 20–40%</w:t>
            </w:r>
          </w:p>
          <w:p w14:paraId="79A7BBF9" w14:textId="77777777" w:rsidR="00A63D17" w:rsidRDefault="00000000" w:rsidP="005F7A22">
            <w:pPr>
              <w:spacing w:after="40"/>
              <w:ind w:left="202"/>
            </w:pPr>
            <w:r>
              <w:rPr>
                <w:sz w:val="16"/>
                <w:szCs w:val="16"/>
              </w:rPr>
              <w:t>1 = &lt;20%, fully transactional</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E33326" w14:textId="77777777" w:rsidR="00A63D17" w:rsidRDefault="00000000" w:rsidP="005F7A22">
            <w:pPr>
              <w:spacing w:after="40"/>
              <w:ind w:left="348" w:hanging="180"/>
            </w:pPr>
            <w:r>
              <w:rPr>
                <w:sz w:val="16"/>
                <w:szCs w:val="16"/>
              </w:rPr>
              <w:t>Sector-specific measures above are ordinal judgments, not perfectly comparable across industries.</w:t>
            </w:r>
          </w:p>
        </w:tc>
      </w:tr>
      <w:tr w:rsidR="00A63D17" w14:paraId="75338247"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6939D2" w14:textId="77777777" w:rsidR="00A63D17" w:rsidRDefault="00000000" w:rsidP="005F7A22">
            <w:pPr>
              <w:jc w:val="center"/>
            </w:pPr>
            <w:r>
              <w:rPr>
                <w:b/>
                <w:bCs/>
                <w:sz w:val="16"/>
                <w:szCs w:val="16"/>
              </w:rPr>
              <w:t>FCF Margin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DC300B"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92BC81F" w14:textId="77777777" w:rsidR="00A63D17" w:rsidRDefault="00000000" w:rsidP="005F7A22">
            <w:pPr>
              <w:spacing w:after="40"/>
              <w:ind w:left="202"/>
            </w:pPr>
            <w:r>
              <w:rPr>
                <w:sz w:val="16"/>
                <w:szCs w:val="16"/>
              </w:rPr>
              <w:t>5 = FCF margin &gt;25% / expanding</w:t>
            </w:r>
          </w:p>
          <w:p w14:paraId="4FA93AF5" w14:textId="77777777" w:rsidR="00A63D17" w:rsidRDefault="00000000" w:rsidP="005F7A22">
            <w:pPr>
              <w:spacing w:after="40"/>
              <w:ind w:left="202"/>
            </w:pPr>
            <w:r>
              <w:rPr>
                <w:sz w:val="16"/>
                <w:szCs w:val="16"/>
              </w:rPr>
              <w:t>4 = 15–25% stable / expanding</w:t>
            </w:r>
          </w:p>
          <w:p w14:paraId="2A479FD9" w14:textId="77777777" w:rsidR="00A63D17" w:rsidRDefault="00000000" w:rsidP="005F7A22">
            <w:pPr>
              <w:spacing w:after="40"/>
              <w:ind w:left="202"/>
            </w:pPr>
            <w:r>
              <w:rPr>
                <w:sz w:val="16"/>
                <w:szCs w:val="16"/>
              </w:rPr>
              <w:t>3 = 5–15% / flat</w:t>
            </w:r>
          </w:p>
          <w:p w14:paraId="18CC0F51" w14:textId="77777777" w:rsidR="00A63D17" w:rsidRDefault="00000000" w:rsidP="005F7A22">
            <w:pPr>
              <w:spacing w:after="40"/>
              <w:ind w:left="202"/>
            </w:pPr>
            <w:r>
              <w:rPr>
                <w:sz w:val="16"/>
                <w:szCs w:val="16"/>
              </w:rPr>
              <w:t>2 = &lt;5% or contracting</w:t>
            </w:r>
          </w:p>
          <w:p w14:paraId="677454D7" w14:textId="77777777" w:rsidR="00A63D17" w:rsidRDefault="00000000" w:rsidP="005F7A22">
            <w:pPr>
              <w:spacing w:after="40"/>
              <w:ind w:left="202"/>
            </w:pPr>
            <w:r>
              <w:rPr>
                <w:sz w:val="16"/>
                <w:szCs w:val="16"/>
              </w:rPr>
              <w:t>1 = Negative and deteriorating</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E7A1B5" w14:textId="77777777" w:rsidR="00A63D17" w:rsidRDefault="00000000" w:rsidP="005F7A22">
            <w:pPr>
              <w:spacing w:after="40"/>
              <w:ind w:left="348" w:hanging="180"/>
            </w:pPr>
            <w:r>
              <w:rPr>
                <w:sz w:val="16"/>
                <w:szCs w:val="16"/>
              </w:rPr>
              <w:t>Capital-intensive businesses (utilities, telco): benchmark within sector, not absolute.</w:t>
            </w:r>
          </w:p>
        </w:tc>
      </w:tr>
    </w:tbl>
    <w:p w14:paraId="5419E2CA" w14:textId="77777777" w:rsidR="00E34BC5" w:rsidRDefault="00E34BC5">
      <w:pPr>
        <w:rPr>
          <w:b/>
          <w:bCs/>
          <w:color w:val="1F3864"/>
          <w:sz w:val="22"/>
          <w:szCs w:val="22"/>
        </w:rPr>
      </w:pPr>
      <w:r>
        <w:br w:type="page"/>
      </w:r>
    </w:p>
    <w:p w14:paraId="001E491C" w14:textId="77777777" w:rsidR="00A63D17" w:rsidRDefault="00000000" w:rsidP="00E34BC5">
      <w:pPr>
        <w:pStyle w:val="Heading2"/>
      </w:pPr>
      <w:bookmarkStart w:id="12" w:name="_Toc236826957"/>
      <w:r>
        <w:lastRenderedPageBreak/>
        <w:t>Tier 2 — High Importance (25% of Decision)</w:t>
      </w:r>
      <w:bookmarkEnd w:id="12"/>
    </w:p>
    <w:p w14:paraId="24E775F7" w14:textId="77777777" w:rsidR="00A63D17" w:rsidRDefault="00000000">
      <w:pPr>
        <w:spacing w:after="120"/>
      </w:pPr>
      <w:r>
        <w:t>Tier 2 indicators confirm business quality, capital discipline, and market sponsorship. Strong readings increase conviction; weak readings require a clear explanation before capital is committed.</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4525"/>
        <w:gridCol w:w="3150"/>
      </w:tblGrid>
      <w:tr w:rsidR="00A63D17" w14:paraId="4A4D367D" w14:textId="77777777" w:rsidTr="005F7A22">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EA54073"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4A65B17" w14:textId="77777777" w:rsidR="00A63D17" w:rsidRDefault="00000000">
            <w:pPr>
              <w:jc w:val="center"/>
            </w:pPr>
            <w:r>
              <w:rPr>
                <w:b/>
                <w:bCs/>
                <w:color w:val="FFFFFF"/>
                <w:sz w:val="16"/>
                <w:szCs w:val="16"/>
              </w:rPr>
              <w:t>Wt</w:t>
            </w:r>
          </w:p>
        </w:tc>
        <w:tc>
          <w:tcPr>
            <w:tcW w:w="452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D0136A0" w14:textId="77777777" w:rsidR="00A63D17" w:rsidRDefault="00000000" w:rsidP="005F7A22">
            <w:pPr>
              <w:ind w:left="106"/>
              <w:jc w:val="center"/>
            </w:pPr>
            <w:r>
              <w:rPr>
                <w:b/>
                <w:bCs/>
                <w:color w:val="FFFFFF"/>
                <w:sz w:val="16"/>
                <w:szCs w:val="16"/>
              </w:rPr>
              <w:t>Scoring Rubric (1–5)</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2999DF3" w14:textId="77777777" w:rsidR="00A63D17" w:rsidRDefault="00000000" w:rsidP="005F7A22">
            <w:pPr>
              <w:ind w:left="177"/>
              <w:jc w:val="center"/>
            </w:pPr>
            <w:r>
              <w:rPr>
                <w:b/>
                <w:bCs/>
                <w:color w:val="FFFFFF"/>
                <w:sz w:val="16"/>
                <w:szCs w:val="16"/>
              </w:rPr>
              <w:t>Sector Adaptation</w:t>
            </w:r>
          </w:p>
        </w:tc>
      </w:tr>
      <w:tr w:rsidR="00A63D17" w14:paraId="26C54BBF"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F3030A1" w14:textId="77777777" w:rsidR="00A63D17" w:rsidRDefault="00000000" w:rsidP="005F7A22">
            <w:pPr>
              <w:jc w:val="center"/>
            </w:pPr>
            <w:r>
              <w:rPr>
                <w:b/>
                <w:bCs/>
                <w:sz w:val="16"/>
                <w:szCs w:val="16"/>
              </w:rPr>
              <w:t>Management Quality &amp; Capital Allocation</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6C65473"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A28FF3" w14:textId="77777777" w:rsidR="00A63D17" w:rsidRDefault="00000000" w:rsidP="005F7A22">
            <w:pPr>
              <w:spacing w:after="40"/>
              <w:ind w:left="106"/>
            </w:pPr>
            <w:r>
              <w:rPr>
                <w:sz w:val="16"/>
                <w:szCs w:val="16"/>
              </w:rPr>
              <w:t>5 = independently evidenced record of value-accretive capital allocation, sound governance, aligned incentives, limited dilution, and credible succession planning</w:t>
            </w:r>
          </w:p>
          <w:p w14:paraId="147944C2" w14:textId="77777777" w:rsidR="00A63D17" w:rsidRDefault="00000000" w:rsidP="005F7A22">
            <w:pPr>
              <w:spacing w:after="40"/>
              <w:ind w:left="106"/>
            </w:pPr>
            <w:r>
              <w:rPr>
                <w:sz w:val="16"/>
                <w:szCs w:val="16"/>
              </w:rPr>
              <w:t>4 = strong track record with minor concerns</w:t>
            </w:r>
          </w:p>
          <w:p w14:paraId="0B4F7409" w14:textId="77777777" w:rsidR="00A63D17" w:rsidRDefault="00000000" w:rsidP="005F7A22">
            <w:pPr>
              <w:spacing w:after="40"/>
              <w:ind w:left="106"/>
            </w:pPr>
            <w:r>
              <w:rPr>
                <w:sz w:val="16"/>
                <w:szCs w:val="16"/>
              </w:rPr>
              <w:t>3 = mixed record, limited tenure, or new CEO</w:t>
            </w:r>
          </w:p>
          <w:p w14:paraId="02234189" w14:textId="77777777" w:rsidR="00A63D17" w:rsidRDefault="00000000" w:rsidP="005F7A22">
            <w:pPr>
              <w:spacing w:after="40"/>
              <w:ind w:left="106"/>
            </w:pPr>
            <w:r>
              <w:rPr>
                <w:sz w:val="16"/>
                <w:szCs w:val="16"/>
              </w:rPr>
              <w:t>2 = value-destructive M&amp;A, repeated dilution, or governance concerns</w:t>
            </w:r>
          </w:p>
          <w:p w14:paraId="1D95C418" w14:textId="77777777" w:rsidR="00A63D17" w:rsidRDefault="00000000" w:rsidP="005F7A22">
            <w:pPr>
              <w:spacing w:after="40"/>
              <w:ind w:left="106"/>
            </w:pPr>
            <w:r>
              <w:rPr>
                <w:sz w:val="16"/>
                <w:szCs w:val="16"/>
              </w:rPr>
              <w:t>1 = serial misallocation, material governance failure, or persistent owner-unfriendly conduct</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907D5A" w14:textId="77777777" w:rsidR="00A63D17" w:rsidRDefault="00000000" w:rsidP="005F7A22">
            <w:pPr>
              <w:spacing w:after="40"/>
              <w:ind w:left="177"/>
            </w:pPr>
            <w:r>
              <w:rPr>
                <w:sz w:val="16"/>
                <w:szCs w:val="16"/>
              </w:rPr>
              <w:t>Review at least 5 years of capital allocation, including reinvestment, M&amp;A, buybacks, dividends, dilution, and leverage.</w:t>
            </w:r>
          </w:p>
          <w:p w14:paraId="6325ABC0" w14:textId="77777777" w:rsidR="00A63D17" w:rsidRDefault="00000000" w:rsidP="005F7A22">
            <w:pPr>
              <w:spacing w:after="40"/>
              <w:ind w:left="177"/>
            </w:pPr>
            <w:r>
              <w:rPr>
                <w:sz w:val="16"/>
                <w:szCs w:val="16"/>
              </w:rPr>
              <w:t>Founder status is supporting evidence only, not an automatic positive.</w:t>
            </w:r>
          </w:p>
          <w:p w14:paraId="373ADE96" w14:textId="77777777" w:rsidR="00A63D17" w:rsidRDefault="00000000" w:rsidP="005F7A22">
            <w:pPr>
              <w:spacing w:after="40"/>
              <w:ind w:left="177"/>
            </w:pPr>
            <w:r>
              <w:rPr>
                <w:sz w:val="16"/>
                <w:szCs w:val="16"/>
              </w:rPr>
              <w:t>New CEOs default to 3 until a sufficient record is established.</w:t>
            </w:r>
          </w:p>
          <w:p w14:paraId="6879E14E" w14:textId="77777777" w:rsidR="002908CE" w:rsidRDefault="00000000" w:rsidP="00ED39AF">
            <w:pPr>
              <w:ind w:left="177"/>
            </w:pPr>
            <w:r>
              <w:rPr>
                <w:sz w:val="16"/>
                <w:highlight w:val="yellow"/>
              </w:rPr>
              <w:t>Leverage Trajectory Note (Piotroski-derived): alongside the Rule 19 Debt/FCF level, document whether trailing Debt/FCF increased, decreased, or held flat versus the prior fiscal year, and reflect the distinction in this indicator's score and Confidence tag.</w:t>
            </w:r>
          </w:p>
        </w:tc>
      </w:tr>
      <w:tr w:rsidR="00A63D17" w14:paraId="51B24009"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F7B321" w14:textId="77777777" w:rsidR="00A63D17" w:rsidRDefault="00000000" w:rsidP="005F7A22">
            <w:pPr>
              <w:jc w:val="center"/>
            </w:pPr>
            <w:r>
              <w:rPr>
                <w:b/>
                <w:bCs/>
                <w:sz w:val="16"/>
                <w:szCs w:val="16"/>
              </w:rPr>
              <w:t>ROIC vs. WACC Spread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9FE38A" w14:textId="77777777" w:rsidR="00A63D17" w:rsidRDefault="00000000">
            <w:pPr>
              <w:jc w:val="center"/>
            </w:pPr>
            <w:r>
              <w:rPr>
                <w:b/>
                <w:bCs/>
                <w:sz w:val="16"/>
                <w:szCs w:val="16"/>
              </w:rPr>
              <w:t>6%</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6E8E3D9" w14:textId="77777777" w:rsidR="00A63D17" w:rsidRDefault="00000000" w:rsidP="005F7A22">
            <w:pPr>
              <w:spacing w:after="40"/>
              <w:ind w:left="106"/>
            </w:pPr>
            <w:r>
              <w:rPr>
                <w:sz w:val="16"/>
                <w:szCs w:val="16"/>
              </w:rPr>
              <w:t>5 = ROIC &gt;20%, above WACC by &gt;10pp</w:t>
            </w:r>
          </w:p>
          <w:p w14:paraId="6F79D6F1" w14:textId="77777777" w:rsidR="00A63D17" w:rsidRDefault="00000000" w:rsidP="005F7A22">
            <w:pPr>
              <w:spacing w:after="40"/>
              <w:ind w:left="106"/>
            </w:pPr>
            <w:r>
              <w:rPr>
                <w:sz w:val="16"/>
                <w:szCs w:val="16"/>
              </w:rPr>
              <w:t>4 = ROIC 15–20%, above WACC 5–10pp</w:t>
            </w:r>
          </w:p>
          <w:p w14:paraId="3037D6F5" w14:textId="77777777" w:rsidR="00A63D17" w:rsidRDefault="00000000" w:rsidP="005F7A22">
            <w:pPr>
              <w:spacing w:after="40"/>
              <w:ind w:left="106"/>
            </w:pPr>
            <w:r>
              <w:rPr>
                <w:sz w:val="16"/>
                <w:szCs w:val="16"/>
              </w:rPr>
              <w:t>3 = ROIC modestly above WACC</w:t>
            </w:r>
          </w:p>
          <w:p w14:paraId="693E5522" w14:textId="77777777" w:rsidR="00A63D17" w:rsidRDefault="00000000" w:rsidP="005F7A22">
            <w:pPr>
              <w:spacing w:after="40"/>
              <w:ind w:left="106"/>
            </w:pPr>
            <w:r>
              <w:rPr>
                <w:sz w:val="16"/>
                <w:szCs w:val="16"/>
              </w:rPr>
              <w:t>2 = ROIC below or converging to WACC</w:t>
            </w:r>
          </w:p>
          <w:p w14:paraId="1754FB48" w14:textId="77777777" w:rsidR="00A63D17" w:rsidRDefault="00000000" w:rsidP="005F7A22">
            <w:pPr>
              <w:spacing w:after="40"/>
              <w:ind w:left="106"/>
            </w:pPr>
            <w:r>
              <w:rPr>
                <w:sz w:val="16"/>
                <w:szCs w:val="16"/>
              </w:rPr>
              <w:t>1 = ROIC persistently below WACC</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38AB49" w14:textId="77777777" w:rsidR="00A63D17" w:rsidRDefault="00000000" w:rsidP="005F7A22">
            <w:pPr>
              <w:spacing w:after="40"/>
              <w:ind w:left="177"/>
            </w:pPr>
            <w:r>
              <w:rPr>
                <w:sz w:val="16"/>
                <w:szCs w:val="16"/>
              </w:rPr>
              <w:t>Asset-heavy: use ROCE.</w:t>
            </w:r>
          </w:p>
          <w:p w14:paraId="430FD6DA" w14:textId="77777777" w:rsidR="00A63D17" w:rsidRDefault="00000000" w:rsidP="005F7A22">
            <w:pPr>
              <w:spacing w:after="40"/>
              <w:ind w:left="177"/>
            </w:pPr>
            <w:r>
              <w:rPr>
                <w:sz w:val="16"/>
                <w:szCs w:val="16"/>
              </w:rPr>
              <w:t>Financials: use ROE vs. cost of equity.</w:t>
            </w:r>
          </w:p>
        </w:tc>
      </w:tr>
      <w:tr w:rsidR="00A63D17" w14:paraId="6707DEF1"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4F871D" w14:textId="77777777" w:rsidR="00A63D17" w:rsidRDefault="00000000" w:rsidP="005F7A22">
            <w:pPr>
              <w:jc w:val="center"/>
            </w:pPr>
            <w:r>
              <w:rPr>
                <w:b/>
                <w:bCs/>
                <w:sz w:val="16"/>
                <w:szCs w:val="16"/>
              </w:rPr>
              <w:t>Relative Strength vs. SPY (6–12 mo.)</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BFF4851" w14:textId="77777777" w:rsidR="00A63D17" w:rsidRDefault="00000000">
            <w:pPr>
              <w:jc w:val="center"/>
            </w:pPr>
            <w:r>
              <w:rPr>
                <w:b/>
                <w:bCs/>
                <w:sz w:val="16"/>
                <w:szCs w:val="16"/>
              </w:rPr>
              <w:t>3%</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860AAA" w14:textId="77777777" w:rsidR="00A63D17" w:rsidRDefault="00000000" w:rsidP="005F7A22">
            <w:pPr>
              <w:spacing w:after="40"/>
              <w:ind w:left="106"/>
            </w:pPr>
            <w:r>
              <w:rPr>
                <w:sz w:val="16"/>
                <w:szCs w:val="16"/>
              </w:rPr>
              <w:t>5 = Outperforming SPY by &gt;15%</w:t>
            </w:r>
          </w:p>
          <w:p w14:paraId="40540149" w14:textId="77777777" w:rsidR="00A63D17" w:rsidRDefault="00000000" w:rsidP="005F7A22">
            <w:pPr>
              <w:spacing w:after="40"/>
              <w:ind w:left="106"/>
            </w:pPr>
            <w:r>
              <w:rPr>
                <w:sz w:val="16"/>
                <w:szCs w:val="16"/>
              </w:rPr>
              <w:t>4 = Outperforming 5–15%</w:t>
            </w:r>
          </w:p>
          <w:p w14:paraId="71C22C14" w14:textId="77777777" w:rsidR="00A63D17" w:rsidRDefault="00000000" w:rsidP="005F7A22">
            <w:pPr>
              <w:spacing w:after="40"/>
              <w:ind w:left="106"/>
            </w:pPr>
            <w:r>
              <w:rPr>
                <w:sz w:val="16"/>
                <w:szCs w:val="16"/>
              </w:rPr>
              <w:t>3 = In line (±5%)</w:t>
            </w:r>
          </w:p>
          <w:p w14:paraId="4121DDF2" w14:textId="77777777" w:rsidR="00A63D17" w:rsidRDefault="00000000" w:rsidP="005F7A22">
            <w:pPr>
              <w:spacing w:after="40"/>
              <w:ind w:left="106"/>
            </w:pPr>
            <w:r>
              <w:rPr>
                <w:sz w:val="16"/>
                <w:szCs w:val="16"/>
              </w:rPr>
              <w:t>2 = Underperforming 5–15%</w:t>
            </w:r>
          </w:p>
          <w:p w14:paraId="4B4C6F4B" w14:textId="77777777" w:rsidR="00A63D17" w:rsidRDefault="00000000" w:rsidP="005F7A22">
            <w:pPr>
              <w:spacing w:after="40"/>
              <w:ind w:left="106"/>
            </w:pPr>
            <w:r>
              <w:rPr>
                <w:sz w:val="16"/>
                <w:szCs w:val="16"/>
              </w:rPr>
              <w:t>1 = Underperforming &gt;15%</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567D0B" w14:textId="77777777" w:rsidR="00A63D17" w:rsidRDefault="00000000" w:rsidP="005F7A22">
            <w:pPr>
              <w:spacing w:after="40"/>
              <w:ind w:left="177"/>
            </w:pPr>
            <w:r>
              <w:rPr>
                <w:sz w:val="16"/>
                <w:szCs w:val="16"/>
              </w:rPr>
              <w:t>During sector rotations, compare to sector ETF (e.g., XLE for energy) rather than SPY.</w:t>
            </w:r>
          </w:p>
        </w:tc>
      </w:tr>
      <w:tr w:rsidR="00A63D17" w14:paraId="41E70E7A"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400BC7C" w14:textId="77777777" w:rsidR="00A63D17" w:rsidRDefault="00000000" w:rsidP="005F7A22">
            <w:pPr>
              <w:jc w:val="center"/>
            </w:pPr>
            <w:r>
              <w:rPr>
                <w:b/>
                <w:bCs/>
                <w:sz w:val="16"/>
                <w:szCs w:val="16"/>
              </w:rPr>
              <w:t>Valuation Multiples (P/FCF, EV/EBITDA, PEG)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4BC155"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449D04" w14:textId="77777777" w:rsidR="00A63D17" w:rsidRDefault="00000000" w:rsidP="005F7A22">
            <w:pPr>
              <w:spacing w:after="40"/>
              <w:ind w:left="106"/>
            </w:pPr>
            <w:r>
              <w:rPr>
                <w:sz w:val="16"/>
                <w:szCs w:val="16"/>
              </w:rPr>
              <w:t>5 = PEG &lt;1.0 AND P/FCF below 5-yr avg</w:t>
            </w:r>
          </w:p>
          <w:p w14:paraId="174872B4" w14:textId="77777777" w:rsidR="00A63D17" w:rsidRDefault="00000000" w:rsidP="005F7A22">
            <w:pPr>
              <w:spacing w:after="40"/>
              <w:ind w:left="106"/>
            </w:pPr>
            <w:r>
              <w:rPr>
                <w:sz w:val="16"/>
                <w:szCs w:val="16"/>
              </w:rPr>
              <w:t>4 = Modest discount to history/peers</w:t>
            </w:r>
          </w:p>
          <w:p w14:paraId="51652B79" w14:textId="77777777" w:rsidR="00A63D17" w:rsidRDefault="00000000" w:rsidP="005F7A22">
            <w:pPr>
              <w:spacing w:after="40"/>
              <w:ind w:left="106"/>
            </w:pPr>
            <w:r>
              <w:rPr>
                <w:sz w:val="16"/>
                <w:szCs w:val="16"/>
              </w:rPr>
              <w:t>3 = In line with peers</w:t>
            </w:r>
          </w:p>
          <w:p w14:paraId="314190C2" w14:textId="77777777" w:rsidR="00A63D17" w:rsidRDefault="00000000" w:rsidP="005F7A22">
            <w:pPr>
              <w:spacing w:after="40"/>
              <w:ind w:left="106"/>
            </w:pPr>
            <w:r>
              <w:rPr>
                <w:sz w:val="16"/>
                <w:szCs w:val="16"/>
              </w:rPr>
              <w:t>2 = Premium with declining fundamentals</w:t>
            </w:r>
          </w:p>
          <w:p w14:paraId="3B5B271D" w14:textId="77777777" w:rsidR="00A63D17" w:rsidRDefault="00000000" w:rsidP="005F7A22">
            <w:pPr>
              <w:spacing w:after="40"/>
              <w:ind w:left="106"/>
            </w:pPr>
            <w:r>
              <w:rPr>
                <w:sz w:val="16"/>
                <w:szCs w:val="16"/>
              </w:rPr>
              <w:t>1 = Extreme multiple with deteriorating business</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F845B3" w14:textId="77777777" w:rsidR="00A63D17" w:rsidRDefault="00000000" w:rsidP="005F7A22">
            <w:pPr>
              <w:spacing w:after="40"/>
              <w:ind w:left="177"/>
            </w:pPr>
            <w:r>
              <w:rPr>
                <w:sz w:val="16"/>
                <w:szCs w:val="16"/>
              </w:rPr>
              <w:t>Use P/FCF as primary multiple; supplement with EV/EBITDA for capital-intensive sectors and PEG for growth names.</w:t>
            </w:r>
          </w:p>
          <w:p w14:paraId="7996A669" w14:textId="77777777" w:rsidR="00A63D17" w:rsidRDefault="00000000" w:rsidP="005F7A22">
            <w:pPr>
              <w:spacing w:after="40"/>
              <w:ind w:left="177"/>
            </w:pPr>
            <w:r>
              <w:rPr>
                <w:sz w:val="16"/>
                <w:szCs w:val="16"/>
              </w:rPr>
              <w:t>Compare against company's own 5-yr history and sector peers.</w:t>
            </w:r>
          </w:p>
          <w:p w14:paraId="237B07CD" w14:textId="77777777" w:rsidR="00A63D17" w:rsidRDefault="00000000" w:rsidP="005F7A22">
            <w:pPr>
              <w:spacing w:after="40"/>
              <w:ind w:left="177"/>
            </w:pPr>
            <w:r>
              <w:rPr>
                <w:sz w:val="16"/>
                <w:szCs w:val="16"/>
              </w:rPr>
              <w:t>A cheap multiple alone does not justify purchase — evaluate in context of FCF trend and ROIC.</w:t>
            </w:r>
          </w:p>
        </w:tc>
      </w:tr>
    </w:tbl>
    <w:p w14:paraId="58233157" w14:textId="77777777" w:rsidR="00A63D17" w:rsidRDefault="00000000" w:rsidP="00E34BC5">
      <w:pPr>
        <w:pStyle w:val="Heading2"/>
      </w:pPr>
      <w:bookmarkStart w:id="13" w:name="_Toc236826958"/>
      <w:r>
        <w:t>Tier 3 — Confirmatory Weight (5% of Decision)</w:t>
      </w:r>
      <w:bookmarkEnd w:id="13"/>
    </w:p>
    <w:p w14:paraId="5928BA55" w14:textId="77777777" w:rsidR="00A63D17" w:rsidRDefault="00000000">
      <w:pPr>
        <w:spacing w:after="120"/>
      </w:pPr>
      <w:r>
        <w:t>Tier 3 indicators help refine timing, valuation, and sentiment. They can improve or reduce confidence at the margin, but they shall not rescue a weak fundamental case.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6975"/>
      </w:tblGrid>
      <w:tr w:rsidR="00A63D17" w14:paraId="2BB9467A" w14:textId="77777777" w:rsidTr="005F7A22">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A814605"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C67D9F4" w14:textId="77777777" w:rsidR="00A63D17" w:rsidRDefault="00000000">
            <w:pPr>
              <w:jc w:val="center"/>
            </w:pPr>
            <w:r>
              <w:rPr>
                <w:b/>
                <w:bCs/>
                <w:color w:val="FFFFFF"/>
                <w:sz w:val="16"/>
                <w:szCs w:val="16"/>
              </w:rPr>
              <w:t>Wt</w:t>
            </w:r>
          </w:p>
        </w:tc>
        <w:tc>
          <w:tcPr>
            <w:tcW w:w="69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7211897" w14:textId="77777777" w:rsidR="00A63D17" w:rsidRDefault="00000000" w:rsidP="005F7A22">
            <w:pPr>
              <w:ind w:left="127"/>
              <w:jc w:val="center"/>
            </w:pPr>
            <w:r>
              <w:rPr>
                <w:b/>
                <w:bCs/>
                <w:color w:val="FFFFFF"/>
                <w:sz w:val="16"/>
                <w:szCs w:val="16"/>
              </w:rPr>
              <w:t>Scoring Rubric (1–5)</w:t>
            </w:r>
          </w:p>
        </w:tc>
      </w:tr>
      <w:tr w:rsidR="00A63D17" w14:paraId="465F13E7"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DD18631" w14:textId="77777777" w:rsidR="00A63D17" w:rsidRDefault="00000000" w:rsidP="005F7A22">
            <w:pPr>
              <w:jc w:val="center"/>
            </w:pPr>
            <w:r>
              <w:rPr>
                <w:b/>
                <w:bCs/>
                <w:sz w:val="16"/>
                <w:szCs w:val="16"/>
              </w:rPr>
              <w:t>Technical Trend Structure</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15F7C4"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7CEFEAE" w14:textId="77777777" w:rsidR="00A63D17" w:rsidRDefault="00000000" w:rsidP="005F7A22">
            <w:pPr>
              <w:spacing w:after="40"/>
              <w:ind w:left="127"/>
            </w:pPr>
            <w:r>
              <w:rPr>
                <w:sz w:val="16"/>
                <w:szCs w:val="16"/>
              </w:rPr>
              <w:t>5 = Price above 200-week MA, MACD positive, Supertrend bullish — all aligned</w:t>
            </w:r>
          </w:p>
          <w:p w14:paraId="0B0D494F" w14:textId="77777777" w:rsidR="00A63D17" w:rsidRDefault="00000000" w:rsidP="005F7A22">
            <w:pPr>
              <w:spacing w:after="40"/>
              <w:ind w:left="127"/>
            </w:pPr>
            <w:r>
              <w:rPr>
                <w:sz w:val="16"/>
                <w:szCs w:val="16"/>
              </w:rPr>
              <w:t>4 = Most signals aligned</w:t>
            </w:r>
          </w:p>
          <w:p w14:paraId="17C204FD" w14:textId="77777777" w:rsidR="00A63D17" w:rsidRDefault="00000000" w:rsidP="005F7A22">
            <w:pPr>
              <w:spacing w:after="40"/>
              <w:ind w:left="127"/>
            </w:pPr>
            <w:r>
              <w:rPr>
                <w:sz w:val="16"/>
                <w:szCs w:val="16"/>
              </w:rPr>
              <w:t>3 = Mixed</w:t>
            </w:r>
          </w:p>
          <w:p w14:paraId="0946149D" w14:textId="77777777" w:rsidR="00A63D17" w:rsidRDefault="00000000" w:rsidP="005F7A22">
            <w:pPr>
              <w:spacing w:after="40"/>
              <w:ind w:left="127"/>
            </w:pPr>
            <w:r>
              <w:rPr>
                <w:sz w:val="16"/>
                <w:szCs w:val="16"/>
              </w:rPr>
              <w:t>2 = Below 200-week MA or MACD negative</w:t>
            </w:r>
          </w:p>
          <w:p w14:paraId="60916F13" w14:textId="77777777" w:rsidR="00A63D17" w:rsidRDefault="00000000" w:rsidP="005F7A22">
            <w:pPr>
              <w:spacing w:after="40"/>
              <w:ind w:left="127"/>
            </w:pPr>
            <w:r>
              <w:rPr>
                <w:sz w:val="16"/>
                <w:szCs w:val="16"/>
              </w:rPr>
              <w:t>1 = All bearish (timing delay only — not a sell signal if fundamentals are intact)</w:t>
            </w:r>
          </w:p>
        </w:tc>
      </w:tr>
      <w:tr w:rsidR="00A63D17" w14:paraId="5A4958B5" w14:textId="77777777" w:rsidTr="005F7A22">
        <w:trPr>
          <w:trHeight w:val="1286"/>
        </w:trPr>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8B6341" w14:textId="77777777" w:rsidR="00A63D17" w:rsidRDefault="00000000" w:rsidP="005F7A22">
            <w:pPr>
              <w:jc w:val="center"/>
            </w:pPr>
            <w:r>
              <w:rPr>
                <w:b/>
                <w:bCs/>
                <w:sz w:val="16"/>
                <w:szCs w:val="16"/>
              </w:rPr>
              <w:t>Analyst Consensus &amp; Estimate Revisions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66B8264"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575FEA3" w14:textId="77777777" w:rsidR="00A63D17" w:rsidRDefault="00000000" w:rsidP="005F7A22">
            <w:pPr>
              <w:spacing w:after="40"/>
              <w:ind w:left="127"/>
            </w:pPr>
            <w:r>
              <w:rPr>
                <w:sz w:val="16"/>
                <w:szCs w:val="16"/>
              </w:rPr>
              <w:t>5 = Strong buy + upward revisions 90 days</w:t>
            </w:r>
          </w:p>
          <w:p w14:paraId="1AB6718F" w14:textId="77777777" w:rsidR="00A63D17" w:rsidRDefault="00000000" w:rsidP="005F7A22">
            <w:pPr>
              <w:spacing w:after="40"/>
              <w:ind w:left="127"/>
            </w:pPr>
            <w:r>
              <w:rPr>
                <w:sz w:val="16"/>
                <w:szCs w:val="16"/>
              </w:rPr>
              <w:t>4 = Buy, stable estimates</w:t>
            </w:r>
          </w:p>
          <w:p w14:paraId="642F3338" w14:textId="77777777" w:rsidR="00A63D17" w:rsidRDefault="00000000" w:rsidP="005F7A22">
            <w:pPr>
              <w:spacing w:after="40"/>
              <w:ind w:left="127"/>
            </w:pPr>
            <w:r>
              <w:rPr>
                <w:sz w:val="16"/>
                <w:szCs w:val="16"/>
              </w:rPr>
              <w:t>3 = Mixed</w:t>
            </w:r>
          </w:p>
          <w:p w14:paraId="01CCD4FF" w14:textId="77777777" w:rsidR="00A63D17" w:rsidRDefault="00000000" w:rsidP="005F7A22">
            <w:pPr>
              <w:spacing w:after="40"/>
              <w:ind w:left="127"/>
            </w:pPr>
            <w:r>
              <w:rPr>
                <w:sz w:val="16"/>
                <w:szCs w:val="16"/>
              </w:rPr>
              <w:t>2 = Hold/sell, downward revisions</w:t>
            </w:r>
          </w:p>
          <w:p w14:paraId="2A13F276" w14:textId="77777777" w:rsidR="00A63D17" w:rsidRDefault="00000000" w:rsidP="005F7A22">
            <w:pPr>
              <w:spacing w:after="40"/>
              <w:ind w:left="127"/>
            </w:pPr>
            <w:r>
              <w:rPr>
                <w:sz w:val="16"/>
                <w:szCs w:val="16"/>
              </w:rPr>
              <w:t>1 = Strong sell, multiple downgrades (sentiment check only)</w:t>
            </w:r>
          </w:p>
        </w:tc>
      </w:tr>
      <w:tr w:rsidR="00A63D17" w14:paraId="78D283CD"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ADCFF4E" w14:textId="77777777" w:rsidR="00A63D17" w:rsidRDefault="00000000" w:rsidP="005F7A22">
            <w:pPr>
              <w:jc w:val="center"/>
            </w:pPr>
            <w:r>
              <w:rPr>
                <w:b/>
                <w:bCs/>
                <w:sz w:val="16"/>
                <w:szCs w:val="16"/>
              </w:rPr>
              <w:t>Volume &amp; Accumulation Signals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3B2E3A" w14:textId="77777777" w:rsidR="00A63D17" w:rsidRDefault="00000000">
            <w:pPr>
              <w:jc w:val="center"/>
            </w:pPr>
            <w:r>
              <w:rPr>
                <w:b/>
                <w:bCs/>
                <w:sz w:val="16"/>
                <w:szCs w:val="16"/>
              </w:rPr>
              <w:t>1%</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692735" w14:textId="77777777" w:rsidR="00A63D17" w:rsidRDefault="00000000" w:rsidP="005F7A22">
            <w:pPr>
              <w:spacing w:after="40"/>
              <w:ind w:left="127"/>
            </w:pPr>
            <w:r>
              <w:rPr>
                <w:sz w:val="16"/>
                <w:szCs w:val="16"/>
              </w:rPr>
              <w:t>5 = Strong accumulation on high volume 3–6 months (A/D line rising)</w:t>
            </w:r>
          </w:p>
          <w:p w14:paraId="051208AE" w14:textId="77777777" w:rsidR="00A63D17" w:rsidRDefault="00000000" w:rsidP="005F7A22">
            <w:pPr>
              <w:spacing w:after="40"/>
              <w:ind w:left="127"/>
            </w:pPr>
            <w:r>
              <w:rPr>
                <w:sz w:val="16"/>
                <w:szCs w:val="16"/>
              </w:rPr>
              <w:t>4 = Mild accumulation</w:t>
            </w:r>
          </w:p>
          <w:p w14:paraId="1FE3A852" w14:textId="77777777" w:rsidR="00A63D17" w:rsidRDefault="00000000" w:rsidP="005F7A22">
            <w:pPr>
              <w:spacing w:after="40"/>
              <w:ind w:left="127"/>
            </w:pPr>
            <w:r>
              <w:rPr>
                <w:sz w:val="16"/>
                <w:szCs w:val="16"/>
              </w:rPr>
              <w:t>3 = Neutral</w:t>
            </w:r>
          </w:p>
          <w:p w14:paraId="7BBD1299" w14:textId="77777777" w:rsidR="00A63D17" w:rsidRDefault="00000000" w:rsidP="005F7A22">
            <w:pPr>
              <w:spacing w:after="40"/>
              <w:ind w:left="127"/>
            </w:pPr>
            <w:r>
              <w:rPr>
                <w:sz w:val="16"/>
                <w:szCs w:val="16"/>
              </w:rPr>
              <w:t>2 = Distribution</w:t>
            </w:r>
          </w:p>
          <w:p w14:paraId="1F7F7C5B" w14:textId="77777777" w:rsidR="00A63D17" w:rsidRDefault="00000000" w:rsidP="005F7A22">
            <w:pPr>
              <w:spacing w:after="40"/>
              <w:ind w:left="127"/>
            </w:pPr>
            <w:r>
              <w:rPr>
                <w:sz w:val="16"/>
                <w:szCs w:val="16"/>
              </w:rPr>
              <w:t>1 = Heavy distribution (confirms interest only; not predictive alone)</w:t>
            </w:r>
          </w:p>
        </w:tc>
      </w:tr>
    </w:tbl>
    <w:p w14:paraId="3F173A05" w14:textId="77777777" w:rsidR="005F7A22" w:rsidRPr="006D11E0" w:rsidRDefault="00066663" w:rsidP="006D11E0">
      <w:pPr>
        <w:spacing w:before="160" w:after="120"/>
      </w:pPr>
      <w:r>
        <w:rPr>
          <w:b/>
          <w:bCs/>
        </w:rPr>
        <w:t xml:space="preserve">Transition: </w:t>
      </w:r>
      <w:r>
        <w:rPr>
          <w:i/>
          <w:iCs/>
        </w:rPr>
        <w:t>Once every indicator is scored, Part 3 combines the weighted results into a single Composite Score and decision classification.</w:t>
      </w:r>
      <w:r>
        <w:br w:type="page"/>
      </w:r>
    </w:p>
    <w:p w14:paraId="7919B6E4" w14:textId="77777777" w:rsidR="00A63D17" w:rsidRDefault="00000000" w:rsidP="00E34BC5">
      <w:pPr>
        <w:pStyle w:val="Heading1"/>
      </w:pPr>
      <w:bookmarkStart w:id="14" w:name="_Toc236826959"/>
      <w:r>
        <w:lastRenderedPageBreak/>
        <w:t>PART 3 — COMPOSITE SCORE &amp; CONFIDENCE</w:t>
      </w:r>
      <w:bookmarkEnd w:id="14"/>
    </w:p>
    <w:p w14:paraId="6A8A4A4D" w14:textId="77777777" w:rsidR="00A63D17" w:rsidRDefault="00000000">
      <w:pPr>
        <w:spacing w:after="160"/>
      </w:pPr>
      <w:r>
        <w:rPr>
          <w:b/>
          <w:bCs/>
          <w:i/>
          <w:iCs/>
          <w:color w:val="2E5090"/>
        </w:rPr>
        <w:t xml:space="preserve">Purpose of this Part: </w:t>
      </w:r>
      <w:r>
        <w:rPr>
          <w:i/>
          <w:iCs/>
          <w:color w:val="404040"/>
        </w:rPr>
        <w:t>This Part converts indicator scores into a single Composite Score and a defined decision classification.</w:t>
      </w:r>
    </w:p>
    <w:p w14:paraId="56516761" w14:textId="77777777" w:rsidR="00A63D17" w:rsidRDefault="00000000">
      <w:pPr>
        <w:spacing w:after="120"/>
      </w:pPr>
      <w:r>
        <w:rPr>
          <w:b/>
          <w:bCs/>
        </w:rPr>
        <w:t>Composite Score = (Σ score × weight) × 20</w:t>
      </w:r>
    </w:p>
    <w:p w14:paraId="0BF7D44D" w14:textId="77777777" w:rsidR="00A63D17" w:rsidRDefault="00000000">
      <w:pPr>
        <w:spacing w:after="120"/>
      </w:pPr>
      <w:r>
        <w:t>Correct method: (1) multiply each indicator's raw score (1–5) by its individual weight; (2) sum all contributions; (3) multiply by 20. Do not average within tiers and apply tier percentages separately — that math is incorrect.</w:t>
      </w:r>
    </w:p>
    <w:p w14:paraId="3D983C34" w14:textId="77777777" w:rsidR="00A63D17" w:rsidRDefault="00000000" w:rsidP="005F7A22">
      <w:pPr>
        <w:spacing w:after="120"/>
        <w:ind w:left="360" w:hanging="360"/>
      </w:pPr>
      <w:r>
        <w:rPr>
          <w:u w:val="single"/>
        </w:rPr>
        <w:t>Example</w:t>
      </w:r>
      <w:r>
        <w:t>: [(FCF Yield×0.20)+(Rev Growth×0.15)+(Moat×0.15)+(Rev Visibility×0.10)+</w:t>
        <w:br/>
        <w:t>(FCF Margin×0.10)+(Mgmt×0.08)+(ROIC×0.06)+(Valuation×0.08)+</w:t>
        <w:br/>
        <w:t>(Rel Strength×0.03)+(Technical×0.02)+(Analyst×0.02)+(Volume×0.01)]×20</w:t>
      </w:r>
    </w:p>
    <w:p w14:paraId="144A7381" w14:textId="77777777" w:rsidR="00A63D17" w:rsidRDefault="00000000">
      <w:pPr>
        <w:spacing w:after="120"/>
      </w:pPr>
      <w:r>
        <w:t>After scoring all indicators, the thresholds below determine how the stock is classified as Strong Buy, Buy, Watch List, Avoid, or Pass, and what action follows for a new candidate versus an existing holding.</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3100"/>
        <w:gridCol w:w="3150"/>
      </w:tblGrid>
      <w:tr w:rsidR="00A63D17" w14:paraId="61F43188" w14:textId="77777777" w:rsidTr="00745EAC">
        <w:trPr>
          <w:tblHeade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73DE2D3" w14:textId="77777777" w:rsidR="00A63D17" w:rsidRDefault="00000000">
            <w:pPr>
              <w:jc w:val="center"/>
            </w:pPr>
            <w:r>
              <w:rPr>
                <w:b/>
                <w:bCs/>
                <w:color w:val="FFFFFF"/>
                <w:sz w:val="16"/>
                <w:szCs w:val="16"/>
              </w:rPr>
              <w:t>Score Range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C336CA6" w14:textId="77777777" w:rsidR="00A63D17" w:rsidRDefault="00000000">
            <w:pPr>
              <w:jc w:val="center"/>
            </w:pPr>
            <w:r>
              <w:rPr>
                <w:b/>
                <w:bCs/>
                <w:color w:val="FFFFFF"/>
                <w:sz w:val="16"/>
                <w:szCs w:val="16"/>
              </w:rPr>
              <w:t>Decision</w:t>
            </w:r>
          </w:p>
        </w:tc>
        <w:tc>
          <w:tcPr>
            <w:tcW w:w="31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BDC1EC2" w14:textId="77777777" w:rsidR="00A63D17" w:rsidRDefault="00000000">
            <w:pPr>
              <w:jc w:val="center"/>
            </w:pPr>
            <w:r>
              <w:rPr>
                <w:b/>
                <w:bCs/>
                <w:color w:val="FFFFFF"/>
                <w:sz w:val="16"/>
                <w:szCs w:val="16"/>
              </w:rPr>
              <w:t>New Candidate Action</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694B519" w14:textId="77777777" w:rsidR="00A63D17" w:rsidRDefault="00000000">
            <w:pPr>
              <w:jc w:val="center"/>
            </w:pPr>
            <w:r>
              <w:rPr>
                <w:b/>
                <w:bCs/>
                <w:color w:val="FFFFFF"/>
                <w:sz w:val="16"/>
                <w:szCs w:val="16"/>
              </w:rPr>
              <w:t>Existing Holding Action</w:t>
            </w:r>
          </w:p>
        </w:tc>
      </w:tr>
      <w:tr w:rsidR="00A63D17" w14:paraId="19B5A5EC"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701D2A1C" w14:textId="77777777" w:rsidR="00A63D17" w:rsidRDefault="00000000">
            <w:pPr>
              <w:jc w:val="center"/>
            </w:pPr>
            <w:r>
              <w:rPr>
                <w:b/>
                <w:bCs/>
                <w:sz w:val="16"/>
                <w:szCs w:val="16"/>
              </w:rPr>
              <w:t>80–100</w:t>
            </w:r>
          </w:p>
        </w:tc>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29E5701B" w14:textId="77777777" w:rsidR="00A63D17" w:rsidRDefault="00000000">
            <w:pPr>
              <w:jc w:val="center"/>
            </w:pPr>
            <w:r>
              <w:rPr>
                <w:b/>
                <w:bCs/>
                <w:sz w:val="16"/>
                <w:szCs w:val="16"/>
              </w:rPr>
              <w:t>STRONG BUY</w:t>
            </w:r>
          </w:p>
        </w:tc>
        <w:tc>
          <w:tcPr>
            <w:tcW w:w="31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620A7FEB"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47DA387B" w14:textId="77777777" w:rsidR="00A63D17" w:rsidRDefault="00000000">
            <w:r>
              <w:rPr>
                <w:sz w:val="16"/>
                <w:szCs w:val="16"/>
              </w:rPr>
              <w:t>Core Hold / Add, subject to sizing and entry rules</w:t>
            </w:r>
          </w:p>
        </w:tc>
      </w:tr>
      <w:tr w:rsidR="00A63D17" w14:paraId="0A3AE154"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68AAFD0A" w14:textId="77777777" w:rsidR="00A63D17" w:rsidRDefault="00000000">
            <w:pPr>
              <w:jc w:val="center"/>
            </w:pPr>
            <w:r>
              <w:rPr>
                <w:b/>
                <w:bCs/>
                <w:sz w:val="16"/>
                <w:szCs w:val="16"/>
              </w:rPr>
              <w:t>65–79</w:t>
            </w:r>
          </w:p>
        </w:tc>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02BA4C37" w14:textId="77777777" w:rsidR="00A63D17" w:rsidRDefault="00000000">
            <w:pPr>
              <w:jc w:val="center"/>
            </w:pPr>
            <w:r>
              <w:rPr>
                <w:b/>
                <w:bCs/>
                <w:sz w:val="16"/>
                <w:szCs w:val="16"/>
              </w:rPr>
              <w:t>BUY</w:t>
            </w:r>
          </w:p>
        </w:tc>
        <w:tc>
          <w:tcPr>
            <w:tcW w:w="31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400A9CD1"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722ED8AA" w14:textId="77777777" w:rsidR="00A63D17" w:rsidRDefault="00000000">
            <w:r>
              <w:rPr>
                <w:sz w:val="16"/>
                <w:szCs w:val="16"/>
              </w:rPr>
              <w:t>Hold; trim only if above Buy maximum or another rule requires action</w:t>
            </w:r>
          </w:p>
        </w:tc>
      </w:tr>
      <w:tr w:rsidR="00A63D17" w14:paraId="48C56FE3"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0FE318D4" w14:textId="77777777" w:rsidR="00A63D17" w:rsidRDefault="00000000">
            <w:pPr>
              <w:jc w:val="center"/>
            </w:pPr>
            <w:r>
              <w:rPr>
                <w:b/>
                <w:bCs/>
                <w:sz w:val="16"/>
                <w:szCs w:val="16"/>
              </w:rPr>
              <w:t>50–64</w:t>
            </w:r>
          </w:p>
        </w:tc>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163C312B" w14:textId="77777777" w:rsidR="00A63D17" w:rsidRDefault="00000000">
            <w:pPr>
              <w:jc w:val="center"/>
            </w:pPr>
            <w:r>
              <w:rPr>
                <w:b/>
                <w:bCs/>
                <w:sz w:val="16"/>
                <w:szCs w:val="16"/>
              </w:rPr>
              <w:t>WATCH LIST</w:t>
            </w:r>
          </w:p>
        </w:tc>
        <w:tc>
          <w:tcPr>
            <w:tcW w:w="31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1E370249" w14:textId="77777777" w:rsidR="00A63D17" w:rsidRDefault="00000000">
            <w:r>
              <w:rPr>
                <w:sz w:val="16"/>
                <w:szCs w:val="16"/>
              </w:rPr>
              <w:t>No new capital; monitor for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3F5F5ED2" w14:textId="77777777" w:rsidR="00A63D17" w:rsidRDefault="00000000">
            <w:r>
              <w:rPr>
                <w:sz w:val="16"/>
                <w:szCs w:val="16"/>
              </w:rPr>
              <w:t>Probationary Hold; no additions; 90-day review plan</w:t>
            </w:r>
          </w:p>
        </w:tc>
      </w:tr>
      <w:tr w:rsidR="00A63D17" w14:paraId="2BE1A7D9"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596229E2" w14:textId="77777777" w:rsidR="00A63D17" w:rsidRDefault="00000000">
            <w:pPr>
              <w:jc w:val="center"/>
            </w:pPr>
            <w:r>
              <w:rPr>
                <w:b/>
                <w:bCs/>
                <w:sz w:val="16"/>
                <w:szCs w:val="16"/>
              </w:rPr>
              <w:t>35–49</w:t>
            </w:r>
          </w:p>
        </w:tc>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25EDBBD0" w14:textId="77777777" w:rsidR="00A63D17" w:rsidRDefault="00000000">
            <w:pPr>
              <w:jc w:val="center"/>
            </w:pPr>
            <w:r>
              <w:rPr>
                <w:b/>
                <w:bCs/>
                <w:sz w:val="16"/>
                <w:szCs w:val="16"/>
              </w:rPr>
              <w:t>AVOID</w:t>
            </w:r>
          </w:p>
        </w:tc>
        <w:tc>
          <w:tcPr>
            <w:tcW w:w="31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2C4AE5F1" w14:textId="77777777" w:rsidR="00A63D17" w:rsidRDefault="00000000">
            <w:r>
              <w:rPr>
                <w:sz w:val="16"/>
                <w:szCs w:val="16"/>
              </w:rPr>
              <w:t>Do not initiate; revisit only after material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50641E0D" w14:textId="77777777" w:rsidR="00A63D17" w:rsidRDefault="00000000">
            <w:r>
              <w:rPr>
                <w:sz w:val="16"/>
                <w:szCs w:val="16"/>
              </w:rPr>
              <w:t>Exit Review; sell within 30 days unless a dated 90-day remediation plan is approved</w:t>
            </w:r>
          </w:p>
        </w:tc>
      </w:tr>
      <w:tr w:rsidR="00A63D17" w14:paraId="3930A4B2"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0AF1027B" w14:textId="77777777" w:rsidR="00A63D17" w:rsidRDefault="00000000">
            <w:pPr>
              <w:jc w:val="center"/>
            </w:pPr>
            <w:r>
              <w:rPr>
                <w:b/>
                <w:bCs/>
                <w:sz w:val="16"/>
                <w:szCs w:val="16"/>
              </w:rPr>
              <w:t>&lt;35</w:t>
            </w:r>
          </w:p>
        </w:tc>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5AF8E992" w14:textId="77777777" w:rsidR="00A63D17" w:rsidRDefault="00000000">
            <w:pPr>
              <w:jc w:val="center"/>
            </w:pPr>
            <w:r>
              <w:rPr>
                <w:b/>
                <w:bCs/>
                <w:sz w:val="16"/>
                <w:szCs w:val="16"/>
              </w:rPr>
              <w:t>PASS</w:t>
            </w:r>
          </w:p>
        </w:tc>
        <w:tc>
          <w:tcPr>
            <w:tcW w:w="31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1A256B6B" w14:textId="77777777" w:rsidR="00A63D17" w:rsidRDefault="00000000">
            <w:r>
              <w:rPr>
                <w:sz w:val="16"/>
                <w:szCs w:val="16"/>
              </w:rPr>
              <w:t>Remove from active coverage</w:t>
            </w:r>
          </w:p>
        </w:tc>
        <w:tc>
          <w:tcPr>
            <w:tcW w:w="315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2896B87F" w14:textId="77777777" w:rsidR="00A63D17" w:rsidRDefault="00000000">
            <w:r>
              <w:rPr>
                <w:sz w:val="16"/>
                <w:szCs w:val="16"/>
              </w:rPr>
              <w:t>Mandatory Sell within 30 days</w:t>
            </w:r>
          </w:p>
        </w:tc>
      </w:tr>
    </w:tbl>
    <w:p w14:paraId="1A2B2239" w14:textId="77777777" w:rsidR="00A63D17" w:rsidRDefault="00000000" w:rsidP="00E34BC5">
      <w:pPr>
        <w:pStyle w:val="Heading2"/>
      </w:pPr>
      <w:bookmarkStart w:id="15" w:name="_Toc236826960"/>
      <w:r>
        <w:t>Confidence Tagging</w:t>
      </w:r>
      <w:bookmarkEnd w:id="15"/>
    </w:p>
    <w:p w14:paraId="03CCAB38" w14:textId="77777777" w:rsidR="00A63D17" w:rsidRDefault="00000000">
      <w:pPr>
        <w:spacing w:after="120"/>
      </w:pPr>
      <w:r>
        <w:t xml:space="preserve">Alongside each Tier 1, Tier 2, and Tier 3 indicator score, record a confidence level — </w:t>
      </w:r>
      <w:r>
        <w:rPr>
          <w:b/>
          <w:bCs/>
        </w:rPr>
        <w:t xml:space="preserve">High, Medium, </w:t>
      </w:r>
      <w:r>
        <w:t xml:space="preserve">or </w:t>
      </w:r>
      <w:r>
        <w:rPr>
          <w:b/>
          <w:bCs/>
        </w:rPr>
        <w:t>Low</w:t>
      </w:r>
      <w:r>
        <w:t>.</w:t>
      </w:r>
    </w:p>
    <w:p w14:paraId="5DD133E5" w14:textId="77777777" w:rsidR="00A63D17" w:rsidRDefault="00000000" w:rsidP="00745EAC">
      <w:pPr>
        <w:pStyle w:val="ListParagraph"/>
        <w:numPr>
          <w:ilvl w:val="0"/>
          <w:numId w:val="3"/>
        </w:numPr>
      </w:pPr>
      <w:r>
        <w:rPr>
          <w:b/>
          <w:bCs/>
        </w:rPr>
        <w:t xml:space="preserve">High </w:t>
      </w:r>
      <w:r>
        <w:t>— supported by multiple corroborating sources, a consistent multi-period trend, and the business model maps cleanly onto the indicator's stated criteria.</w:t>
      </w:r>
    </w:p>
    <w:p w14:paraId="3DC0CD01" w14:textId="77777777" w:rsidR="00A63D17" w:rsidRDefault="00000000" w:rsidP="00745EAC">
      <w:pPr>
        <w:pStyle w:val="ListParagraph"/>
        <w:numPr>
          <w:ilvl w:val="0"/>
          <w:numId w:val="3"/>
        </w:numPr>
      </w:pPr>
      <w:r>
        <w:rPr>
          <w:b/>
          <w:bCs/>
        </w:rPr>
        <w:t xml:space="preserve">Medium </w:t>
      </w:r>
      <w:r>
        <w:t>— relies on a single reliable source, the trend is mixed or short-lived, or minor sector-adaptation judgment was required.</w:t>
      </w:r>
    </w:p>
    <w:p w14:paraId="28858006" w14:textId="77777777" w:rsidR="00A63D17" w:rsidRDefault="00000000" w:rsidP="00745EAC">
      <w:pPr>
        <w:pStyle w:val="ListParagraph"/>
        <w:numPr>
          <w:ilvl w:val="0"/>
          <w:numId w:val="3"/>
        </w:numPr>
      </w:pPr>
      <w:r>
        <w:rPr>
          <w:b/>
          <w:bCs/>
        </w:rPr>
        <w:t xml:space="preserve">Low </w:t>
      </w:r>
      <w:r>
        <w:t>— required significant sector-adaptation judgment (e.g., substituting ROE for FCF Yield in financials), data sources materially disagreed, or the business model does not map cleanly onto the indicator at all (e.g., FCF-based metrics for insurers or broker-dealers).</w:t>
      </w:r>
    </w:p>
    <w:p w14:paraId="248D25CC" w14:textId="77777777" w:rsidR="00A63D17" w:rsidRDefault="00000000" w:rsidP="00992909">
      <w:pPr>
        <w:pStyle w:val="Heading2"/>
        <w:pBdr>
          <w:top w:val="single" w:sz="4" w:space="1" w:color="auto"/>
          <w:left w:val="single" w:sz="4" w:space="1" w:color="auto"/>
          <w:bottom w:val="single" w:sz="4" w:space="1" w:color="auto"/>
          <w:right w:val="single" w:sz="4" w:space="1" w:color="auto"/>
        </w:pBdr>
      </w:pPr>
      <w:bookmarkStart w:id="16" w:name="_Toc236826961"/>
      <w:r>
        <w:t>Hard Rules: Composite Score &amp; Confidence</w:t>
      </w:r>
      <w:bookmarkEnd w:id="16"/>
    </w:p>
    <w:p w14:paraId="55EFBEC0"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 stock with a </w:t>
      </w:r>
      <w:r>
        <w:rPr>
          <w:b/>
          <w:bCs/>
        </w:rPr>
        <w:t>Tier 1</w:t>
      </w:r>
      <w:r>
        <w:t xml:space="preserve"> weighted average </w:t>
      </w:r>
      <w:r>
        <w:rPr>
          <w:u w:val="single"/>
        </w:rPr>
        <w:t>below 3.0</w:t>
      </w:r>
      <w:r>
        <w:t xml:space="preserve"> shall not qualify as </w:t>
      </w:r>
      <w:r>
        <w:rPr>
          <w:b/>
          <w:bCs/>
        </w:rPr>
        <w:t xml:space="preserve">Buy </w:t>
      </w:r>
      <w:r>
        <w:t xml:space="preserve">or </w:t>
      </w:r>
      <w:r>
        <w:rPr>
          <w:b/>
          <w:bCs/>
        </w:rPr>
        <w:t>Strong Buy</w:t>
      </w:r>
      <w:r>
        <w:t xml:space="preserve">. </w:t>
        <w:br/>
        <w:t>[</w:t>
      </w:r>
      <w:r>
        <w:rPr>
          <w:b/>
          <w:bCs/>
        </w:rPr>
        <w:t>Tier 1</w:t>
      </w:r>
      <w:r>
        <w:t xml:space="preserve"> weighted average = (Σ Tier 1 score × weight) ÷ 0.70. A floor of 3.0 is equivalent to a </w:t>
      </w:r>
      <w:r>
        <w:rPr>
          <w:b/>
          <w:bCs/>
        </w:rPr>
        <w:t>Tier 1</w:t>
      </w:r>
      <w:r>
        <w:t xml:space="preserve"> raw weighted contribution of ≥2.10.]</w:t>
      </w:r>
    </w:p>
    <w:p w14:paraId="6975BC11"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Any </w:t>
      </w:r>
      <w:r>
        <w:rPr>
          <w:b/>
          <w:bCs/>
        </w:rPr>
        <w:t>Tier 1</w:t>
      </w:r>
      <w:r>
        <w:t xml:space="preserve"> indicator </w:t>
      </w:r>
      <w:r>
        <w:rPr>
          <w:u w:val="single"/>
        </w:rPr>
        <w:t>scored at 1</w:t>
      </w:r>
      <w:r>
        <w:t xml:space="preserve"> requires a mandatory </w:t>
      </w:r>
      <w:r>
        <w:rPr>
          <w:b/>
          <w:bCs/>
        </w:rPr>
        <w:t>qualitative review</w:t>
      </w:r>
      <w:r>
        <w:t xml:space="preserve"> before any decision.</w:t>
      </w:r>
    </w:p>
    <w:p w14:paraId="64BCBCBA"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Two or more </w:t>
      </w:r>
      <w:r>
        <w:rPr>
          <w:b/>
          <w:bCs/>
        </w:rPr>
        <w:t>Tier 1</w:t>
      </w:r>
      <w:r>
        <w:t xml:space="preserve"> indicators </w:t>
      </w:r>
      <w:r>
        <w:rPr>
          <w:u w:val="single"/>
        </w:rPr>
        <w:t xml:space="preserve">scored at 2.0 </w:t>
      </w:r>
      <w:r>
        <w:t xml:space="preserve">or below shall automatically classify the stock as </w:t>
      </w:r>
      <w:r>
        <w:rPr>
          <w:b/>
          <w:bCs/>
        </w:rPr>
        <w:t>Avoid</w:t>
      </w:r>
      <w:r>
        <w:t>.</w:t>
      </w:r>
    </w:p>
    <w:p w14:paraId="37A122A2"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 </w:t>
      </w:r>
      <w:r>
        <w:rPr>
          <w:b/>
          <w:bCs/>
        </w:rPr>
        <w:t>Composite Score</w:t>
      </w:r>
      <w:r>
        <w:t xml:space="preserve"> shall not support a </w:t>
      </w:r>
      <w:r>
        <w:rPr>
          <w:b/>
          <w:bCs/>
        </w:rPr>
        <w:t>Strong Buy</w:t>
      </w:r>
      <w:r>
        <w:t xml:space="preserve"> classification if two or more </w:t>
      </w:r>
      <w:r>
        <w:rPr>
          <w:b/>
          <w:bCs/>
        </w:rPr>
        <w:t>Tier 1</w:t>
      </w:r>
      <w:r>
        <w:t xml:space="preserve"> indicators are tagged </w:t>
      </w:r>
      <w:r>
        <w:rPr>
          <w:b/>
          <w:bCs/>
        </w:rPr>
        <w:t>Low Confidence</w:t>
      </w:r>
      <w:r>
        <w:t xml:space="preserve"> — cap the classification at </w:t>
      </w:r>
      <w:r>
        <w:rPr>
          <w:b/>
          <w:bCs/>
        </w:rPr>
        <w:t>Buy</w:t>
      </w:r>
      <w:r>
        <w:t xml:space="preserve"> until re-scored with better data.</w:t>
      </w:r>
    </w:p>
    <w:p w14:paraId="51A00001"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Any </w:t>
      </w:r>
      <w:r>
        <w:rPr>
          <w:b/>
          <w:bCs/>
        </w:rPr>
        <w:t>Relative Strength vs. SPY</w:t>
      </w:r>
      <w:r>
        <w:t xml:space="preserve"> or </w:t>
      </w:r>
      <w:r>
        <w:rPr>
          <w:b/>
          <w:bCs/>
        </w:rPr>
        <w:t>Technical Trend</w:t>
      </w:r>
      <w:r>
        <w:t xml:space="preserve"> indicator </w:t>
      </w:r>
      <w:r>
        <w:rPr>
          <w:u w:val="single"/>
        </w:rPr>
        <w:t>scored at 1</w:t>
      </w:r>
      <w:r>
        <w:t xml:space="preserve"> — at initial scoring or any later re-score — requires a mandatory </w:t>
      </w:r>
      <w:r>
        <w:rPr>
          <w:b/>
          <w:bCs/>
        </w:rPr>
        <w:t>qualitative review</w:t>
      </w:r>
      <w:r>
        <w:t xml:space="preserve"> before any </w:t>
      </w:r>
      <w:r>
        <w:rPr>
          <w:b/>
          <w:bCs/>
        </w:rPr>
        <w:t>Buy</w:t>
      </w:r>
      <w:r>
        <w:t xml:space="preserve"> or </w:t>
      </w:r>
      <w:r>
        <w:rPr>
          <w:b/>
          <w:bCs/>
        </w:rPr>
        <w:t>Strong Buy</w:t>
      </w:r>
      <w:r>
        <w:t xml:space="preserve"> classification is relied upon, whether for a new entry or a position already held.</w:t>
      </w:r>
    </w:p>
    <w:p w14:paraId="51A00002" w14:textId="77777777" w:rsidR="00A63D17" w:rsidRDefault="00A63D17">
      <w:pPr>
        <w:spacing w:after="120"/>
      </w:pPr>
      <w:r>
        <w:rPr>
          <w:u w:val="single"/>
        </w:rPr>
        <w:t>Rule Clarification</w:t>
      </w:r>
      <w:r>
        <w:t xml:space="preserve">: This is a qualitative-evidence requirement, not an automatic reclassification — </w:t>
      </w:r>
      <w:r>
        <w:rPr>
          <w:b/>
          <w:bCs/>
        </w:rPr>
        <w:t>technical weakness alone shall not override a qualifying fundamental case</w:t>
      </w:r>
      <w:r>
        <w:t xml:space="preserve">, consistent with Part 4’s entry-staging rule. The review must weigh current chart context and sentiment — not </w:t>
      </w:r>
      <w:r>
        <w:rPr>
          <w:b/>
          <w:bCs/>
        </w:rPr>
        <w:t>Tier 1</w:t>
      </w:r>
      <w:r>
        <w:t xml:space="preserve"> fundamentals alone — and its conclusion (reaffirmed, resized, or referred to Part 6’s Sell Triggers / Watch List process) shall be documented in the Journal at the time of review.</w:t>
      </w:r>
    </w:p>
    <w:p w14:paraId="3BBA6C61" w14:textId="77777777" w:rsidR="005B72F2" w:rsidRDefault="005B72F2" w:rsidP="00066663">
      <w:pPr>
        <w:spacing w:before="160" w:after="120"/>
        <w:rPr>
          <w:b/>
          <w:bCs/>
        </w:rPr>
      </w:pPr>
    </w:p>
    <w:p w14:paraId="79DCA2AC" w14:textId="77777777" w:rsidR="00066663" w:rsidRDefault="00066663" w:rsidP="00066663">
      <w:pPr>
        <w:spacing w:before="160" w:after="120"/>
      </w:pPr>
      <w:r>
        <w:rPr>
          <w:b/>
          <w:bCs/>
        </w:rPr>
        <w:t xml:space="preserve">Transition: </w:t>
      </w:r>
      <w:r>
        <w:rPr>
          <w:i/>
          <w:iCs/>
        </w:rPr>
        <w:t xml:space="preserve">A qualifying </w:t>
      </w:r>
      <w:r>
        <w:rPr>
          <w:b/>
          <w:bCs/>
          <w:i/>
          <w:iCs/>
        </w:rPr>
        <w:t>Composite Score</w:t>
      </w:r>
      <w:r>
        <w:rPr>
          <w:i/>
          <w:iCs/>
        </w:rPr>
        <w:t xml:space="preserve"> does not itself authorize a purchase; </w:t>
      </w:r>
      <w:r>
        <w:rPr>
          <w:b/>
          <w:bCs/>
          <w:i/>
          <w:iCs/>
        </w:rPr>
        <w:t>Part 4</w:t>
      </w:r>
      <w:r>
        <w:rPr>
          <w:i/>
          <w:iCs/>
        </w:rPr>
        <w:t xml:space="preserve"> applies the timing and risk controls that govern actual entry.</w:t>
      </w:r>
    </w:p>
    <w:p w14:paraId="20598DBB" w14:textId="77777777" w:rsidR="00066663" w:rsidRDefault="00066663"/>
    <w:p w14:paraId="269F1255" w14:textId="77777777" w:rsidR="00745EAC" w:rsidRDefault="00745EAC">
      <w:pPr>
        <w:rPr>
          <w:b/>
          <w:bCs/>
          <w:color w:val="1F3864"/>
          <w:sz w:val="28"/>
          <w:szCs w:val="28"/>
        </w:rPr>
      </w:pPr>
      <w:r>
        <w:br w:type="page"/>
      </w:r>
    </w:p>
    <w:p w14:paraId="3F8F00B9" w14:textId="77777777" w:rsidR="00A63D17" w:rsidRDefault="00000000" w:rsidP="00E34BC5">
      <w:pPr>
        <w:pStyle w:val="Heading1"/>
      </w:pPr>
      <w:bookmarkStart w:id="17" w:name="_Toc236826962"/>
      <w:r>
        <w:lastRenderedPageBreak/>
        <w:t>PART 4 — ENTRY RULES</w:t>
      </w:r>
      <w:bookmarkEnd w:id="17"/>
    </w:p>
    <w:p w14:paraId="6C1B9BBC" w14:textId="77777777" w:rsidR="00A63D17" w:rsidRDefault="00000000" w:rsidP="005B72F2">
      <w:pPr>
        <w:spacing w:after="0"/>
      </w:pPr>
      <w:r>
        <w:rPr>
          <w:b/>
          <w:bCs/>
          <w:i/>
          <w:iCs/>
          <w:color w:val="2E5090"/>
        </w:rPr>
        <w:t xml:space="preserve">Purpose of this Part: </w:t>
      </w:r>
      <w:r>
        <w:rPr>
          <w:i/>
          <w:iCs/>
          <w:color w:val="404040"/>
        </w:rPr>
        <w:t>This Part applies timing, valuation, and risk controls so capital is deployed only when business quality, valuation, and market structure are aligned.</w:t>
      </w:r>
    </w:p>
    <w:p w14:paraId="7A327607" w14:textId="77777777" w:rsidR="00A63D17" w:rsidRDefault="00000000" w:rsidP="00A30B7C">
      <w:pPr>
        <w:spacing w:after="120"/>
      </w:pPr>
      <w:r>
        <w:t xml:space="preserve">A </w:t>
      </w:r>
      <w:r>
        <w:rPr>
          <w:b/>
          <w:bCs/>
        </w:rPr>
        <w:t>Buy</w:t>
      </w:r>
      <w:r>
        <w:t xml:space="preserve"> or </w:t>
      </w:r>
      <w:r>
        <w:rPr>
          <w:b/>
          <w:bCs/>
        </w:rPr>
        <w:t>Strong Buy</w:t>
      </w:r>
      <w:r>
        <w:t xml:space="preserve"> classification does not automatically create an entry. This section applies timing and risk controls so capital is deployed only when business quality, valuation, and market structure are aligned.</w:t>
      </w:r>
    </w:p>
    <w:p w14:paraId="7CE6D89C" w14:textId="77777777" w:rsidR="00A63D17" w:rsidRDefault="00000000" w:rsidP="00A30B7C">
      <w:pPr>
        <w:pStyle w:val="Heading2"/>
        <w:spacing w:before="120" w:after="0"/>
      </w:pPr>
      <w:bookmarkStart w:id="18" w:name="_Toc236826963"/>
      <w:r>
        <w:t>Cyclical Business Adjustment</w:t>
      </w:r>
      <w:bookmarkEnd w:id="18"/>
    </w:p>
    <w:p w14:paraId="3F10D26E" w14:textId="77777777" w:rsidR="00A63D17" w:rsidRDefault="00000000">
      <w:pPr>
        <w:spacing w:after="120"/>
      </w:pPr>
      <w:r>
        <w:t xml:space="preserve">For cyclical businesses in energy, materials, and industrials, the </w:t>
      </w:r>
      <w:r>
        <w:rPr>
          <w:b/>
          <w:bCs/>
        </w:rPr>
        <w:t>Tier 1</w:t>
      </w:r>
      <w:r>
        <w:t xml:space="preserve"> floor of 3.0 shall be evaluated on normalized mid-cycle metrics, not trough figures. A high-quality cyclical at the bottom of its cycle will frequently fail the FCF Yield and Revenue Growth rubrics based on current figures alone — which is precisely when long-term entry opportunity is highest.</w:t>
      </w:r>
    </w:p>
    <w:p w14:paraId="0365A63F" w14:textId="77777777" w:rsidR="00A63D17" w:rsidRDefault="00000000">
      <w:pPr>
        <w:spacing w:after="120"/>
      </w:pPr>
      <w:r>
        <w:rPr>
          <w:u w:val="single"/>
        </w:rPr>
        <w:t>Rule Clarification</w:t>
      </w:r>
      <w:r>
        <w:t xml:space="preserve">: If FCF yield or revenue growth is temporarily depressed due to a documented commodity or demand cycle, analysis may substitute a 5-year average or mid-cycle estimate for trough-year figures, with explicit written documentation of the cycle rationale. The substituted estimate must be conservative (below the historical mid-cycle average, not above it) and reviewed at the next quarterly re-score. </w:t>
        <w:br/>
        <w:t xml:space="preserve">This adjustment applies to </w:t>
      </w:r>
      <w:r>
        <w:rPr>
          <w:b/>
          <w:bCs/>
        </w:rPr>
        <w:t>Tier 1</w:t>
      </w:r>
      <w:r>
        <w:t xml:space="preserve"> scoring only and does not relax the Hard Rules elsewhere in this Operating System.</w:t>
      </w:r>
    </w:p>
    <w:p w14:paraId="6DA78205" w14:textId="77777777" w:rsidR="00A63D17" w:rsidRDefault="00000000" w:rsidP="000013F9">
      <w:pPr>
        <w:pStyle w:val="Heading2"/>
        <w:pBdr>
          <w:top w:val="single" w:sz="4" w:space="1" w:color="auto"/>
          <w:left w:val="single" w:sz="4" w:space="1" w:color="auto"/>
          <w:bottom w:val="single" w:sz="4" w:space="1" w:color="auto"/>
          <w:right w:val="single" w:sz="4" w:space="1" w:color="auto"/>
        </w:pBdr>
      </w:pPr>
      <w:bookmarkStart w:id="19" w:name="_Toc236826964"/>
      <w:r>
        <w:t>Hard Rules: Entry Checklist</w:t>
      </w:r>
      <w:bookmarkEnd w:id="19"/>
    </w:p>
    <w:p w14:paraId="4E33F06D"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Pr>
          <w:b/>
          <w:bCs/>
        </w:rPr>
        <w:t xml:space="preserve">Composite Score </w:t>
      </w:r>
      <w:r>
        <w:t xml:space="preserve">shall be </w:t>
      </w:r>
      <w:r>
        <w:rPr>
          <w:u w:val="single"/>
        </w:rPr>
        <w:t>65 or higher</w:t>
      </w:r>
      <w:r>
        <w:t>.</w:t>
      </w:r>
    </w:p>
    <w:p w14:paraId="399B741E"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Pr>
          <w:b/>
          <w:bCs/>
        </w:rPr>
        <w:t xml:space="preserve">Tier 1 </w:t>
      </w:r>
      <w:r>
        <w:t xml:space="preserve">weighted average shall be </w:t>
      </w:r>
      <w:r>
        <w:rPr>
          <w:u w:val="single"/>
        </w:rPr>
        <w:t>3.0 or higher</w:t>
      </w:r>
      <w:r>
        <w:t>.</w:t>
      </w:r>
    </w:p>
    <w:p w14:paraId="1BC279AB"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No </w:t>
      </w:r>
      <w:r>
        <w:rPr>
          <w:b/>
          <w:bCs/>
        </w:rPr>
        <w:t>Tier 1</w:t>
      </w:r>
      <w:r>
        <w:t xml:space="preserve"> indicator shall be </w:t>
      </w:r>
      <w:r>
        <w:rPr>
          <w:u w:val="single"/>
        </w:rPr>
        <w:t>scored at 1</w:t>
      </w:r>
      <w:r>
        <w:t>.</w:t>
      </w:r>
    </w:p>
    <w:p w14:paraId="0EC255A3"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Pr>
          <w:b/>
          <w:bCs/>
        </w:rPr>
        <w:t>Technical trend</w:t>
      </w:r>
      <w:r>
        <w:t xml:space="preserve"> determines </w:t>
      </w:r>
      <w:r>
        <w:rPr>
          <w:b/>
          <w:bCs/>
        </w:rPr>
        <w:t>entry staging</w:t>
      </w:r>
      <w:r>
        <w:t xml:space="preserve"> – not fundamental eligibility: </w:t>
        <w:br/>
        <w:t xml:space="preserve">If price is above the 200-week moving average or has reclaimed it within the past 6 months, </w:t>
      </w:r>
      <w:r>
        <w:rPr>
          <w:b/>
          <w:bCs/>
        </w:rPr>
        <w:t>standard initial sizing</w:t>
      </w:r>
      <w:r>
        <w:t xml:space="preserve"> is permitted; otherwise, </w:t>
        <w:br/>
      </w:r>
      <w:r>
        <w:rPr>
          <w:u w:val="single"/>
        </w:rPr>
        <w:t>Limit the first purchase to 50%</w:t>
      </w:r>
      <w:r>
        <w:t xml:space="preserve"> of the normal initial size and </w:t>
      </w:r>
      <w:r>
        <w:rPr>
          <w:u w:val="single"/>
        </w:rPr>
        <w:t>require a 90-day technical review</w:t>
      </w:r>
      <w:r>
        <w:t>.</w:t>
      </w:r>
    </w:p>
    <w:p w14:paraId="505C10C0"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If monthly </w:t>
      </w:r>
      <w:r>
        <w:rPr>
          <w:b/>
          <w:bCs/>
        </w:rPr>
        <w:t>MACD</w:t>
      </w:r>
      <w:r>
        <w:t xml:space="preserve"> is </w:t>
      </w:r>
      <w:r>
        <w:rPr>
          <w:u w:val="single"/>
        </w:rPr>
        <w:t>positive</w:t>
      </w:r>
      <w:r>
        <w:t xml:space="preserve"> or turning positive, standard staging applies. </w:t>
        <w:br/>
        <w:t xml:space="preserve">If </w:t>
      </w:r>
      <w:r>
        <w:rPr>
          <w:u w:val="single"/>
        </w:rPr>
        <w:t>negative</w:t>
      </w:r>
      <w:r>
        <w:t xml:space="preserve">, the position may still be initiated only at the </w:t>
      </w:r>
      <w:r>
        <w:rPr>
          <w:u w:val="single"/>
        </w:rPr>
        <w:t>reduced size</w:t>
      </w:r>
      <w:r>
        <w:t xml:space="preserve"> allowed by the preceding rule.</w:t>
        <w:br/>
        <w:t xml:space="preserve">Technical weakness alone </w:t>
      </w:r>
      <w:r>
        <w:rPr>
          <w:u w:val="single"/>
        </w:rPr>
        <w:t>shall not override</w:t>
      </w:r>
      <w:r>
        <w:t xml:space="preserve"> a qualifying fundamental case.</w:t>
      </w:r>
    </w:p>
    <w:p w14:paraId="76FB7AFA"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No near-term </w:t>
      </w:r>
      <w:r>
        <w:rPr>
          <w:b/>
          <w:bCs/>
        </w:rPr>
        <w:t>binary event risk</w:t>
      </w:r>
      <w:r>
        <w:t xml:space="preserve"> shall be present unless the thesis explicitly includes it.</w:t>
      </w:r>
    </w:p>
    <w:p w14:paraId="28A9B1DF"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At entry, calculate the implied 5-year annualized total return under a documented </w:t>
      </w:r>
      <w:r>
        <w:rPr>
          <w:b/>
          <w:bCs/>
        </w:rPr>
        <w:t>Bear Case</w:t>
      </w:r>
      <w:r>
        <w:t xml:space="preserve"> using the </w:t>
      </w:r>
      <w:r>
        <w:rPr>
          <w:b/>
          <w:bCs/>
        </w:rPr>
        <w:t>Standardized Implied-Return Methodology</w:t>
      </w:r>
      <w:r>
        <w:t xml:space="preserve"> above. </w:t>
        <w:br/>
        <w:t xml:space="preserve">For </w:t>
      </w:r>
      <w:r>
        <w:rPr>
          <w:b/>
          <w:bCs/>
        </w:rPr>
        <w:t>non-cyclicals</w:t>
      </w:r>
      <w:r>
        <w:t xml:space="preserve">, reduce the </w:t>
      </w:r>
      <w:r>
        <w:rPr>
          <w:b/>
          <w:bCs/>
        </w:rPr>
        <w:t>Base Case FCF</w:t>
      </w:r>
      <w:r>
        <w:t xml:space="preserve"> growth assumption by at least 50% and apply a conservative terminal multiple.</w:t>
        <w:br/>
        <w:t xml:space="preserve">For </w:t>
      </w:r>
      <w:r>
        <w:rPr>
          <w:b/>
          <w:bCs/>
        </w:rPr>
        <w:t>cyclicals</w:t>
      </w:r>
      <w:r>
        <w:t xml:space="preserve">, use a documented trough-cycle assumption. </w:t>
        <w:br/>
        <w:t xml:space="preserve">The </w:t>
      </w:r>
      <w:r>
        <w:rPr>
          <w:b/>
          <w:bCs/>
        </w:rPr>
        <w:t>Bear Case</w:t>
      </w:r>
      <w:r>
        <w:t xml:space="preserve"> return must be 0% or higher. If negative, do not enter regardless of </w:t>
      </w:r>
      <w:r>
        <w:rPr>
          <w:b/>
          <w:bCs/>
        </w:rPr>
        <w:t>Composite Score</w:t>
      </w:r>
      <w:r>
        <w:t>.</w:t>
      </w:r>
    </w:p>
    <w:p w14:paraId="111984D1"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At </w:t>
      </w:r>
      <w:r>
        <w:rPr>
          <w:b/>
          <w:bCs/>
        </w:rPr>
        <w:t xml:space="preserve">entry </w:t>
      </w:r>
      <w:r>
        <w:t xml:space="preserve">and at each </w:t>
      </w:r>
      <w:r>
        <w:rPr>
          <w:b/>
          <w:bCs/>
        </w:rPr>
        <w:t>annual</w:t>
      </w:r>
      <w:r>
        <w:t xml:space="preserve"> re-score, document the </w:t>
      </w:r>
      <w:r>
        <w:rPr>
          <w:b/>
          <w:bCs/>
        </w:rPr>
        <w:t xml:space="preserve">Bull, Base, </w:t>
      </w:r>
      <w:r>
        <w:t>and</w:t>
      </w:r>
      <w:r>
        <w:rPr>
          <w:b/>
          <w:bCs/>
        </w:rPr>
        <w:t xml:space="preserve"> Bear</w:t>
      </w:r>
      <w:r>
        <w:t xml:space="preserve"> scenarios described above, each with its own implied 5-year return and a </w:t>
      </w:r>
      <w:r>
        <w:rPr>
          <w:b/>
          <w:bCs/>
        </w:rPr>
        <w:t>Likely/Possible/Unlikely</w:t>
      </w:r>
      <w:r>
        <w:t xml:space="preserve"> tag. </w:t>
        <w:br/>
        <w:t xml:space="preserve">Exactly </w:t>
      </w:r>
      <w:r>
        <w:rPr>
          <w:u w:val="single"/>
        </w:rPr>
        <w:t>one scenario</w:t>
      </w:r>
      <w:r>
        <w:t xml:space="preserve"> may be tagged </w:t>
      </w:r>
      <w:r>
        <w:rPr>
          <w:b/>
          <w:bCs/>
        </w:rPr>
        <w:t>Likely</w:t>
      </w:r>
      <w:r>
        <w:t xml:space="preserve">. </w:t>
        <w:br/>
        <w:t>Do not assign numeric probabilities to these tags.</w:t>
      </w:r>
    </w:p>
    <w:p w14:paraId="1B09005F"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Do not initiate a new </w:t>
      </w:r>
      <w:r>
        <w:rPr>
          <w:b/>
          <w:bCs/>
        </w:rPr>
        <w:t>nonfinancial operating-company position</w:t>
      </w:r>
      <w:r>
        <w:t xml:space="preserve"> when </w:t>
      </w:r>
      <w:r>
        <w:rPr>
          <w:b/>
          <w:bCs/>
        </w:rPr>
        <w:t>P/FCF</w:t>
      </w:r>
      <w:r>
        <w:t xml:space="preserve"> </w:t>
      </w:r>
      <w:r>
        <w:rPr>
          <w:u w:val="single"/>
        </w:rPr>
        <w:t>exceeds 50x</w:t>
      </w:r>
      <w:r>
        <w:t xml:space="preserve"> unless both: </w:t>
        <w:br/>
        <w:t xml:space="preserve">(a) documented consensus </w:t>
      </w:r>
      <w:r>
        <w:rPr>
          <w:b/>
          <w:bCs/>
        </w:rPr>
        <w:t>FCF</w:t>
      </w:r>
      <w:r>
        <w:t xml:space="preserve"> growth </w:t>
      </w:r>
      <w:r>
        <w:rPr>
          <w:u w:val="single"/>
        </w:rPr>
        <w:t>exceeds 30% annualized</w:t>
      </w:r>
      <w:r>
        <w:t xml:space="preserve"> for at least the next two years; and </w:t>
        <w:br/>
        <w:t xml:space="preserve">(b) the </w:t>
      </w:r>
      <w:r>
        <w:rPr>
          <w:b/>
          <w:bCs/>
        </w:rPr>
        <w:t xml:space="preserve">Bear Case </w:t>
      </w:r>
      <w:r>
        <w:t xml:space="preserve">above </w:t>
      </w:r>
      <w:r>
        <w:rPr>
          <w:u w:val="single"/>
        </w:rPr>
        <w:t>clears the ≥0% implied-return threshold</w:t>
      </w:r>
      <w:r>
        <w:t xml:space="preserve">. </w:t>
        <w:br/>
        <w:t xml:space="preserve">Apply the </w:t>
      </w:r>
      <w:r>
        <w:rPr>
          <w:b/>
          <w:bCs/>
        </w:rPr>
        <w:t>Part 10 sector-specific valuation</w:t>
      </w:r>
      <w:r>
        <w:t xml:space="preserve"> substitute where </w:t>
      </w:r>
      <w:r>
        <w:rPr>
          <w:b/>
          <w:bCs/>
        </w:rPr>
        <w:t>P/FCF</w:t>
      </w:r>
      <w:r>
        <w:t xml:space="preserve"> is not economically meaningful.</w:t>
      </w:r>
    </w:p>
    <w:p w14:paraId="43600A10" w14:textId="77777777" w:rsidR="00A63D17" w:rsidRDefault="00000000" w:rsidP="005B72F2">
      <w:pPr>
        <w:spacing w:after="0"/>
        <w:ind w:left="540" w:right="-162" w:hanging="540"/>
      </w:pPr>
      <w:r>
        <w:rPr>
          <w:u w:val="single"/>
        </w:rPr>
        <w:t>NOTE</w:t>
      </w:r>
      <w:r>
        <w:t xml:space="preserve">: Before entry, calculate the implied 5-year annualized total return using </w:t>
      </w:r>
      <w:r>
        <w:rPr>
          <w:b/>
          <w:bCs/>
        </w:rPr>
        <w:t>Standardized Implied-Return Methodology</w:t>
      </w:r>
      <w:r>
        <w:t xml:space="preserve"> below. </w:t>
        <w:br/>
      </w:r>
      <w:r>
        <w:rPr>
          <w:b/>
          <w:bCs/>
        </w:rPr>
        <w:t>Base Case</w:t>
      </w:r>
      <w:r>
        <w:t xml:space="preserve"> must exceed 10%; </w:t>
        <w:br/>
      </w:r>
      <w:r>
        <w:rPr>
          <w:b/>
          <w:bCs/>
        </w:rPr>
        <w:t>Bear Case</w:t>
      </w:r>
      <w:r>
        <w:t xml:space="preserve"> must be 0% or higher. </w:t>
        <w:br/>
        <w:t xml:space="preserve">If either requirement fails, </w:t>
      </w:r>
      <w:r>
        <w:rPr>
          <w:u w:val="single"/>
        </w:rPr>
        <w:t>do not enter</w:t>
      </w:r>
      <w:r>
        <w:t xml:space="preserve"> regardless of indicator scores.</w:t>
      </w:r>
    </w:p>
    <w:p w14:paraId="566EE193" w14:textId="77777777" w:rsidR="00A63D17" w:rsidRDefault="00000000" w:rsidP="00A30B7C">
      <w:pPr>
        <w:pStyle w:val="Heading2"/>
        <w:spacing w:before="240" w:after="0"/>
      </w:pPr>
      <w:bookmarkStart w:id="20" w:name="_Toc236826965"/>
      <w:r>
        <w:t>Standardized Implied-Return Methodology</w:t>
      </w:r>
      <w:bookmarkEnd w:id="20"/>
    </w:p>
    <w:p w14:paraId="76D0B577" w14:textId="77777777" w:rsidR="00AD5195" w:rsidRDefault="00000000" w:rsidP="000013F9">
      <w:pPr>
        <w:spacing w:after="120"/>
      </w:pPr>
      <w:r>
        <w:t xml:space="preserve">For each scenario, calculate </w:t>
      </w:r>
      <w:r>
        <w:rPr>
          <w:b/>
          <w:bCs/>
        </w:rPr>
        <w:t>Expected annualized total return</w:t>
      </w:r>
      <w:r>
        <w:t xml:space="preserve"> = [(Estimated Year-5 equity value + cumulative cash distributions) ÷ current equity value]^(1/5) − 1. </w:t>
      </w:r>
    </w:p>
    <w:p w14:paraId="3FCE9A1B" w14:textId="77777777" w:rsidR="00AD5195" w:rsidRDefault="00000000" w:rsidP="000013F9">
      <w:pPr>
        <w:spacing w:after="120"/>
      </w:pPr>
      <w:r>
        <w:t xml:space="preserve">Use </w:t>
      </w:r>
      <w:r>
        <w:rPr>
          <w:b/>
          <w:bCs/>
        </w:rPr>
        <w:t>per-share values</w:t>
      </w:r>
      <w:r>
        <w:t xml:space="preserve"> where possible and </w:t>
      </w:r>
      <w:r>
        <w:rPr>
          <w:u w:val="single"/>
        </w:rPr>
        <w:t>explicitly model share dilution or repurchases</w:t>
      </w:r>
      <w:r>
        <w:t xml:space="preserve">. </w:t>
      </w:r>
    </w:p>
    <w:p w14:paraId="73FACBA8" w14:textId="77777777" w:rsidR="00745EAC" w:rsidRDefault="00000000" w:rsidP="000013F9">
      <w:pPr>
        <w:spacing w:after="120"/>
      </w:pPr>
      <w:r>
        <w:t xml:space="preserve">Estimate </w:t>
      </w:r>
      <w:r>
        <w:rPr>
          <w:b/>
          <w:bCs/>
        </w:rPr>
        <w:t>Year-5 equity value</w:t>
      </w:r>
      <w:r>
        <w:t xml:space="preserve"> from Year-5 normalized </w:t>
      </w:r>
      <w:r>
        <w:rPr>
          <w:b/>
          <w:bCs/>
        </w:rPr>
        <w:t xml:space="preserve">FCF </w:t>
      </w:r>
      <w:r>
        <w:t xml:space="preserve">multiplied by a justified terminal </w:t>
      </w:r>
      <w:r>
        <w:rPr>
          <w:b/>
          <w:bCs/>
        </w:rPr>
        <w:t>P/FCF</w:t>
      </w:r>
      <w:r>
        <w:t xml:space="preserve"> multiple.</w:t>
        <w:br/>
        <w:t xml:space="preserve">The terminal multiple </w:t>
      </w:r>
      <w:r>
        <w:rPr>
          <w:b/>
          <w:bCs/>
        </w:rPr>
        <w:t>may not exceed</w:t>
      </w:r>
      <w:r>
        <w:t xml:space="preserve"> the </w:t>
      </w:r>
      <w:r>
        <w:rPr>
          <w:u w:val="single"/>
        </w:rPr>
        <w:t>lower of the current multiple</w:t>
      </w:r>
      <w:r>
        <w:t xml:space="preserve"> or the company's </w:t>
      </w:r>
      <w:r>
        <w:rPr>
          <w:u w:val="single"/>
        </w:rPr>
        <w:t>normalized 5-year median</w:t>
      </w:r>
      <w:r>
        <w:t xml:space="preserve"> unless a </w:t>
        <w:lastRenderedPageBreak/>
        <w:t>written structural-change case is approved. State the valuation date, data sources, current net debt, treatment of stock-based compensation, acquisition effects, currency, and all nonrecurring adjustments.</w:t>
      </w:r>
    </w:p>
    <w:p w14:paraId="7763E1AA" w14:textId="77777777" w:rsidR="00A63D17" w:rsidRDefault="00000000" w:rsidP="00A30B7C">
      <w:pPr>
        <w:pStyle w:val="Heading2"/>
        <w:spacing w:after="0"/>
      </w:pPr>
      <w:bookmarkStart w:id="21" w:name="_Toc236826966"/>
      <w:r>
        <w:t>Bear-Case Implied Return Test</w:t>
      </w:r>
      <w:bookmarkEnd w:id="21"/>
    </w:p>
    <w:p w14:paraId="4DD53DB4" w14:textId="77777777" w:rsidR="00A63D17" w:rsidRDefault="00000000" w:rsidP="00CA4563">
      <w:pPr>
        <w:spacing w:after="120"/>
      </w:pPr>
      <w:r>
        <w:t xml:space="preserve">The base-case test above measures return quality but not capital-preservation margin. </w:t>
        <w:br/>
        <w:t>This rule adds a downside-scenario floor.</w:t>
      </w:r>
    </w:p>
    <w:p w14:paraId="08AD017A" w14:textId="77777777" w:rsidR="00A63D17" w:rsidRPr="00CA4563" w:rsidRDefault="00000000" w:rsidP="00CA4563">
      <w:pPr>
        <w:spacing w:after="100"/>
        <w:ind w:left="360"/>
      </w:pPr>
      <w:r>
        <w:t xml:space="preserve">At entry, calculate the implied 5-year annualized total return under a documented </w:t>
      </w:r>
      <w:r>
        <w:rPr>
          <w:b/>
          <w:bCs/>
        </w:rPr>
        <w:t>Bear Case</w:t>
      </w:r>
      <w:r>
        <w:t xml:space="preserve"> using the </w:t>
      </w:r>
      <w:r>
        <w:rPr>
          <w:b/>
          <w:bCs/>
        </w:rPr>
        <w:t>Standardized Implied-Return Methodology</w:t>
      </w:r>
      <w:r>
        <w:t xml:space="preserve"> above. For non-cyclicals, reduce the </w:t>
      </w:r>
      <w:r>
        <w:rPr>
          <w:b/>
          <w:bCs/>
        </w:rPr>
        <w:t>Base Case FCF growth assumption</w:t>
      </w:r>
      <w:r>
        <w:t xml:space="preserve"> by at least 50% and apply a conservative terminal multiple; for cyclicals, use a documented trough-cycle assumption. The </w:t>
      </w:r>
      <w:r>
        <w:rPr>
          <w:b/>
          <w:bCs/>
        </w:rPr>
        <w:t>Bear Case return</w:t>
      </w:r>
      <w:r>
        <w:t xml:space="preserve"> must be 0% or higher. If negative, do not enter regardless of </w:t>
      </w:r>
      <w:r>
        <w:rPr>
          <w:b/>
          <w:bCs/>
        </w:rPr>
        <w:t>Composite Score</w:t>
      </w:r>
      <w:r>
        <w:t>.</w:t>
      </w:r>
    </w:p>
    <w:p w14:paraId="701E6C0D" w14:textId="77777777" w:rsidR="00A63D17" w:rsidRDefault="00000000" w:rsidP="00A30B7C">
      <w:pPr>
        <w:pStyle w:val="Heading2"/>
      </w:pPr>
      <w:bookmarkStart w:id="22" w:name="_Toc236826967"/>
      <w:r>
        <w:t>Scenario Range (Bull / Base / Bear)</w:t>
      </w:r>
      <w:bookmarkEnd w:id="22"/>
    </w:p>
    <w:p w14:paraId="5A241A8B" w14:textId="77777777" w:rsidR="00A63D17" w:rsidRDefault="00000000" w:rsidP="00CA4563">
      <w:pPr>
        <w:spacing w:after="120"/>
      </w:pPr>
      <w:r>
        <w:t xml:space="preserve">Document </w:t>
      </w:r>
      <w:r>
        <w:rPr>
          <w:b/>
          <w:bCs/>
        </w:rPr>
        <w:t xml:space="preserve">Bull, Base, </w:t>
      </w:r>
      <w:r>
        <w:t xml:space="preserve">and </w:t>
      </w:r>
      <w:r>
        <w:rPr>
          <w:b/>
          <w:bCs/>
        </w:rPr>
        <w:t>Bear</w:t>
      </w:r>
      <w:r>
        <w:t xml:space="preserve"> cases together </w:t>
      </w:r>
      <w:r>
        <w:rPr>
          <w:u w:val="single"/>
        </w:rPr>
        <w:t>before entry</w:t>
      </w:r>
      <w:r>
        <w:t xml:space="preserve"> and at each </w:t>
      </w:r>
      <w:r>
        <w:rPr>
          <w:u w:val="single"/>
        </w:rPr>
        <w:t>annual re-score</w:t>
      </w:r>
      <w:r>
        <w:t xml:space="preserve">. Never present the </w:t>
      </w:r>
      <w:r>
        <w:rPr>
          <w:b/>
          <w:bCs/>
        </w:rPr>
        <w:t>Base Case</w:t>
      </w:r>
      <w:r>
        <w:t xml:space="preserve"> in isolation.</w:t>
      </w:r>
    </w:p>
    <w:p w14:paraId="361B2F06" w14:textId="77777777" w:rsidR="00A63D17" w:rsidRDefault="00000000" w:rsidP="00CA4563">
      <w:pPr>
        <w:pStyle w:val="ListParagraph"/>
        <w:numPr>
          <w:ilvl w:val="0"/>
          <w:numId w:val="5"/>
        </w:numPr>
        <w:ind w:left="540" w:hanging="180"/>
      </w:pPr>
      <w:r>
        <w:rPr>
          <w:b/>
          <w:bCs/>
        </w:rPr>
        <w:t xml:space="preserve">Base case </w:t>
      </w:r>
      <w:r>
        <w:t>— the projection already required above (&gt;10% implied return threshold).</w:t>
      </w:r>
    </w:p>
    <w:p w14:paraId="4BE7BB91" w14:textId="77777777" w:rsidR="00745EAC" w:rsidRDefault="00000000" w:rsidP="00CA4563">
      <w:pPr>
        <w:pStyle w:val="ListParagraph"/>
        <w:numPr>
          <w:ilvl w:val="0"/>
          <w:numId w:val="5"/>
        </w:numPr>
        <w:ind w:left="540" w:hanging="180"/>
      </w:pPr>
      <w:r>
        <w:rPr>
          <w:b/>
          <w:bCs/>
        </w:rPr>
        <w:t xml:space="preserve">Bear case </w:t>
      </w:r>
      <w:r>
        <w:t>— the projection already required above, using materially reduced FCF growth or a documented downside catalyst.</w:t>
      </w:r>
    </w:p>
    <w:p w14:paraId="141380F8" w14:textId="77777777" w:rsidR="00A63D17" w:rsidRDefault="00000000" w:rsidP="00CA4563">
      <w:pPr>
        <w:pStyle w:val="ListParagraph"/>
        <w:numPr>
          <w:ilvl w:val="0"/>
          <w:numId w:val="5"/>
        </w:numPr>
        <w:ind w:left="540" w:hanging="180"/>
      </w:pPr>
      <w:r>
        <w:rPr>
          <w:b/>
          <w:bCs/>
        </w:rPr>
        <w:t xml:space="preserve">Bull case </w:t>
      </w:r>
      <w:r>
        <w:t>— a documented upside scenario (e.g., faster-than-guided margin expansion, multiple re-rating, TAM upside), with its own implied 5-year return.</w:t>
      </w:r>
    </w:p>
    <w:p w14:paraId="4B477506" w14:textId="77777777" w:rsidR="00A63D17" w:rsidRDefault="00000000" w:rsidP="00CA4563">
      <w:pPr>
        <w:spacing w:after="120"/>
      </w:pPr>
      <w:r>
        <w:t xml:space="preserve">Tag each scenario's likelihood as </w:t>
      </w:r>
      <w:r>
        <w:rPr>
          <w:b/>
          <w:bCs/>
        </w:rPr>
        <w:t xml:space="preserve">Likely, Possible, </w:t>
      </w:r>
      <w:r>
        <w:t>or</w:t>
      </w:r>
      <w:r>
        <w:rPr>
          <w:b/>
          <w:bCs/>
        </w:rPr>
        <w:t xml:space="preserve"> Unlikely</w:t>
      </w:r>
      <w:r>
        <w:t xml:space="preserve">, reflecting judgment rather than a claim of statistical precision. Do not assign numeric probabilities to these tags — the underlying judgments (moat durability, management execution, growth persistence) do not support that level of precision, and a percentage invites false confidence rather than better calibration. Exactly one scenario is tagged Likely, and it shall agree with whichever projection is used as the </w:t>
      </w:r>
      <w:r>
        <w:rPr>
          <w:b/>
          <w:bCs/>
        </w:rPr>
        <w:t>Base Case</w:t>
      </w:r>
      <w:r>
        <w:t xml:space="preserve"> above.</w:t>
      </w:r>
    </w:p>
    <w:p w14:paraId="0F61333C" w14:textId="77777777" w:rsidR="00A63D17" w:rsidRPr="00CA4563" w:rsidRDefault="00000000" w:rsidP="00CA4563">
      <w:pPr>
        <w:spacing w:after="100"/>
        <w:ind w:left="360"/>
      </w:pPr>
      <w:r>
        <w:t xml:space="preserve">At entry and at each annual re-score, document the </w:t>
      </w:r>
      <w:r>
        <w:rPr>
          <w:b/>
          <w:bCs/>
        </w:rPr>
        <w:t xml:space="preserve">Bull, Base, </w:t>
      </w:r>
      <w:r>
        <w:t xml:space="preserve">and </w:t>
      </w:r>
      <w:r>
        <w:rPr>
          <w:b/>
          <w:bCs/>
        </w:rPr>
        <w:t>Bear scenarios</w:t>
      </w:r>
      <w:r>
        <w:t xml:space="preserve"> described above, each with its own implied 5-year return and a </w:t>
      </w:r>
      <w:r>
        <w:rPr>
          <w:b/>
          <w:bCs/>
        </w:rPr>
        <w:t>Likely/Possible/Unlikely</w:t>
      </w:r>
      <w:r>
        <w:t xml:space="preserve"> tag. Exactly one scenario may be tagged Likely. Do not assign numeric probabilities to these tags.</w:t>
      </w:r>
    </w:p>
    <w:p w14:paraId="1EF74649" w14:textId="77777777" w:rsidR="00A63D17" w:rsidRDefault="00000000" w:rsidP="00CA4563">
      <w:pPr>
        <w:pStyle w:val="Heading2"/>
      </w:pPr>
      <w:bookmarkStart w:id="23" w:name="_Toc236826968"/>
      <w:r>
        <w:t>Valuation Ceiling ("Too Expensive to Buy")</w:t>
      </w:r>
      <w:bookmarkEnd w:id="23"/>
    </w:p>
    <w:p w14:paraId="0F502EEC" w14:textId="77777777" w:rsidR="00A63D17" w:rsidRDefault="00000000" w:rsidP="00CA4563">
      <w:pPr>
        <w:spacing w:after="120"/>
      </w:pPr>
      <w:r>
        <w:t>The Valuation Multiples indicator (Tier 2) and the implied-return tests above penalize expensive entries through the Composite Score, but a sufficiently strong Tier 1/Tier 2 quality profile can still produce a qualifying score at an extreme multiple. This rule sets a hard ceiling that no combination of other scores can override.</w:t>
      </w:r>
    </w:p>
    <w:p w14:paraId="1224C364" w14:textId="77777777" w:rsidR="00A63D17" w:rsidRPr="00CA4563" w:rsidRDefault="00000000" w:rsidP="00CA4563">
      <w:pPr>
        <w:pStyle w:val="ListParagraph"/>
        <w:spacing w:after="100"/>
        <w:ind w:left="360"/>
      </w:pPr>
      <w:r>
        <w:t>Do not initiate a new nonfinancial operating-company position when P/FCF exceeds 50x unless both: (a) documented consensus FCF growth exceeds 30% annualized for at least the next two years; and (b) the Bear Case above clears the ≥0% implied-return threshold. Apply the Part 10 sector-specific valuation substitute where P/FCF is not economically meaningful.</w:t>
      </w:r>
    </w:p>
    <w:p w14:paraId="27689AE3" w14:textId="77777777" w:rsidR="00066663" w:rsidRDefault="00066663"/>
    <w:p w14:paraId="730ABBD8" w14:textId="77777777" w:rsidR="00066663" w:rsidRDefault="00066663" w:rsidP="00066663">
      <w:pPr>
        <w:spacing w:before="160" w:after="120"/>
      </w:pPr>
      <w:r>
        <w:rPr>
          <w:b/>
          <w:bCs/>
        </w:rPr>
        <w:t xml:space="preserve">Transition: </w:t>
      </w:r>
      <w:r>
        <w:rPr>
          <w:i/>
          <w:iCs/>
        </w:rPr>
        <w:t xml:space="preserve">Once entry is authorized, </w:t>
      </w:r>
      <w:r>
        <w:rPr>
          <w:b/>
          <w:bCs/>
          <w:i/>
          <w:iCs/>
        </w:rPr>
        <w:t>Part 5</w:t>
      </w:r>
      <w:r>
        <w:rPr>
          <w:i/>
          <w:iCs/>
        </w:rPr>
        <w:t xml:space="preserve"> governs how much capital is committed.</w:t>
      </w:r>
    </w:p>
    <w:p w14:paraId="7DD5554F" w14:textId="77777777" w:rsidR="00066663" w:rsidRDefault="00066663"/>
    <w:p w14:paraId="7C36C409" w14:textId="77777777" w:rsidR="00745EAC" w:rsidRDefault="00745EAC">
      <w:pPr>
        <w:rPr>
          <w:b/>
          <w:bCs/>
          <w:color w:val="1F3864"/>
          <w:sz w:val="28"/>
          <w:szCs w:val="28"/>
        </w:rPr>
      </w:pPr>
      <w:r>
        <w:br w:type="page"/>
      </w:r>
    </w:p>
    <w:p w14:paraId="5C0B95B6" w14:textId="77777777" w:rsidR="00A63D17" w:rsidRDefault="00000000" w:rsidP="00E34BC5">
      <w:pPr>
        <w:pStyle w:val="Heading1"/>
      </w:pPr>
      <w:bookmarkStart w:id="24" w:name="_Toc236826969"/>
      <w:r>
        <w:lastRenderedPageBreak/>
        <w:t>PART 5 — POSITION SIZING</w:t>
      </w:r>
      <w:bookmarkEnd w:id="24"/>
    </w:p>
    <w:p w14:paraId="437B5E7A" w14:textId="77777777" w:rsidR="00A63D17" w:rsidRDefault="00000000">
      <w:pPr>
        <w:spacing w:after="160"/>
      </w:pPr>
      <w:r>
        <w:rPr>
          <w:b/>
          <w:bCs/>
          <w:i/>
          <w:iCs/>
          <w:color w:val="2E5090"/>
        </w:rPr>
        <w:t xml:space="preserve">Purpose of this Part: </w:t>
      </w:r>
      <w:r>
        <w:rPr>
          <w:i/>
          <w:iCs/>
          <w:color w:val="404040"/>
        </w:rPr>
        <w:t>This Part converts conviction into position size and sets the hard caps that limit the damage of any single mistake.</w:t>
      </w:r>
    </w:p>
    <w:p w14:paraId="6EE455B8" w14:textId="77777777" w:rsidR="00A63D17" w:rsidRDefault="00000000">
      <w:pPr>
        <w:spacing w:after="120"/>
      </w:pPr>
      <w:r>
        <w:t>Position sizing converts conviction into exposure. Higher-quality, better-scoring ideas earn more capital; sizing rules prevent a single mistake from causing outsized damage.</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950"/>
      </w:tblGrid>
      <w:tr w:rsidR="00A63D17" w:rsidRPr="00745EAC" w14:paraId="115A66DA" w14:textId="77777777" w:rsidTr="00745EAC">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8B96728" w14:textId="77777777" w:rsidR="00A63D17" w:rsidRPr="00745EAC" w:rsidRDefault="00000000">
            <w:pPr>
              <w:jc w:val="center"/>
              <w:rPr>
                <w:sz w:val="21"/>
                <w:szCs w:val="21"/>
              </w:rPr>
            </w:pPr>
            <w:r>
              <w:rPr>
                <w:b/>
                <w:bCs/>
                <w:color w:val="FFFFFF"/>
                <w:sz w:val="21"/>
                <w:szCs w:val="21"/>
              </w:rPr>
              <w:t>Composite Score</w:t>
            </w:r>
          </w:p>
        </w:tc>
        <w:tc>
          <w:tcPr>
            <w:tcW w:w="2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BB7585B" w14:textId="77777777" w:rsidR="00A63D17" w:rsidRPr="00745EAC" w:rsidRDefault="00000000">
            <w:pPr>
              <w:jc w:val="center"/>
              <w:rPr>
                <w:sz w:val="21"/>
                <w:szCs w:val="21"/>
              </w:rPr>
            </w:pPr>
            <w:r>
              <w:rPr>
                <w:b/>
                <w:bCs/>
                <w:color w:val="FFFFFF"/>
                <w:sz w:val="21"/>
                <w:szCs w:val="21"/>
              </w:rPr>
              <w:t>Max Initial Position</w:t>
            </w:r>
          </w:p>
        </w:tc>
        <w:tc>
          <w:tcPr>
            <w:tcW w:w="29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3C540FA" w14:textId="77777777" w:rsidR="00A63D17" w:rsidRPr="00745EAC" w:rsidRDefault="00000000">
            <w:pPr>
              <w:jc w:val="center"/>
              <w:rPr>
                <w:sz w:val="21"/>
                <w:szCs w:val="21"/>
              </w:rPr>
            </w:pPr>
            <w:r>
              <w:rPr>
                <w:b/>
                <w:bCs/>
                <w:color w:val="FFFFFF"/>
                <w:sz w:val="21"/>
                <w:szCs w:val="21"/>
              </w:rPr>
              <w:t>Max Full Position</w:t>
            </w:r>
          </w:p>
        </w:tc>
      </w:tr>
      <w:tr w:rsidR="00A63D17" w:rsidRPr="00745EAC" w14:paraId="0A82F7C6"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287D3B" w14:textId="77777777" w:rsidR="00A63D17" w:rsidRPr="00745EAC" w:rsidRDefault="00000000" w:rsidP="00AD5195">
            <w:pPr>
              <w:jc w:val="center"/>
              <w:rPr>
                <w:sz w:val="21"/>
                <w:szCs w:val="21"/>
              </w:rPr>
            </w:pPr>
            <w:r>
              <w:rPr>
                <w:b/>
                <w:bCs/>
                <w:sz w:val="21"/>
                <w:szCs w:val="21"/>
              </w:rPr>
              <w:t>80–100 (Strong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0591794" w14:textId="77777777" w:rsidR="00A63D17" w:rsidRPr="00AD5195" w:rsidRDefault="00000000">
            <w:pPr>
              <w:jc w:val="center"/>
              <w:rPr>
                <w:b/>
                <w:bCs/>
                <w:sz w:val="21"/>
                <w:szCs w:val="21"/>
              </w:rPr>
            </w:pPr>
            <w:r>
              <w:rPr>
                <w:b/>
                <w:bCs/>
                <w:sz w:val="21"/>
                <w:szCs w:val="21"/>
              </w:rPr>
              <w:t>5%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4EA45C1" w14:textId="77777777" w:rsidR="00A63D17" w:rsidRPr="00AD5195" w:rsidRDefault="00000000">
            <w:pPr>
              <w:jc w:val="center"/>
              <w:rPr>
                <w:b/>
                <w:bCs/>
                <w:sz w:val="21"/>
                <w:szCs w:val="21"/>
              </w:rPr>
            </w:pPr>
            <w:r>
              <w:rPr>
                <w:b/>
                <w:bCs/>
                <w:sz w:val="21"/>
                <w:szCs w:val="21"/>
              </w:rPr>
              <w:t>8% of portfolio</w:t>
            </w:r>
          </w:p>
        </w:tc>
      </w:tr>
      <w:tr w:rsidR="00A63D17" w:rsidRPr="00745EAC" w14:paraId="69527385"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6827AB" w14:textId="77777777" w:rsidR="00A63D17" w:rsidRPr="00745EAC" w:rsidRDefault="00000000" w:rsidP="00AD5195">
            <w:pPr>
              <w:jc w:val="center"/>
              <w:rPr>
                <w:sz w:val="21"/>
                <w:szCs w:val="21"/>
              </w:rPr>
            </w:pPr>
            <w:r>
              <w:rPr>
                <w:b/>
                <w:bCs/>
                <w:sz w:val="21"/>
                <w:szCs w:val="21"/>
              </w:rPr>
              <w:t>65–79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C6A28F" w14:textId="77777777" w:rsidR="00A63D17" w:rsidRPr="00AD5195" w:rsidRDefault="00000000">
            <w:pPr>
              <w:jc w:val="center"/>
              <w:rPr>
                <w:b/>
                <w:bCs/>
                <w:sz w:val="21"/>
                <w:szCs w:val="21"/>
              </w:rPr>
            </w:pPr>
            <w:r>
              <w:rPr>
                <w:b/>
                <w:bCs/>
                <w:sz w:val="21"/>
                <w:szCs w:val="21"/>
              </w:rPr>
              <w:t>3%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57472E" w14:textId="77777777" w:rsidR="00A63D17" w:rsidRPr="00AD5195" w:rsidRDefault="00000000">
            <w:pPr>
              <w:jc w:val="center"/>
              <w:rPr>
                <w:b/>
                <w:bCs/>
                <w:sz w:val="21"/>
                <w:szCs w:val="21"/>
              </w:rPr>
            </w:pPr>
            <w:r>
              <w:rPr>
                <w:b/>
                <w:bCs/>
                <w:sz w:val="21"/>
                <w:szCs w:val="21"/>
              </w:rPr>
              <w:t>5% of portfolio</w:t>
            </w:r>
          </w:p>
        </w:tc>
      </w:tr>
      <w:tr w:rsidR="00A63D17" w:rsidRPr="00745EAC" w14:paraId="23E7FBC3"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269DEC" w14:textId="77777777" w:rsidR="00A63D17" w:rsidRPr="00745EAC" w:rsidRDefault="00000000" w:rsidP="00AD5195">
            <w:pPr>
              <w:jc w:val="center"/>
              <w:rPr>
                <w:sz w:val="21"/>
                <w:szCs w:val="21"/>
              </w:rPr>
            </w:pPr>
            <w:r>
              <w:rPr>
                <w:b/>
                <w:bCs/>
                <w:sz w:val="21"/>
                <w:szCs w:val="21"/>
              </w:rPr>
              <w:t>Below 65</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8520BB" w14:textId="77777777" w:rsidR="00A63D17" w:rsidRPr="00AD5195" w:rsidRDefault="00000000">
            <w:pPr>
              <w:jc w:val="center"/>
              <w:rPr>
                <w:b/>
                <w:bCs/>
                <w:sz w:val="21"/>
                <w:szCs w:val="21"/>
              </w:rPr>
            </w:pPr>
            <w:r>
              <w:rPr>
                <w:b/>
                <w:bCs/>
                <w:sz w:val="21"/>
                <w:szCs w:val="21"/>
              </w:rPr>
              <w:t>0%</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45700A" w14:textId="77777777" w:rsidR="00A63D17" w:rsidRPr="00AD5195" w:rsidRDefault="00000000">
            <w:pPr>
              <w:jc w:val="center"/>
              <w:rPr>
                <w:b/>
                <w:bCs/>
                <w:sz w:val="21"/>
                <w:szCs w:val="21"/>
              </w:rPr>
            </w:pPr>
            <w:r>
              <w:rPr>
                <w:b/>
                <w:bCs/>
                <w:sz w:val="21"/>
                <w:szCs w:val="21"/>
              </w:rPr>
              <w:t>0%</w:t>
            </w:r>
          </w:p>
        </w:tc>
      </w:tr>
    </w:tbl>
    <w:p w14:paraId="15B2304C" w14:textId="77777777" w:rsidR="00A63D17" w:rsidRDefault="00000000">
      <w:pPr>
        <w:spacing w:after="200"/>
      </w:pPr>
      <w:r>
        <w:t xml:space="preserve">The table above governs </w:t>
      </w:r>
      <w:r>
        <w:rPr>
          <w:b/>
          <w:bCs/>
        </w:rPr>
        <w:t>new-position eligibility</w:t>
      </w:r>
      <w:r>
        <w:t xml:space="preserve">. An existing holding re-scored below 65 does not automatically require reduction to 0% — see the </w:t>
      </w:r>
      <w:r>
        <w:rPr>
          <w:b/>
          <w:bCs/>
        </w:rPr>
        <w:t>Existing Holding Action</w:t>
      </w:r>
      <w:r>
        <w:t xml:space="preserve"> column in </w:t>
      </w:r>
      <w:r>
        <w:rPr>
          <w:b/>
          <w:bCs/>
        </w:rPr>
        <w:t>Part 3</w:t>
      </w:r>
      <w:r>
        <w:t xml:space="preserve"> and the </w:t>
      </w:r>
      <w:r>
        <w:rPr>
          <w:b/>
          <w:bCs/>
        </w:rPr>
        <w:t>Sell Discipline</w:t>
      </w:r>
      <w:r>
        <w:t xml:space="preserve"> rules in </w:t>
      </w:r>
      <w:r>
        <w:rPr>
          <w:b/>
          <w:bCs/>
        </w:rPr>
        <w:t>Part 6</w:t>
      </w:r>
      <w:r>
        <w:t>, which govern the actual disposition of an already-held, downgraded position.</w:t>
      </w:r>
    </w:p>
    <w:p w14:paraId="6FF39FE2" w14:textId="77777777" w:rsidR="00A63D17" w:rsidRDefault="00000000" w:rsidP="00E34BC5">
      <w:pPr>
        <w:pStyle w:val="Heading2"/>
      </w:pPr>
      <w:bookmarkStart w:id="25" w:name="_Toc236826970"/>
      <w:r>
        <w:t>Sizing Modifiers</w:t>
      </w:r>
      <w:bookmarkEnd w:id="25"/>
    </w:p>
    <w:p w14:paraId="70499DDB" w14:textId="77777777" w:rsidR="00A63D17" w:rsidRDefault="00000000">
      <w:pPr>
        <w:ind w:left="360"/>
      </w:pPr>
      <w:r>
        <w:t xml:space="preserve">•  </w:t>
      </w:r>
      <w:r>
        <w:rPr>
          <w:b/>
          <w:bCs/>
        </w:rPr>
        <w:t xml:space="preserve">Insider ownership &gt;5% </w:t>
      </w:r>
      <w:r>
        <w:t>with recent open-market purchases: +1% to max position</w:t>
      </w:r>
    </w:p>
    <w:p w14:paraId="5339C508" w14:textId="77777777" w:rsidR="00A63D17" w:rsidRDefault="00000000">
      <w:pPr>
        <w:ind w:left="360"/>
      </w:pPr>
      <w:r>
        <w:t xml:space="preserve">•  </w:t>
      </w:r>
      <w:r>
        <w:rPr>
          <w:b/>
          <w:bCs/>
        </w:rPr>
        <w:t xml:space="preserve">Debt/FCF ratio above 4x: </w:t>
      </w:r>
      <w:r>
        <w:t>−1% to max position (fragility discount)</w:t>
      </w:r>
    </w:p>
    <w:p w14:paraId="6A48A217" w14:textId="77777777" w:rsidR="00A63D17" w:rsidRDefault="00000000">
      <w:pPr>
        <w:ind w:left="360"/>
      </w:pPr>
      <w:r>
        <w:t xml:space="preserve">•  </w:t>
      </w:r>
      <w:r>
        <w:rPr>
          <w:b/>
          <w:bCs/>
        </w:rPr>
        <w:t xml:space="preserve">Single customer &gt;30% of revenue: </w:t>
      </w:r>
      <w:r>
        <w:t>−1% to max position</w:t>
      </w:r>
    </w:p>
    <w:p w14:paraId="7F7F328E" w14:textId="77777777" w:rsidR="00A63D17" w:rsidRDefault="00000000">
      <w:pPr>
        <w:ind w:left="360"/>
      </w:pPr>
      <w:r>
        <w:t xml:space="preserve">•  </w:t>
      </w:r>
      <w:r>
        <w:rPr>
          <w:b/>
          <w:bCs/>
        </w:rPr>
        <w:t xml:space="preserve">Position in same sector as existing holding &gt;5%: </w:t>
      </w:r>
      <w:r>
        <w:t>cap combined sector exposure at 25% of portfolio</w:t>
      </w:r>
    </w:p>
    <w:p w14:paraId="4DC3687F" w14:textId="77777777" w:rsidR="00A63D17" w:rsidRDefault="00000000">
      <w:pPr>
        <w:ind w:left="360"/>
      </w:pPr>
      <w:r>
        <w:t xml:space="preserve">•  </w:t>
      </w:r>
      <w:r>
        <w:rPr>
          <w:b/>
          <w:bCs/>
        </w:rPr>
        <w:t xml:space="preserve">Macro headwind active (Part 7): </w:t>
      </w:r>
      <w:r>
        <w:t>−1% to all new positions in affected sectors</w:t>
      </w:r>
    </w:p>
    <w:p w14:paraId="5C8CB42A"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6" w:name="_Toc236826971"/>
      <w:r>
        <w:t>Hard Rules: Position Sizing</w:t>
      </w:r>
      <w:bookmarkEnd w:id="26"/>
    </w:p>
    <w:p w14:paraId="1CE89BE8"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No </w:t>
      </w:r>
      <w:r>
        <w:rPr>
          <w:b/>
          <w:bCs/>
        </w:rPr>
        <w:t>single position</w:t>
      </w:r>
      <w:r>
        <w:t xml:space="preserve"> shall </w:t>
      </w:r>
      <w:r>
        <w:rPr>
          <w:u w:val="single"/>
        </w:rPr>
        <w:t xml:space="preserve">exceed </w:t>
      </w:r>
      <w:r>
        <w:rPr>
          <w:b/>
          <w:bCs/>
          <w:u w:val="single"/>
        </w:rPr>
        <w:t xml:space="preserve">8% </w:t>
      </w:r>
      <w:r>
        <w:rPr>
          <w:u w:val="single"/>
        </w:rPr>
        <w:t>of portfolio at cost</w:t>
      </w:r>
      <w:r>
        <w:t>.</w:t>
      </w:r>
    </w:p>
    <w:p w14:paraId="22B1D54C"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No </w:t>
      </w:r>
      <w:r>
        <w:rPr>
          <w:b/>
          <w:bCs/>
        </w:rPr>
        <w:t>single sector</w:t>
      </w:r>
      <w:r>
        <w:t xml:space="preserve"> shall </w:t>
      </w:r>
      <w:r>
        <w:rPr>
          <w:u w:val="single"/>
        </w:rPr>
        <w:t xml:space="preserve">exceed </w:t>
      </w:r>
      <w:r>
        <w:rPr>
          <w:b/>
          <w:bCs/>
          <w:u w:val="single"/>
        </w:rPr>
        <w:t>25%</w:t>
      </w:r>
      <w:r>
        <w:rPr>
          <w:u w:val="single"/>
        </w:rPr>
        <w:t xml:space="preserve"> of portfolio</w:t>
      </w:r>
      <w:r>
        <w:t>.</w:t>
      </w:r>
      <w:r>
        <w:t xml:space="preserve"> Measure it at market value, on direct holdings (exchange-traded funds are not looked through).</w:t>
      </w:r>
    </w:p>
    <w:p w14:paraId="1B507910" w14:textId="77777777"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A </w:t>
      </w:r>
      <w:r>
        <w:rPr>
          <w:u w:val="single"/>
        </w:rPr>
        <w:t xml:space="preserve">minimum of 12 </w:t>
      </w:r>
      <w:r>
        <w:rPr>
          <w:b/>
          <w:bCs/>
          <w:u w:val="single"/>
        </w:rPr>
        <w:t>qualifying</w:t>
      </w:r>
      <w:r>
        <w:rPr>
          <w:u w:val="single"/>
        </w:rPr>
        <w:t xml:space="preserve"> positions</w:t>
      </w:r>
      <w:r>
        <w:t xml:space="preserve"> shall be maintained in a fully invested portfolio. </w:t>
      </w:r>
      <w:r>
        <w:rPr>
          <w:b/>
          <w:bCs/>
        </w:rPr>
        <w:br/>
      </w:r>
      <w:r>
        <w:t xml:space="preserve">NOTE: 12 is a floor, not a guarantee of full investment. If qualifying ideas are mostly </w:t>
      </w:r>
      <w:r>
        <w:rPr>
          <w:b/>
          <w:bCs/>
        </w:rPr>
        <w:t xml:space="preserve">Buy-tier </w:t>
      </w:r>
      <w:r>
        <w:t xml:space="preserve">(5% max full position) rather than </w:t>
      </w:r>
      <w:r>
        <w:rPr>
          <w:b/>
          <w:bCs/>
        </w:rPr>
        <w:t>Strong Buy</w:t>
      </w:r>
      <w:r>
        <w:t xml:space="preserve"> (8%), 12 positions at their caps may fall well short of the 85–95% invested level implied by the cash-allocation rule below. </w:t>
      </w:r>
      <w:r>
        <w:rPr>
          <w:u w:val="single"/>
        </w:rPr>
        <w:t>Hold more than 12 positions when necessary to satisfy both rules simultaneously</w:t>
      </w:r>
      <w:r>
        <w:t xml:space="preserve">. </w:t>
        <w:br/>
      </w:r>
      <w:r>
        <w:rPr>
          <w:u w:val="single"/>
        </w:rPr>
        <w:t>Never breach the cash ceiling</w:t>
      </w:r>
      <w:r>
        <w:t xml:space="preserve"> or the </w:t>
      </w:r>
      <w:r>
        <w:rPr>
          <w:u w:val="single"/>
        </w:rPr>
        <w:t>position/sector caps</w:t>
      </w:r>
      <w:r>
        <w:t xml:space="preserve"> to force compliance with the 12-position floor.</w:t>
      </w:r>
    </w:p>
    <w:p w14:paraId="794113FB"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Pr>
          <w:b/>
          <w:bCs/>
        </w:rPr>
        <w:t>Cash allocation</w:t>
      </w:r>
      <w:r>
        <w:t xml:space="preserve"> shall be always maintained between </w:t>
      </w:r>
      <w:r>
        <w:rPr>
          <w:b/>
          <w:bCs/>
        </w:rPr>
        <w:t xml:space="preserve">5% - 15%</w:t>
      </w:r>
      <w:r>
        <w:t xml:space="preserve">, for </w:t>
      </w:r>
      <w:r>
        <w:rPr>
          <w:b/>
          <w:bCs/>
        </w:rPr>
        <w:t>dry powder</w:t>
      </w:r>
      <w:r>
        <w:t xml:space="preserve"> and </w:t>
      </w:r>
      <w:r>
        <w:rPr>
          <w:b/>
          <w:bCs/>
        </w:rPr>
        <w:t>risk management</w:t>
      </w:r>
      <w:r>
        <w:t>.</w:t>
      </w:r>
    </w:p>
    <w:p w14:paraId="50A874BA"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If </w:t>
      </w:r>
      <w:r>
        <w:rPr>
          <w:u w:val="single"/>
        </w:rPr>
        <w:t xml:space="preserve">fewer than 12 qualifying candidates</w:t>
      </w:r>
      <w:r>
        <w:t xml:space="preserve"> (</w:t>
      </w:r>
      <w:r>
        <w:rPr>
          <w:b/>
          <w:bCs/>
        </w:rPr>
        <w:t>Composite Score ≥65</w:t>
      </w:r>
      <w:r>
        <w:t xml:space="preserve">) are available, </w:t>
      </w:r>
      <w:r>
        <w:rPr>
          <w:u w:val="single"/>
        </w:rPr>
        <w:t>do not lower the scoring threshold</w:t>
      </w:r>
      <w:r>
        <w:t xml:space="preserve"> to achieve full investment. Hold the difference in cash. Forcing positions below the threshold to reach a target number of holdings is a systematic error that degrades long-term performance.</w:t>
      </w:r>
    </w:p>
    <w:p w14:paraId="6992D6AA"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7" w:name="_Toc236826972"/>
      <w:r>
        <w:t>Leverage Hard Cap</w:t>
      </w:r>
      <w:bookmarkEnd w:id="27"/>
    </w:p>
    <w:p w14:paraId="41422275"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Debt/FCF is a linear sizing discount above (−1% at 4x). In a rate-shock or credit-spread-widening scenario, leveraged names are disproportionately the source of drawdowns at the severe end of the risk range, not the moderate end. This rule converts high leverage from a soft discount into a hard ceiling.</w:t>
      </w:r>
    </w:p>
    <w:p w14:paraId="2130AF28"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For </w:t>
      </w:r>
      <w:r>
        <w:rPr>
          <w:b/>
          <w:bCs/>
        </w:rPr>
        <w:t>nonfinancial operating companies</w:t>
      </w:r>
      <w:r>
        <w:t xml:space="preserve">, </w:t>
      </w:r>
      <w:r>
        <w:rPr>
          <w:b/>
          <w:bCs/>
        </w:rPr>
        <w:t>Debt/FCF</w:t>
      </w:r>
      <w:r>
        <w:t xml:space="preserve"> above 5x caps the </w:t>
      </w:r>
      <w:r>
        <w:rPr>
          <w:b/>
          <w:bCs/>
        </w:rPr>
        <w:t>Composite Score at 65</w:t>
      </w:r>
      <w:r>
        <w:t xml:space="preserve">, preventing a </w:t>
      </w:r>
      <w:r>
        <w:rPr>
          <w:b/>
          <w:bCs/>
        </w:rPr>
        <w:t>Strong Buy</w:t>
      </w:r>
      <w:r>
        <w:t xml:space="preserve"> classification. The −1% sizing modifier above for </w:t>
      </w:r>
      <w:r>
        <w:rPr>
          <w:b/>
          <w:bCs/>
        </w:rPr>
        <w:t>Debt/FCF</w:t>
      </w:r>
      <w:r>
        <w:t xml:space="preserve"> above 4x remains in effect below this threshold. </w:t>
        <w:br/>
        <w:t xml:space="preserve">For </w:t>
      </w:r>
      <w:r>
        <w:rPr>
          <w:b/>
          <w:bCs/>
        </w:rPr>
        <w:t>financials and other businesses</w:t>
      </w:r>
      <w:r>
        <w:t xml:space="preserve"> where </w:t>
      </w:r>
      <w:r>
        <w:rPr>
          <w:b/>
          <w:bCs/>
        </w:rPr>
        <w:t>Debt/FCF</w:t>
      </w:r>
      <w:r>
        <w:t xml:space="preserve"> is not meaningful, use the </w:t>
      </w:r>
      <w:r>
        <w:rPr>
          <w:b/>
          <w:bCs/>
        </w:rPr>
        <w:t>Part 10 balance-sheet substitute</w:t>
      </w:r>
      <w:r>
        <w:t>.</w:t>
      </w:r>
    </w:p>
    <w:p w14:paraId="63BC6466"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8" w:name="_Toc236826973"/>
      <w:r>
        <w:t>Volatility / Beta Sizing Overlay</w:t>
      </w:r>
      <w:bookmarkEnd w:id="28"/>
    </w:p>
    <w:p w14:paraId="4D649936"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This overlay adjusts position size only — it does not affect the Composite Score or the fundamentals-first hierarchy in Part 1.</w:t>
      </w:r>
    </w:p>
    <w:p w14:paraId="275685A2" w14:textId="77777777"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Use </w:t>
      </w:r>
      <w:r>
        <w:rPr>
          <w:b/>
          <w:bCs/>
        </w:rPr>
        <w:t>5-year weekly beta</w:t>
      </w:r>
      <w:r>
        <w:t xml:space="preserve"> where available and </w:t>
      </w:r>
      <w:r>
        <w:rPr>
          <w:b/>
          <w:bCs/>
        </w:rPr>
        <w:t>2-year weekly</w:t>
      </w:r>
      <w:r>
        <w:t xml:space="preserve"> beta as fallback. </w:t>
        <w:br/>
      </w:r>
      <w:r>
        <w:rPr>
          <w:u w:val="single"/>
        </w:rPr>
        <w:t>Reduce the maximum full-position size</w:t>
      </w:r>
      <w:r>
        <w:t xml:space="preserve"> by </w:t>
      </w:r>
      <w:r>
        <w:rPr>
          <w:b/>
          <w:bCs/>
        </w:rPr>
        <w:t>1% for beta 1.40–1.59</w:t>
      </w:r>
      <w:r>
        <w:t xml:space="preserve"> and by </w:t>
      </w:r>
      <w:r>
        <w:rPr>
          <w:b/>
          <w:bCs/>
        </w:rPr>
        <w:t>2% for beta 1.60 or higher</w:t>
      </w:r>
      <w:r>
        <w:t xml:space="preserve">. </w:t>
        <w:br/>
        <w:t xml:space="preserve">Total beta </w:t>
      </w:r>
      <w:r>
        <w:rPr>
          <w:b/>
          <w:bCs/>
        </w:rPr>
        <w:t>adjustment is capped at 2%</w:t>
      </w:r>
      <w:r>
        <w:t xml:space="preserve">. Beta is a sizing input only – investigate material disagreement across data sources and assign </w:t>
      </w:r>
      <w:r>
        <w:rPr>
          <w:b/>
          <w:bCs/>
        </w:rPr>
        <w:t>Low Confidence</w:t>
      </w:r>
      <w:r>
        <w:t xml:space="preserve"> when no reliable estimate exists</w:t>
      </w:r>
      <w:r>
        <w:rPr>
          <w:b/>
          <w:bCs/>
        </w:rPr>
        <w:t>.</w:t>
      </w:r>
    </w:p>
    <w:p w14:paraId="3D516999" w14:textId="77777777" w:rsidR="00A63D17" w:rsidRDefault="00000000">
      <w:pPr>
        <w:spacing w:before="160" w:after="120"/>
      </w:pPr>
      <w:r>
        <w:rPr>
          <w:b/>
          <w:bCs/>
        </w:rPr>
        <w:t xml:space="preserve">Transition: </w:t>
      </w:r>
      <w:r>
        <w:rPr>
          <w:b/>
          <w:bCs/>
          <w:i/>
          <w:iCs/>
        </w:rPr>
        <w:t>Part 6</w:t>
      </w:r>
      <w:r>
        <w:rPr>
          <w:i/>
          <w:iCs/>
        </w:rPr>
        <w:t xml:space="preserve"> governs the opposite half of the same discipline: when and how a position is trimmed or sold.</w:t>
      </w:r>
    </w:p>
    <w:p w14:paraId="774CF2F0" w14:textId="77777777" w:rsidR="00A63D17" w:rsidRDefault="00000000" w:rsidP="00E34BC5">
      <w:pPr>
        <w:pStyle w:val="Heading1"/>
      </w:pPr>
      <w:bookmarkStart w:id="29" w:name="_Toc236826974"/>
      <w:r>
        <w:lastRenderedPageBreak/>
        <w:t>PART 6 — EXIT &amp; SELL DISCIPLINE</w:t>
      </w:r>
      <w:bookmarkEnd w:id="29"/>
    </w:p>
    <w:p w14:paraId="5E10D1A7" w14:textId="77777777" w:rsidR="00A63D17" w:rsidRDefault="00000000">
      <w:pPr>
        <w:spacing w:after="160"/>
      </w:pPr>
      <w:r>
        <w:rPr>
          <w:b/>
          <w:bCs/>
          <w:i/>
          <w:iCs/>
          <w:color w:val="2E5090"/>
        </w:rPr>
        <w:t xml:space="preserve">Purpose of this Part: </w:t>
      </w:r>
      <w:r>
        <w:rPr>
          <w:i/>
          <w:iCs/>
          <w:color w:val="404040"/>
        </w:rPr>
        <w:t>This Part defines the triggers, and the discipline, that separate true deterioration from temporary volatility.</w:t>
      </w:r>
    </w:p>
    <w:p w14:paraId="4647E63C" w14:textId="77777777" w:rsidR="00A63D17" w:rsidRDefault="00000000">
      <w:pPr>
        <w:spacing w:after="120"/>
      </w:pPr>
      <w:r>
        <w:t>A repeatable system needs explicit exit rules as much as entry rules. Separate true deterioration from temporary volatility so positions are trimmed or sold for the right reasons.</w:t>
      </w:r>
    </w:p>
    <w:p w14:paraId="4F585B38"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0" w:name="_Toc236826975"/>
      <w:r>
        <w:t>Hard Rules: Sell Triggers — Fundamental (act within 30 days of confirmation)</w:t>
      </w:r>
      <w:bookmarkEnd w:id="30"/>
    </w:p>
    <w:p w14:paraId="0BB061DE"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 xml:space="preserve">FCF Yield &amp; Trend </w:t>
      </w:r>
      <w:r>
        <w:t xml:space="preserve">falls to </w:t>
      </w:r>
      <w:r>
        <w:rPr>
          <w:u w:val="single"/>
        </w:rPr>
        <w:t>1 for two consecutive quarters</w:t>
      </w:r>
      <w:r>
        <w:t>.</w:t>
      </w:r>
    </w:p>
    <w:p w14:paraId="08A7320E"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Competitive Moat</w:t>
      </w:r>
      <w:r>
        <w:t xml:space="preserve"> </w:t>
      </w:r>
      <w:r>
        <w:rPr>
          <w:u w:val="single"/>
        </w:rPr>
        <w:t>degrades from durable to absent</w:t>
      </w:r>
      <w:r>
        <w:t>.</w:t>
      </w:r>
    </w:p>
    <w:p w14:paraId="1138039A"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ROIC</w:t>
      </w:r>
      <w:r>
        <w:t xml:space="preserve"> falls </w:t>
      </w:r>
      <w:r>
        <w:rPr>
          <w:u w:val="single"/>
        </w:rPr>
        <w:t xml:space="preserve">below </w:t>
      </w:r>
      <w:r>
        <w:rPr>
          <w:b/>
          <w:bCs/>
          <w:u w:val="single"/>
        </w:rPr>
        <w:t>WACC</w:t>
      </w:r>
      <w:r>
        <w:rPr>
          <w:u w:val="single"/>
        </w:rPr>
        <w:t xml:space="preserve"> for two consecutive years</w:t>
      </w:r>
      <w:r>
        <w:t>.</w:t>
      </w:r>
    </w:p>
    <w:p w14:paraId="2CEEED7C"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Management quality</w:t>
      </w:r>
      <w:r>
        <w:t xml:space="preserve"> </w:t>
      </w:r>
      <w:r>
        <w:rPr>
          <w:u w:val="single"/>
        </w:rPr>
        <w:t xml:space="preserve">falls to 1 because of </w:t>
      </w:r>
      <w:r>
        <w:rPr>
          <w:b/>
          <w:bCs/>
          <w:u w:val="single"/>
        </w:rPr>
        <w:t>destructive capital allocation</w:t>
      </w:r>
      <w:r>
        <w:t>.</w:t>
      </w:r>
    </w:p>
    <w:p w14:paraId="65196CE9"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Revenue growth</w:t>
      </w:r>
      <w:r>
        <w:t xml:space="preserve"> </w:t>
      </w:r>
      <w:r>
        <w:rPr>
          <w:u w:val="single"/>
        </w:rPr>
        <w:t>turns negative for two consecutive quarters</w:t>
      </w:r>
      <w:r>
        <w:t xml:space="preserve"> without a credible cyclical explanation (see </w:t>
      </w:r>
      <w:r>
        <w:rPr>
          <w:b/>
          <w:bCs/>
        </w:rPr>
        <w:t>Part 4, Cyclical Business Adjustment</w:t>
      </w:r>
      <w:r>
        <w:t xml:space="preserve"> — documented cycle rationale applies here equally).</w:t>
      </w:r>
    </w:p>
    <w:p w14:paraId="1B740FB2"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1" w:name="_Toc236826976"/>
      <w:r>
        <w:t>Hard Rules: Sell Triggers — Valuation (trim or sell when price exceeds intrinsic value)</w:t>
      </w:r>
      <w:bookmarkEnd w:id="31"/>
    </w:p>
    <w:p w14:paraId="4E8AEC77"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Pr>
          <w:b/>
          <w:bCs/>
        </w:rPr>
        <w:t>Debt-to-FCF</w:t>
      </w:r>
      <w:r>
        <w:t xml:space="preserve"> </w:t>
      </w:r>
      <w:r>
        <w:rPr>
          <w:u w:val="single"/>
        </w:rPr>
        <w:t>exceeds 6x</w:t>
      </w:r>
      <w:r>
        <w:t xml:space="preserve"> with no credible deleveraging path.</w:t>
      </w:r>
    </w:p>
    <w:p w14:paraId="429E720A"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Pr>
          <w:b/>
          <w:bCs/>
        </w:rPr>
        <w:t>P/FCF</w:t>
      </w:r>
      <w:r>
        <w:t xml:space="preserve"> </w:t>
      </w:r>
      <w:r>
        <w:rPr>
          <w:u w:val="single"/>
        </w:rPr>
        <w:t>rises above 50x</w:t>
      </w:r>
      <w:r>
        <w:t xml:space="preserve"> while </w:t>
      </w:r>
      <w:r>
        <w:rPr>
          <w:b/>
          <w:bCs/>
        </w:rPr>
        <w:t>FCF growth</w:t>
      </w:r>
      <w:r>
        <w:t xml:space="preserve"> is </w:t>
      </w:r>
      <w:r>
        <w:rPr>
          <w:u w:val="single"/>
        </w:rPr>
        <w:t>below 15%.</w:t>
      </w:r>
    </w:p>
    <w:p w14:paraId="5389B72F"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Implied </w:t>
      </w:r>
      <w:r>
        <w:rPr>
          <w:b/>
          <w:bCs/>
        </w:rPr>
        <w:t>5-year annualized return</w:t>
      </w:r>
      <w:r>
        <w:t xml:space="preserve"> </w:t>
      </w:r>
      <w:r>
        <w:rPr>
          <w:u w:val="single"/>
        </w:rPr>
        <w:t>falls below 7%.</w:t>
      </w:r>
    </w:p>
    <w:p w14:paraId="65455FD6" w14:textId="77777777" w:rsidR="00072631" w:rsidRDefault="00072631" w:rsidP="00072631">
      <w:pPr>
        <w:numPr>
          <w:ilvl w:val="0"/>
          <w:numId w:val="19"/>
        </w:numPr>
        <w:pBdr>
          <w:top w:val="single" w:sz="4" w:space="1" w:color="auto"/>
          <w:left w:val="single" w:sz="4" w:space="1" w:color="auto"/>
          <w:bottom w:val="single" w:sz="4" w:space="1" w:color="auto"/>
          <w:right w:val="single" w:sz="4" w:space="1" w:color="auto"/>
        </w:pBdr>
      </w:pPr>
      <w:r>
        <w:rPr>
          <w:b/>
          <w:bCs/>
        </w:rPr>
        <w:t>Position size</w:t>
      </w:r>
      <w:r>
        <w:t xml:space="preserve"> grows </w:t>
      </w:r>
      <w:r>
        <w:rPr>
          <w:u w:val="single"/>
        </w:rPr>
        <w:t>above the maximum full position</w:t>
      </w:r>
      <w:r>
        <w:t xml:space="preserve"> because of appreciation.</w:t>
      </w:r>
    </w:p>
    <w:p w14:paraId="317A85CF"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A re-score from </w:t>
      </w:r>
      <w:r>
        <w:rPr>
          <w:b/>
          <w:bCs/>
        </w:rPr>
        <w:t>Strong Buy</w:t>
      </w:r>
      <w:r>
        <w:t xml:space="preserve"> to </w:t>
      </w:r>
      <w:r>
        <w:rPr>
          <w:b/>
          <w:bCs/>
        </w:rPr>
        <w:t>Buy</w:t>
      </w:r>
      <w:r>
        <w:t xml:space="preserve"> requires trimming </w:t>
      </w:r>
      <w:r>
        <w:rPr>
          <w:u w:val="single"/>
        </w:rPr>
        <w:t xml:space="preserve">only to the </w:t>
      </w:r>
      <w:r>
        <w:rPr>
          <w:b/>
          <w:bCs/>
          <w:u w:val="single"/>
        </w:rPr>
        <w:t xml:space="preserve">Buy </w:t>
      </w:r>
      <w:r>
        <w:rPr>
          <w:u w:val="single"/>
        </w:rPr>
        <w:t>maximum full position within 30 days</w:t>
      </w:r>
      <w:r>
        <w:t xml:space="preserve">. </w:t>
        <w:br/>
        <w:t xml:space="preserve">A re-score to </w:t>
      </w:r>
      <w:r>
        <w:rPr>
          <w:b/>
          <w:bCs/>
        </w:rPr>
        <w:t>Watch List</w:t>
      </w:r>
      <w:r>
        <w:t xml:space="preserve"> (50–64) </w:t>
      </w:r>
      <w:r>
        <w:rPr>
          <w:u w:val="single"/>
        </w:rPr>
        <w:t>does not force an immediate sale</w:t>
      </w:r>
      <w:r>
        <w:t xml:space="preserve"> –</w:t>
      </w:r>
      <w:r>
        <w:rPr>
          <w:u w:val="single"/>
        </w:rPr>
        <w:t xml:space="preserve"> </w:t>
      </w:r>
      <w:r>
        <w:t xml:space="preserve">additions stop, 90-day review process below begins. </w:t>
        <w:br/>
      </w:r>
      <w:r>
        <w:rPr>
          <w:b/>
          <w:bCs/>
        </w:rPr>
        <w:t xml:space="preserve">Scores below 50 </w:t>
      </w:r>
      <w:r>
        <w:rPr>
          <w:u w:val="single"/>
        </w:rPr>
        <w:t>follow the rules immediately below</w:t>
      </w:r>
      <w:r>
        <w:t>.</w:t>
      </w:r>
    </w:p>
    <w:p w14:paraId="446C33B6"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If the </w:t>
      </w:r>
      <w:r>
        <w:rPr>
          <w:b/>
          <w:bCs/>
        </w:rPr>
        <w:t>Composite Score</w:t>
      </w:r>
      <w:r>
        <w:t xml:space="preserve"> </w:t>
      </w:r>
      <w:r>
        <w:rPr>
          <w:u w:val="single"/>
        </w:rPr>
        <w:t>falls to 35–49</w:t>
      </w:r>
      <w:r>
        <w:t xml:space="preserve">, classify the holding as </w:t>
      </w:r>
      <w:r>
        <w:rPr>
          <w:b/>
          <w:bCs/>
        </w:rPr>
        <w:t>Exit Review</w:t>
      </w:r>
      <w:r>
        <w:t xml:space="preserve"> and establish a dated </w:t>
      </w:r>
      <w:r>
        <w:rPr>
          <w:b/>
          <w:bCs/>
        </w:rPr>
        <w:t>90-day remediation plan</w:t>
      </w:r>
      <w:r>
        <w:t xml:space="preserve"> only when a credible, specifically documented path back to at least 50 exists; otherwise </w:t>
      </w:r>
      <w:r>
        <w:rPr>
          <w:b/>
          <w:bCs/>
        </w:rPr>
        <w:t>sell within 30 days</w:t>
      </w:r>
      <w:r>
        <w:t>.</w:t>
      </w:r>
    </w:p>
    <w:p w14:paraId="06089AF9"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A </w:t>
      </w:r>
      <w:r>
        <w:rPr>
          <w:b/>
          <w:bCs/>
        </w:rPr>
        <w:t>holding scored 50–64</w:t>
      </w:r>
      <w:r>
        <w:t xml:space="preserve"> is a </w:t>
      </w:r>
      <w:r>
        <w:rPr>
          <w:b/>
          <w:bCs/>
        </w:rPr>
        <w:t>Probationary Hold</w:t>
      </w:r>
      <w:r>
        <w:t xml:space="preserve">: no additions are permitted and a </w:t>
      </w:r>
      <w:r>
        <w:rPr>
          <w:u w:val="single"/>
        </w:rPr>
        <w:t>90-day re-score is required</w:t>
      </w:r>
      <w:r>
        <w:t xml:space="preserve">. </w:t>
        <w:br/>
        <w:t xml:space="preserve">If it </w:t>
      </w:r>
      <w:r>
        <w:rPr>
          <w:b/>
          <w:bCs/>
        </w:rPr>
        <w:t>falls below 50</w:t>
      </w:r>
      <w:r>
        <w:t xml:space="preserve">, </w:t>
      </w:r>
      <w:r>
        <w:rPr>
          <w:u w:val="single"/>
        </w:rPr>
        <w:t>apply the preceding rule</w:t>
      </w:r>
      <w:r>
        <w:t xml:space="preserve">. </w:t>
        <w:br/>
        <w:t xml:space="preserve">An approved </w:t>
      </w:r>
      <w:r>
        <w:rPr>
          <w:b/>
          <w:bCs/>
        </w:rPr>
        <w:t>Exit Review</w:t>
      </w:r>
      <w:r>
        <w:t xml:space="preserve"> holding that has not returned to at least 50 by its 90-day deadline must be sold within 30 days; no extension is permitted.</w:t>
      </w:r>
    </w:p>
    <w:p w14:paraId="06089AF9"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Pr>
          <w:b/>
        </w:rPr>
        <w:t>Early Partial Trim</w:t>
      </w:r>
      <w:r>
        <w:rPr/>
        <w:t xml:space="preserve"> (Probationary Hold only): if, before the 90-day re-score, the same Tier 1 or Tier 2 indicator(s) that caused entry are </w:t>
      </w:r>
      <w:r>
        <w:rPr>
          <w:b/>
        </w:rPr>
        <w:t>reconfirmed unimproved or worse</w:t>
      </w:r>
      <w:r>
        <w:rPr/>
        <w:t xml:space="preserve"> by a new filing, scheduled re-score, or equivalent documented evidence, </w:t>
      </w:r>
      <w:r>
        <w:rPr>
          <w:u w:val="single"/>
        </w:rPr>
        <w:t>trim the position by one-third</w:t>
      </w:r>
      <w:r>
        <w:rPr/>
        <w:t xml:space="preserve"> of the share count held at entry.</w:t>
      </w:r>
      <w:r>
        <w:br/>
      </w:r>
      <w:r>
        <w:rPr>
          <w:b/>
        </w:rPr>
        <w:t>This may recur up to twice more</w:t>
      </w:r>
      <w:r>
        <w:rPr/>
        <w:t xml:space="preserve"> in the same 90-day window on further reconfirmation, for a maximum of </w:t>
      </w:r>
      <w:r>
        <w:rPr>
          <w:u w:val="single"/>
        </w:rPr>
        <w:t>three trims (full liquidation in the worst case)</w:t>
      </w:r>
      <w:r>
        <w:rPr/>
        <w:t>.</w:t>
      </w:r>
      <w:r>
        <w:br/>
      </w:r>
      <w:r>
        <w:rPr>
          <w:u w:val="single"/>
        </w:rPr>
        <w:t>Trims already taken are not reversed by a later recovery</w:t>
      </w:r>
      <w:r>
        <w:rPr/>
        <w:t xml:space="preserve">; recovery to 65 or above ends further trims under this rule. Does not apply to price movement alone — an unconfirmed decline remains governed by </w:t>
      </w:r>
      <w:r>
        <w:rPr>
          <w:b/>
        </w:rPr>
        <w:t>Hold Through</w:t>
      </w:r>
      <w:r>
        <w:rPr/>
        <w:t>, above.</w:t>
      </w:r>
    </w:p>
    <w:p w14:paraId="132DEB5F" w14:textId="77777777" w:rsidR="00A63D17" w:rsidRDefault="00072631" w:rsidP="00072631">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If the </w:t>
      </w:r>
      <w:r>
        <w:rPr>
          <w:b/>
          <w:bCs/>
        </w:rPr>
        <w:t>Composite Score</w:t>
      </w:r>
      <w:r>
        <w:t xml:space="preserve"> </w:t>
      </w:r>
      <w:r>
        <w:rPr>
          <w:u w:val="single"/>
        </w:rPr>
        <w:t>falls below 35</w:t>
      </w:r>
      <w:r>
        <w:t xml:space="preserve">, </w:t>
      </w:r>
      <w:r>
        <w:rPr>
          <w:b/>
          <w:bCs/>
        </w:rPr>
        <w:t>sell within 30 days</w:t>
      </w:r>
      <w:r>
        <w:t xml:space="preserve"> unless a more urgent fundamental trigger requires earlier action</w:t>
      </w:r>
      <w:r>
        <w:rPr>
          <w:b/>
          <w:bCs/>
        </w:rPr>
        <w:t>.</w:t>
      </w:r>
    </w:p>
    <w:p w14:paraId="63AB55BB"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2" w:name="_Toc236826977"/>
      <w:r>
        <w:t xml:space="preserve">Hard Rules: </w:t>
      </w:r>
      <w:r>
        <w:rPr>
          <w:u w:val="single"/>
        </w:rPr>
        <w:t>Hold Through</w:t>
      </w:r>
      <w:r>
        <w:t xml:space="preserve"> (do NOT sell based on these alone)</w:t>
      </w:r>
      <w:bookmarkEnd w:id="32"/>
    </w:p>
    <w:p w14:paraId="3F04C5F1"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Short-term price decline of 20–30% with no change in Tier 1/2 fundamentals — this is noise, unless a Stop-Review Ladder rung (below) has been reached.</w:t>
      </w:r>
    </w:p>
    <w:p w14:paraId="352A94AE"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One quarter of earnings miss — evaluate cause; only sell if it signals structural deterioration.</w:t>
      </w:r>
    </w:p>
    <w:p w14:paraId="3D96A0CA"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Analyst downgrades — a lagging indicator; revisit Tier 1/2 signals instead.</w:t>
      </w:r>
    </w:p>
    <w:p w14:paraId="56A34D75"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Market-wide selloff — if fundamentals are intact, this is often an opportunity to add, not sell.</w:t>
      </w:r>
    </w:p>
    <w:p w14:paraId="51DF66CE"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Narrative shift or negative press — evaluate facts, not sentiment.</w:t>
      </w:r>
    </w:p>
    <w:p w:rsidR="00A63D17" w:rsidRDefault="00000000" w:rsidP="00072631">
      <w:pPr>
        <w:pStyle w:val="Heading2"/>
        <w:pBdr>
          <w:top w:val="single" w:sz="4" w:space="1" w:color="auto"/>
          <w:left w:val="single" w:sz="4" w:space="1" w:color="auto"/>
          <w:bottom w:val="single" w:sz="4" w:space="1" w:color="auto"/>
          <w:right w:val="single" w:sz="4" w:space="1" w:color="auto"/>
        </w:pBdr>
      </w:pPr>
      <w:r>
        <w:t>Hard Rules: Stop-Review Ladder (a falling price triggers a re-underwrite, never a sale on price alone)</w:t>
      </w:r>
    </w:p>
    <w:p w:rsidR="00A63D17" w:rsidRDefault="00000000">
      <w:pPr>
        <w:keepNext/>
        <w:spacing w:after="120"/>
      </w:pPr>
      <w:r>
        <w:t>Hold Through says a price decline alone is not a reason to sell; it does not say a falling holding may be ignored. Measure every held stock at each weekly close against its cost basis (all accounts) and its weekly closes. Relative Strength is 1 when the stock is behind SPY by more than 15% over six months; the 200-day average is the average of the last 40 weekly closes.</w:t>
      </w:r>
    </w:p>
    <w:p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rPr>
          <w:b/>
        </w:rPr>
        <w:t xml:space="preserve">Rung 1 — </w:t>
      </w:r>
      <w:r>
        <w:t>a holding 20% or more below its cost basis, with Relative Strength scored 1 or the price under its 200-day average: no additions of any kind (DCA included) while it is on the rung, and a documented re-underwrite within 10 trading days — a fresh Tier 1 reread; the leading indicators for the business model (subscription: net new ARR and remaining performance obligations; others: backlog, bookings, volume, estimate revisions); and the Rule 5 review concluded in the Journal as reaffirmed, resized or referred. A reaffirmation lasts 90 days, or until its next check such as the next earnings date, and is then repeated.</w:t>
      </w:r>
    </w:p>
    <w:p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rPr>
          <w:b/>
        </w:rPr>
        <w:t xml:space="preserve">Rung 2 — </w:t>
      </w:r>
      <w:r>
        <w:t>30% or more below cost on the same confirmation, and the re-underwrite finds deterioration in a leading indicator or cuts a Tier 1 or Tier 2 score: trim one third of the shares; a second confirmation at the next review trims another third.</w:t>
      </w:r>
    </w:p>
    <w:p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rPr>
          <w:b/>
        </w:rPr>
        <w:t xml:space="preserve">Rung 3 — </w:t>
      </w:r>
      <w:r>
        <w:t>40% or more below cost with Relative Strength 1 and the price under its 200-day average for 8 consecutive weeks: classify the holding as Exit Review (sell within 30 days unless a dated 90-day remediation plan with a credible, documented path back is approved).</w:t>
      </w:r>
    </w:p>
    <w:p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rPr>
          <w:b/>
        </w:rPr>
        <w:t xml:space="preserve">Not a price stop — </w:t>
      </w:r>
      <w:r>
        <w:t>a decline that reaches no rung, or a rung whose re-underwrite finds no deterioration, stays protected by Hold Through. A rung forces the work, and at Rungs 2 and 3 the trims or review above; it never sells a holding on price alone.</w:t>
      </w:r>
    </w:p>
    <w:p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rPr>
          <w:b/>
        </w:rPr>
        <w:t xml:space="preserve">Record — </w:t>
      </w:r>
      <w:r>
        <w:t>write each re-underwrite in the Journal and register it where the weekly check reads it; the weekly routine reports every holding on a rung that has no current re-underwrite.</w:t>
      </w:r>
    </w:p>
    <w:p w14:paraId="0277DCDC" w14:textId="77777777" w:rsidR="00A63D17" w:rsidRDefault="00000000" w:rsidP="00E34BC5">
      <w:pPr>
        <w:pStyle w:val="Heading2"/>
      </w:pPr>
      <w:bookmarkStart w:id="33" w:name="_Toc236826978"/>
      <w:r>
        <w:t>Opportunity-Cost Replacement (Quality Upgrade)</w:t>
      </w:r>
      <w:bookmarkEnd w:id="33"/>
    </w:p>
    <w:p w14:paraId="4B60863D" w14:textId="77777777" w:rsidR="00A63D17" w:rsidRDefault="00000000">
      <w:pPr>
        <w:spacing w:after="120"/>
      </w:pPr>
      <w:r>
        <w:t>Capital held in a lower-scoring holding carries a real opportunity cost when a materially stronger, fully-vetted idea exists and portfolio capacity is genuinely constrained. This is a narrow, tightly gated exception process — not a general license to chase the highest score available at any moment — and it never overrides Hold Through above or any fundamental-quality rule elsewhere in this Operating System. A position protected by Hold Through shall not be displaced by this process regardless of the score gap.</w:t>
      </w:r>
    </w:p>
    <w:p w14:paraId="510AB358" w14:textId="77777777" w:rsidR="00A63D17" w:rsidRDefault="00000000" w:rsidP="00745EAC">
      <w:pPr>
        <w:pStyle w:val="ListParagraph"/>
        <w:numPr>
          <w:ilvl w:val="0"/>
          <w:numId w:val="7"/>
        </w:numPr>
      </w:pPr>
      <w:r>
        <w:rPr>
          <w:b/>
          <w:bCs/>
        </w:rPr>
        <w:t xml:space="preserve">Full vetting required — </w:t>
      </w:r>
      <w:r>
        <w:t>the new opportunity must clear the entire Entry Checklist and the Valuation Ceiling (Part 4), not merely carry a higher Composite Score.</w:t>
      </w:r>
    </w:p>
    <w:p w14:paraId="228F1801" w14:textId="77777777" w:rsidR="00A63D17" w:rsidRDefault="00000000" w:rsidP="00745EAC">
      <w:pPr>
        <w:pStyle w:val="ListParagraph"/>
        <w:numPr>
          <w:ilvl w:val="0"/>
          <w:numId w:val="7"/>
        </w:numPr>
      </w:pPr>
      <w:r>
        <w:rPr>
          <w:b/>
          <w:bCs/>
        </w:rPr>
        <w:t xml:space="preserve">Sustained, material gap — </w:t>
      </w:r>
      <w:r>
        <w:t>the Composite Score gap must be at least 15 points and persist across two consecutive quarterly re-scores of the existing holding — a single snapshot comparison is not sufficient.</w:t>
      </w:r>
    </w:p>
    <w:p w14:paraId="66989A74" w14:textId="77777777" w:rsidR="00A63D17" w:rsidRDefault="00000000" w:rsidP="00745EAC">
      <w:pPr>
        <w:pStyle w:val="ListParagraph"/>
        <w:numPr>
          <w:ilvl w:val="0"/>
          <w:numId w:val="7"/>
        </w:numPr>
      </w:pPr>
      <w:r>
        <w:rPr>
          <w:b/>
          <w:bCs/>
        </w:rPr>
        <w:t xml:space="preserve">Hold Through carve-out — </w:t>
      </w:r>
      <w:r>
        <w:t>if the existing holding is currently covered by any Hold Through condition above, this process does not apply, no matter the size of the score gap.</w:t>
      </w:r>
    </w:p>
    <w:p w14:paraId="076A47E9" w14:textId="77777777" w:rsidR="00A63D17" w:rsidRDefault="00000000" w:rsidP="00745EAC">
      <w:pPr>
        <w:pStyle w:val="ListParagraph"/>
        <w:numPr>
          <w:ilvl w:val="0"/>
          <w:numId w:val="7"/>
        </w:numPr>
      </w:pPr>
      <w:r>
        <w:rPr>
          <w:b/>
          <w:bCs/>
        </w:rPr>
        <w:lastRenderedPageBreak/>
        <w:t xml:space="preserve">Genuine capital constraint — </w:t>
      </w:r>
      <w:r>
        <w:t>available cash is insufficient to fund the new position at required initial size (Part 5), or funding it without a sale would breach a hard cap (sector cap, position cap, minimum diversification count).</w:t>
      </w:r>
    </w:p>
    <w:p w14:paraId="13555B1D" w14:textId="77777777" w:rsidR="00A63D17" w:rsidRDefault="00000000" w:rsidP="00745EAC">
      <w:pPr>
        <w:pStyle w:val="ListParagraph"/>
        <w:numPr>
          <w:ilvl w:val="0"/>
          <w:numId w:val="7"/>
        </w:numPr>
      </w:pPr>
      <w:r>
        <w:rPr>
          <w:b/>
          <w:bCs/>
        </w:rPr>
        <w:t xml:space="preserve">Documented before execution — </w:t>
      </w:r>
      <w:r>
        <w:t>record the sustained score-gap evidence, the Hold Through check, and the capital-constraint justification before selling.</w:t>
      </w:r>
    </w:p>
    <w:p w14:paraId="4C95141E" w14:textId="77777777" w:rsidR="00A63D17" w:rsidRDefault="00000000" w:rsidP="003C0E2A">
      <w:pPr>
        <w:pStyle w:val="Heading2"/>
        <w:pBdr>
          <w:top w:val="single" w:sz="4" w:space="1" w:color="auto"/>
          <w:left w:val="single" w:sz="4" w:space="4" w:color="auto"/>
          <w:bottom w:val="single" w:sz="4" w:space="1" w:color="auto"/>
          <w:right w:val="single" w:sz="4" w:space="4" w:color="auto"/>
        </w:pBdr>
      </w:pPr>
      <w:bookmarkStart w:id="34" w:name="_Toc236826979"/>
      <w:r>
        <w:t>Hard Rules: Opportunity-Cost Replacement</w:t>
      </w:r>
      <w:bookmarkEnd w:id="34"/>
    </w:p>
    <w:p w14:paraId="0E319FAA" w14:textId="77777777" w:rsidR="00072631" w:rsidRDefault="00072631" w:rsidP="003C0E2A">
      <w:pPr>
        <w:numPr>
          <w:ilvl w:val="0"/>
          <w:numId w:val="19"/>
        </w:numPr>
        <w:pBdr>
          <w:top w:val="single" w:sz="4" w:space="1" w:color="auto"/>
          <w:left w:val="single" w:sz="4" w:space="4" w:color="auto"/>
          <w:bottom w:val="single" w:sz="4" w:space="1" w:color="auto"/>
          <w:right w:val="single" w:sz="4" w:space="4" w:color="auto"/>
        </w:pBdr>
        <w:spacing w:after="0"/>
      </w:pPr>
      <w:r>
        <w:t xml:space="preserve">A lower-ranked holding may be replaced only when all conditions are met: </w:t>
      </w:r>
    </w:p>
    <w:p w14:paraId="20C6EB4A"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a) the </w:t>
      </w:r>
      <w:r>
        <w:rPr>
          <w:u w:val="single"/>
        </w:rPr>
        <w:t>new opportunity clears</w:t>
      </w:r>
      <w:r>
        <w:t xml:space="preserve"> the </w:t>
      </w:r>
      <w:r>
        <w:rPr>
          <w:b/>
          <w:bCs/>
        </w:rPr>
        <w:t>Entry Checklist</w:t>
      </w:r>
      <w:r>
        <w:t xml:space="preserve"> and </w:t>
      </w:r>
      <w:r>
        <w:rPr>
          <w:b/>
          <w:bCs/>
        </w:rPr>
        <w:t>Valuation Ceiling</w:t>
      </w:r>
      <w:r>
        <w:t xml:space="preserve"> (</w:t>
      </w:r>
      <w:r>
        <w:rPr>
          <w:b/>
          <w:bCs/>
        </w:rPr>
        <w:t>Part 4</w:t>
      </w:r>
      <w:r>
        <w:t xml:space="preserve">); </w:t>
      </w:r>
    </w:p>
    <w:p w14:paraId="0A3D4802"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b) the score </w:t>
      </w:r>
      <w:r>
        <w:rPr>
          <w:b/>
          <w:bCs/>
        </w:rPr>
        <w:t>gap is at least 15 points</w:t>
      </w:r>
      <w:r>
        <w:t xml:space="preserve"> </w:t>
      </w:r>
      <w:r>
        <w:rPr>
          <w:u w:val="single"/>
        </w:rPr>
        <w:t>across two consecutive quarterly re-scores</w:t>
      </w:r>
      <w:r>
        <w:t xml:space="preserve">; </w:t>
      </w:r>
    </w:p>
    <w:p w14:paraId="6C002B32"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c) the </w:t>
      </w:r>
      <w:r>
        <w:rPr>
          <w:b/>
          <w:bCs/>
        </w:rPr>
        <w:t>existing holding</w:t>
      </w:r>
      <w:r>
        <w:t xml:space="preserve"> is </w:t>
      </w:r>
      <w:r>
        <w:rPr>
          <w:u w:val="single"/>
        </w:rPr>
        <w:t xml:space="preserve">not protected by </w:t>
      </w:r>
      <w:r>
        <w:rPr>
          <w:b/>
          <w:bCs/>
          <w:u w:val="single"/>
        </w:rPr>
        <w:t>Hold Through</w:t>
      </w:r>
      <w:r>
        <w:t xml:space="preserve">; </w:t>
      </w:r>
    </w:p>
    <w:p w14:paraId="5D861F63"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rPr>
          <w:b/>
          <w:bCs/>
        </w:rPr>
        <w:tab/>
      </w:r>
      <w:r>
        <w:t xml:space="preserve">d) </w:t>
      </w:r>
      <w:r>
        <w:rPr>
          <w:b/>
          <w:bCs/>
        </w:rPr>
        <w:t>available cash</w:t>
      </w:r>
      <w:r>
        <w:t xml:space="preserve"> </w:t>
      </w:r>
      <w:r>
        <w:rPr>
          <w:u w:val="single"/>
        </w:rPr>
        <w:t>cannot fund the required initial size</w:t>
      </w:r>
      <w:r>
        <w:t xml:space="preserve"> or doing so would breach a hard cap; and </w:t>
      </w:r>
    </w:p>
    <w:p w14:paraId="7D6F0D53" w14:textId="77777777" w:rsidR="00072631" w:rsidRPr="00682571" w:rsidRDefault="003C0E2A" w:rsidP="003C0E2A">
      <w:pPr>
        <w:pBdr>
          <w:top w:val="single" w:sz="4" w:space="1" w:color="auto"/>
          <w:left w:val="single" w:sz="4" w:space="4" w:color="auto"/>
          <w:bottom w:val="single" w:sz="4" w:space="1" w:color="auto"/>
          <w:right w:val="single" w:sz="4" w:space="4" w:color="auto"/>
        </w:pBdr>
      </w:pPr>
      <w:r>
        <w:tab/>
        <w:t xml:space="preserve">e) the </w:t>
      </w:r>
      <w:r>
        <w:rPr>
          <w:b/>
          <w:bCs/>
        </w:rPr>
        <w:t xml:space="preserve">comparison, tax effect, </w:t>
      </w:r>
      <w:r>
        <w:t xml:space="preserve">and </w:t>
      </w:r>
      <w:r>
        <w:rPr>
          <w:b/>
          <w:bCs/>
        </w:rPr>
        <w:t>capital constraint</w:t>
      </w:r>
      <w:r>
        <w:t xml:space="preserve"> are </w:t>
      </w:r>
      <w:r>
        <w:rPr>
          <w:u w:val="single"/>
        </w:rPr>
        <w:t>documented before execution</w:t>
      </w:r>
      <w:r>
        <w:t>.</w:t>
      </w:r>
    </w:p>
    <w:p w14:paraId="285F2CBA" w14:textId="77777777" w:rsidR="00A63D17" w:rsidRDefault="00072631" w:rsidP="003C0E2A">
      <w:pPr>
        <w:pStyle w:val="ListParagraph"/>
        <w:numPr>
          <w:ilvl w:val="0"/>
          <w:numId w:val="19"/>
        </w:numPr>
        <w:pBdr>
          <w:top w:val="single" w:sz="4" w:space="1" w:color="auto"/>
          <w:left w:val="single" w:sz="4" w:space="4" w:color="auto"/>
          <w:bottom w:val="single" w:sz="4" w:space="1" w:color="auto"/>
          <w:right w:val="single" w:sz="4" w:space="4" w:color="auto"/>
        </w:pBdr>
        <w:spacing w:after="100"/>
      </w:pPr>
      <w:r>
        <w:t xml:space="preserve">This </w:t>
      </w:r>
      <w:r>
        <w:rPr>
          <w:b/>
          <w:bCs/>
        </w:rPr>
        <w:t>opportunity-cost replacement process</w:t>
      </w:r>
      <w:r>
        <w:t xml:space="preserve"> shall not be invoked m</w:t>
      </w:r>
      <w:r>
        <w:rPr>
          <w:u w:val="single"/>
        </w:rPr>
        <w:t>ore than once per holding in any rolling 12-month period</w:t>
      </w:r>
      <w:r>
        <w:t>, to prevent compounding turnover from repeated marginal comparisons</w:t>
      </w:r>
      <w:r>
        <w:rPr>
          <w:b/>
          <w:bCs/>
        </w:rPr>
        <w:t>.</w:t>
      </w:r>
    </w:p>
    <w:p w14:paraId="6643B3E9" w14:textId="77777777" w:rsidR="00066663" w:rsidRDefault="00066663"/>
    <w:p w14:paraId="4E59D167" w14:textId="77777777" w:rsidR="00066663" w:rsidRDefault="00066663" w:rsidP="00066663">
      <w:pPr>
        <w:spacing w:before="160" w:after="120"/>
      </w:pPr>
      <w:r>
        <w:rPr>
          <w:b/>
          <w:bCs/>
        </w:rPr>
        <w:t xml:space="preserve">Transition: </w:t>
      </w:r>
      <w:r>
        <w:rPr>
          <w:i/>
          <w:iCs/>
        </w:rPr>
        <w:t>Individual position discipline is necessary but not sufficient; Part 7 manages risk at the level of the whole portfolio.</w:t>
      </w:r>
    </w:p>
    <w:p w14:paraId="66C33B80" w14:textId="77777777" w:rsidR="00066663" w:rsidRDefault="00066663"/>
    <w:p w14:paraId="6ACE8A98" w14:textId="77777777" w:rsidR="00745EAC" w:rsidRDefault="00745EAC">
      <w:pPr>
        <w:rPr>
          <w:b/>
          <w:bCs/>
          <w:color w:val="1F3864"/>
          <w:sz w:val="28"/>
          <w:szCs w:val="28"/>
        </w:rPr>
      </w:pPr>
      <w:r>
        <w:br w:type="page"/>
      </w:r>
    </w:p>
    <w:p w14:paraId="10A7D50B" w14:textId="77777777" w:rsidR="00A63D17" w:rsidRDefault="00000000" w:rsidP="00E34BC5">
      <w:pPr>
        <w:pStyle w:val="Heading1"/>
      </w:pPr>
      <w:bookmarkStart w:id="35" w:name="_Toc236826980"/>
      <w:r>
        <w:lastRenderedPageBreak/>
        <w:t>PART 7 — PORTFOLIO RISK MANAGEMENT</w:t>
      </w:r>
      <w:bookmarkEnd w:id="35"/>
    </w:p>
    <w:p w14:paraId="11A4C929" w14:textId="77777777" w:rsidR="00A63D17" w:rsidRDefault="00000000">
      <w:pPr>
        <w:spacing w:after="160"/>
      </w:pPr>
      <w:r>
        <w:rPr>
          <w:b/>
          <w:bCs/>
          <w:i/>
          <w:iCs/>
          <w:color w:val="2E5090"/>
        </w:rPr>
        <w:t xml:space="preserve">Purpose of this Part: </w:t>
      </w:r>
      <w:r>
        <w:rPr>
          <w:i/>
          <w:iCs/>
          <w:color w:val="404040"/>
        </w:rPr>
        <w:t>This Part manages risk that individual position scoring cannot see on its own — market conditions, correlation, and aggregate drawdown.</w:t>
      </w:r>
    </w:p>
    <w:p w14:paraId="79C5EC47" w14:textId="77777777" w:rsidR="00A63D17" w:rsidRDefault="00000000">
      <w:pPr>
        <w:spacing w:after="120"/>
      </w:pPr>
      <w:r>
        <w:t>The system remains fundamentally bottom-up, but market conditions and portfolio-level concentration affect timing and risk in ways that individual stock scoring cannot see on its own. This Part combines the macro-overlay, which modifies position size and entry urgency without changing the underlying business score, with the portfolio-level controls — correlation, aggregate drawdown response, and target-drawdown planning — that manage risk at the level of the whole portfolio rather than any single position. These controls apply in addition to, not in place of, the position-level rules in Parts 3 through 6.</w:t>
      </w:r>
    </w:p>
    <w:p w14:paraId="39065D73" w14:textId="77777777" w:rsidR="00A63D17" w:rsidRDefault="00000000" w:rsidP="00E34BC5">
      <w:pPr>
        <w:pStyle w:val="Heading2"/>
      </w:pPr>
      <w:bookmarkStart w:id="36" w:name="_Toc236826981"/>
      <w:r>
        <w:t>Macro-Overlay</w:t>
      </w:r>
      <w:bookmarkEnd w:id="36"/>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5"/>
      </w:tblGrid>
      <w:tr w:rsidR="00A63D17" w:rsidRPr="00745EAC" w14:paraId="7F9D1693" w14:textId="77777777" w:rsidTr="00745EAC">
        <w:trPr>
          <w:tblHeade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43BCFC8" w14:textId="77777777" w:rsidR="00A63D17" w:rsidRPr="00745EAC" w:rsidRDefault="00000000">
            <w:pPr>
              <w:jc w:val="center"/>
              <w:rPr>
                <w:sz w:val="21"/>
                <w:szCs w:val="21"/>
              </w:rPr>
            </w:pPr>
            <w:r>
              <w:rPr>
                <w:b/>
                <w:bCs/>
                <w:color w:val="FFFFFF"/>
                <w:sz w:val="21"/>
                <w:szCs w:val="21"/>
              </w:rPr>
              <w:t>Macro Condition</w:t>
            </w:r>
          </w:p>
        </w:tc>
        <w:tc>
          <w:tcPr>
            <w:tcW w:w="700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59EFEAD" w14:textId="77777777" w:rsidR="00A63D17" w:rsidRPr="00745EAC" w:rsidRDefault="00000000" w:rsidP="00745EAC">
            <w:pPr>
              <w:ind w:left="428" w:hanging="270"/>
              <w:jc w:val="center"/>
              <w:rPr>
                <w:sz w:val="21"/>
                <w:szCs w:val="21"/>
              </w:rPr>
            </w:pPr>
            <w:r>
              <w:rPr>
                <w:b/>
                <w:bCs/>
                <w:color w:val="FFFFFF"/>
                <w:sz w:val="21"/>
                <w:szCs w:val="21"/>
              </w:rPr>
              <w:t>Effect on System</w:t>
            </w:r>
          </w:p>
        </w:tc>
      </w:tr>
      <w:tr w:rsidR="00A63D17" w:rsidRPr="00745EAC" w14:paraId="58958717"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77FC8A" w14:textId="77777777" w:rsidR="00A63D17" w:rsidRPr="00745EAC" w:rsidRDefault="00000000" w:rsidP="00745EAC">
            <w:pPr>
              <w:jc w:val="center"/>
              <w:rPr>
                <w:sz w:val="21"/>
                <w:szCs w:val="21"/>
              </w:rPr>
            </w:pPr>
            <w:r>
              <w:rPr>
                <w:b/>
                <w:bCs/>
                <w:sz w:val="21"/>
                <w:szCs w:val="21"/>
              </w:rPr>
              <w:t>Rising rate environment (Fed tightening cycle active)</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200CA1" w14:textId="77777777" w:rsidR="00A63D17" w:rsidRPr="00745EAC" w:rsidRDefault="00000000" w:rsidP="00745EAC">
            <w:pPr>
              <w:pStyle w:val="ListParagraph"/>
              <w:numPr>
                <w:ilvl w:val="0"/>
                <w:numId w:val="9"/>
              </w:numPr>
              <w:spacing w:after="40"/>
              <w:ind w:left="428" w:hanging="270"/>
              <w:rPr>
                <w:sz w:val="21"/>
                <w:szCs w:val="21"/>
              </w:rPr>
            </w:pPr>
            <w:r>
              <w:rPr>
                <w:sz w:val="21"/>
                <w:szCs w:val="21"/>
              </w:rPr>
              <w:t>Reduce max position size by 1% for high-multiple growth stocks (P/FCF &gt;40x)</w:t>
            </w:r>
          </w:p>
          <w:p w14:paraId="6E9155CD" w14:textId="77777777" w:rsidR="00A63D17" w:rsidRPr="00745EAC" w:rsidRDefault="00000000" w:rsidP="00745EAC">
            <w:pPr>
              <w:pStyle w:val="ListParagraph"/>
              <w:numPr>
                <w:ilvl w:val="0"/>
                <w:numId w:val="9"/>
              </w:numPr>
              <w:spacing w:after="40"/>
              <w:ind w:left="428" w:hanging="270"/>
              <w:rPr>
                <w:sz w:val="21"/>
                <w:szCs w:val="21"/>
              </w:rPr>
            </w:pPr>
            <w:r>
              <w:rPr>
                <w:sz w:val="21"/>
                <w:szCs w:val="21"/>
              </w:rPr>
              <w:t>Favor FCF yield and low-debt names</w:t>
            </w:r>
          </w:p>
        </w:tc>
      </w:tr>
      <w:tr w:rsidR="00A63D17" w:rsidRPr="00745EAC" w14:paraId="00DC4CBE"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B6C73AA" w14:textId="77777777" w:rsidR="00A63D17" w:rsidRPr="00745EAC" w:rsidRDefault="00000000" w:rsidP="00745EAC">
            <w:pPr>
              <w:jc w:val="center"/>
              <w:rPr>
                <w:sz w:val="21"/>
                <w:szCs w:val="21"/>
              </w:rPr>
            </w:pPr>
            <w:r>
              <w:rPr>
                <w:b/>
                <w:bCs/>
                <w:sz w:val="21"/>
                <w:szCs w:val="21"/>
              </w:rPr>
              <w:t>Inverted yield curve (2s/10s inverted &gt;3 months)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9E39B2" w14:textId="77777777" w:rsidR="00A63D17" w:rsidRPr="00745EAC" w:rsidRDefault="00000000" w:rsidP="00745EAC">
            <w:pPr>
              <w:pStyle w:val="ListParagraph"/>
              <w:numPr>
                <w:ilvl w:val="0"/>
                <w:numId w:val="10"/>
              </w:numPr>
              <w:spacing w:after="40"/>
              <w:ind w:hanging="202"/>
              <w:rPr>
                <w:sz w:val="21"/>
                <w:szCs w:val="21"/>
              </w:rPr>
            </w:pPr>
            <w:r>
              <w:rPr>
                <w:sz w:val="21"/>
                <w:szCs w:val="21"/>
              </w:rPr>
              <w:t>Raise cash floor to 10% minimum</w:t>
            </w:r>
          </w:p>
          <w:p w14:paraId="73181B95" w14:textId="77777777" w:rsidR="00A63D17" w:rsidRPr="00745EAC" w:rsidRDefault="00000000" w:rsidP="00745EAC">
            <w:pPr>
              <w:pStyle w:val="ListParagraph"/>
              <w:numPr>
                <w:ilvl w:val="0"/>
                <w:numId w:val="10"/>
              </w:numPr>
              <w:spacing w:after="40"/>
              <w:ind w:hanging="202"/>
              <w:rPr>
                <w:sz w:val="21"/>
                <w:szCs w:val="21"/>
              </w:rPr>
            </w:pPr>
            <w:r>
              <w:rPr>
                <w:sz w:val="21"/>
                <w:szCs w:val="21"/>
              </w:rPr>
              <w:t>No new positions in cyclicals or leveraged businesses</w:t>
            </w:r>
          </w:p>
          <w:p w14:paraId="7EE70CA0" w14:textId="77777777" w:rsidR="00A63D17" w:rsidRPr="00745EAC" w:rsidRDefault="00000000" w:rsidP="00745EAC">
            <w:pPr>
              <w:pStyle w:val="ListParagraph"/>
              <w:numPr>
                <w:ilvl w:val="0"/>
                <w:numId w:val="10"/>
              </w:numPr>
              <w:spacing w:after="40"/>
              <w:ind w:hanging="202"/>
              <w:rPr>
                <w:sz w:val="21"/>
                <w:szCs w:val="21"/>
              </w:rPr>
            </w:pPr>
            <w:r>
              <w:rPr>
                <w:sz w:val="21"/>
                <w:szCs w:val="21"/>
              </w:rPr>
              <w:t>• Favor defensive compounders</w:t>
            </w:r>
          </w:p>
        </w:tc>
      </w:tr>
      <w:tr w:rsidR="00A63D17" w:rsidRPr="00745EAC" w14:paraId="6C8D725E"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78B6D2" w14:textId="77777777" w:rsidR="00A63D17" w:rsidRPr="00745EAC" w:rsidRDefault="00000000" w:rsidP="00745EAC">
            <w:pPr>
              <w:jc w:val="center"/>
              <w:rPr>
                <w:sz w:val="21"/>
                <w:szCs w:val="21"/>
              </w:rPr>
            </w:pPr>
            <w:r>
              <w:rPr>
                <w:b/>
                <w:bCs/>
                <w:sz w:val="21"/>
                <w:szCs w:val="21"/>
              </w:rPr>
              <w:t>Credit spreads widening rapidly (HY spreads &gt;600 bps)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80A46B2" w14:textId="77777777" w:rsidR="00A63D17" w:rsidRPr="00745EAC" w:rsidRDefault="00000000" w:rsidP="00745EAC">
            <w:pPr>
              <w:pStyle w:val="ListParagraph"/>
              <w:numPr>
                <w:ilvl w:val="0"/>
                <w:numId w:val="15"/>
              </w:numPr>
              <w:spacing w:after="40"/>
              <w:ind w:hanging="202"/>
              <w:rPr>
                <w:sz w:val="21"/>
                <w:szCs w:val="21"/>
              </w:rPr>
            </w:pPr>
            <w:r>
              <w:rPr>
                <w:sz w:val="21"/>
                <w:szCs w:val="21"/>
              </w:rPr>
              <w:t>Pause all new entries</w:t>
            </w:r>
          </w:p>
          <w:p w14:paraId="5D46E6AD" w14:textId="77777777" w:rsidR="00A63D17" w:rsidRPr="00745EAC" w:rsidRDefault="00000000" w:rsidP="00745EAC">
            <w:pPr>
              <w:pStyle w:val="ListParagraph"/>
              <w:numPr>
                <w:ilvl w:val="0"/>
                <w:numId w:val="15"/>
              </w:numPr>
              <w:spacing w:after="40"/>
              <w:ind w:hanging="202"/>
              <w:rPr>
                <w:sz w:val="21"/>
                <w:szCs w:val="21"/>
              </w:rPr>
            </w:pPr>
            <w:r>
              <w:rPr>
                <w:sz w:val="21"/>
                <w:szCs w:val="21"/>
              </w:rPr>
              <w:t>Reassess existing holdings with Debt/FCF &gt;3x</w:t>
            </w:r>
          </w:p>
          <w:p w14:paraId="040C7266" w14:textId="77777777" w:rsidR="00A63D17" w:rsidRPr="00745EAC" w:rsidRDefault="00000000" w:rsidP="00745EAC">
            <w:pPr>
              <w:pStyle w:val="ListParagraph"/>
              <w:numPr>
                <w:ilvl w:val="0"/>
                <w:numId w:val="15"/>
              </w:numPr>
              <w:spacing w:after="40"/>
              <w:ind w:hanging="202"/>
              <w:rPr>
                <w:sz w:val="21"/>
                <w:szCs w:val="21"/>
              </w:rPr>
            </w:pPr>
            <w:r>
              <w:rPr>
                <w:sz w:val="21"/>
                <w:szCs w:val="21"/>
              </w:rPr>
              <w:t>Hold cash</w:t>
            </w:r>
          </w:p>
        </w:tc>
      </w:tr>
      <w:tr w:rsidR="00A63D17" w:rsidRPr="00745EAC" w14:paraId="1B1D0C22"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9696CA6" w14:textId="77777777" w:rsidR="00A63D17" w:rsidRPr="00745EAC" w:rsidRDefault="00000000" w:rsidP="00745EAC">
            <w:pPr>
              <w:jc w:val="center"/>
              <w:rPr>
                <w:sz w:val="21"/>
                <w:szCs w:val="21"/>
              </w:rPr>
            </w:pPr>
            <w:r>
              <w:rPr>
                <w:b/>
                <w:bCs/>
                <w:sz w:val="21"/>
                <w:szCs w:val="21"/>
              </w:rPr>
              <w:t>Broad market downtrend (SPY below 200-week MA)</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C79D062" w14:textId="77777777" w:rsidR="00A63D17" w:rsidRPr="00745EAC" w:rsidRDefault="00000000" w:rsidP="00745EAC">
            <w:pPr>
              <w:pStyle w:val="ListParagraph"/>
              <w:numPr>
                <w:ilvl w:val="0"/>
                <w:numId w:val="13"/>
              </w:numPr>
              <w:spacing w:after="40"/>
              <w:ind w:hanging="202"/>
              <w:rPr>
                <w:sz w:val="21"/>
                <w:szCs w:val="21"/>
              </w:rPr>
            </w:pPr>
            <w:r>
              <w:rPr>
                <w:sz w:val="21"/>
                <w:szCs w:val="21"/>
              </w:rPr>
              <w:t>Reduce all new position sizes by 50%</w:t>
            </w:r>
          </w:p>
          <w:p w14:paraId="583BFC4B" w14:textId="77777777" w:rsidR="00A63D17" w:rsidRPr="00745EAC" w:rsidRDefault="00000000" w:rsidP="00745EAC">
            <w:pPr>
              <w:pStyle w:val="ListParagraph"/>
              <w:numPr>
                <w:ilvl w:val="0"/>
                <w:numId w:val="13"/>
              </w:numPr>
              <w:spacing w:after="40"/>
              <w:ind w:hanging="202"/>
              <w:rPr>
                <w:sz w:val="21"/>
                <w:szCs w:val="21"/>
              </w:rPr>
            </w:pPr>
            <w:r>
              <w:rPr>
                <w:sz w:val="21"/>
                <w:szCs w:val="21"/>
              </w:rPr>
              <w:t>Continue holding fundamentally intact positions</w:t>
            </w:r>
          </w:p>
          <w:p w14:paraId="104AA809" w14:textId="77777777" w:rsidR="00A63D17" w:rsidRPr="00745EAC" w:rsidRDefault="00000000" w:rsidP="00745EAC">
            <w:pPr>
              <w:pStyle w:val="ListParagraph"/>
              <w:numPr>
                <w:ilvl w:val="0"/>
                <w:numId w:val="13"/>
              </w:numPr>
              <w:spacing w:after="40"/>
              <w:ind w:hanging="202"/>
              <w:rPr>
                <w:sz w:val="21"/>
                <w:szCs w:val="21"/>
              </w:rPr>
            </w:pPr>
            <w:r>
              <w:rPr>
                <w:sz w:val="21"/>
                <w:szCs w:val="21"/>
              </w:rPr>
              <w:t>Accumulate Watch List candidates for entry when trend recovers</w:t>
            </w:r>
          </w:p>
        </w:tc>
      </w:tr>
      <w:tr w:rsidR="00A63D17" w:rsidRPr="00745EAC" w14:paraId="5B8A5832"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6723EE" w14:textId="77777777" w:rsidR="00A63D17" w:rsidRPr="00745EAC" w:rsidRDefault="00000000" w:rsidP="00745EAC">
            <w:pPr>
              <w:jc w:val="center"/>
              <w:rPr>
                <w:sz w:val="21"/>
                <w:szCs w:val="21"/>
              </w:rPr>
            </w:pPr>
            <w:r>
              <w:rPr>
                <w:b/>
                <w:bCs/>
                <w:sz w:val="21"/>
                <w:szCs w:val="21"/>
              </w:rPr>
              <w:t>Sector-specific regulatory/geopolitical risk</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DA486A" w14:textId="77777777" w:rsidR="00A63D17" w:rsidRPr="00745EAC" w:rsidRDefault="00000000" w:rsidP="00745EAC">
            <w:pPr>
              <w:pStyle w:val="ListParagraph"/>
              <w:numPr>
                <w:ilvl w:val="0"/>
                <w:numId w:val="3"/>
              </w:numPr>
              <w:spacing w:after="40"/>
              <w:ind w:hanging="202"/>
              <w:rPr>
                <w:sz w:val="21"/>
                <w:szCs w:val="21"/>
              </w:rPr>
            </w:pPr>
            <w:r>
              <w:rPr>
                <w:sz w:val="21"/>
                <w:szCs w:val="21"/>
              </w:rPr>
              <w:t>Reduce sector cap from 25% to 15% for the affected sector</w:t>
            </w:r>
          </w:p>
          <w:p w14:paraId="2818D404" w14:textId="77777777" w:rsidR="00A63D17" w:rsidRPr="00745EAC" w:rsidRDefault="00000000" w:rsidP="00745EAC">
            <w:pPr>
              <w:pStyle w:val="ListParagraph"/>
              <w:numPr>
                <w:ilvl w:val="0"/>
                <w:numId w:val="11"/>
              </w:numPr>
              <w:spacing w:after="40"/>
              <w:ind w:hanging="202"/>
              <w:rPr>
                <w:sz w:val="21"/>
                <w:szCs w:val="21"/>
              </w:rPr>
            </w:pPr>
            <w:r>
              <w:rPr>
                <w:sz w:val="21"/>
                <w:szCs w:val="21"/>
              </w:rPr>
              <w:t>Re-evaluate moat scores for regulatory dependency</w:t>
            </w:r>
          </w:p>
        </w:tc>
      </w:tr>
    </w:tbl>
    <w:p w14:paraId="65665F96" w14:textId="77777777" w:rsidR="00A63D17" w:rsidRDefault="00000000">
      <w:pPr>
        <w:spacing w:after="200"/>
      </w:pPr>
      <w:r>
        <w:rPr>
          <w:u w:val="single"/>
        </w:rPr>
        <w:t>NOTE</w:t>
      </w:r>
      <w:r>
        <w:t>: Macro overlays are temporary modifiers. When the condition resolves, revert to standard sizing. Do not let macro fear permanently suppress position sizes in fundamentally strong businesses.</w:t>
      </w:r>
    </w:p>
    <w:p w14:paraId="236DED23" w14:textId="77777777" w:rsidR="00A63D17" w:rsidRDefault="006F5F08" w:rsidP="003C0E2A">
      <w:pPr>
        <w:pStyle w:val="Heading2"/>
        <w:pBdr>
          <w:top w:val="single" w:sz="4" w:space="1" w:color="auto"/>
          <w:left w:val="single" w:sz="4" w:space="1" w:color="auto"/>
          <w:bottom w:val="single" w:sz="4" w:space="1" w:color="auto"/>
          <w:right w:val="single" w:sz="4" w:space="1" w:color="auto"/>
        </w:pBdr>
      </w:pPr>
      <w:bookmarkStart w:id="37" w:name="_Toc236826982"/>
      <w:r>
        <w:t>Hard Rule: Correlation Cap</w:t>
      </w:r>
      <w:bookmarkEnd w:id="37"/>
    </w:p>
    <w:p w14:paraId="4B2F23EB" w14:textId="77777777" w:rsidR="00A63D17" w:rsidRDefault="00000000" w:rsidP="003C0E2A">
      <w:pPr>
        <w:pBdr>
          <w:top w:val="single" w:sz="4" w:space="1" w:color="auto"/>
          <w:left w:val="single" w:sz="4" w:space="1" w:color="auto"/>
          <w:bottom w:val="single" w:sz="4" w:space="1" w:color="auto"/>
          <w:right w:val="single" w:sz="4" w:space="1" w:color="auto"/>
        </w:pBdr>
        <w:spacing w:after="120"/>
      </w:pPr>
      <w:r>
        <w:t>Sector caps (Part 5) do not catch cross-sector correlation. Positions in different GICS sectors can still move together under a shared macro or factor exposure, which is where much realized portfolio drawdown originates.</w:t>
      </w:r>
    </w:p>
    <w:p w14:paraId="6A81BDCB" w14:textId="77777777"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Pr>
          <w:b/>
          <w:bCs/>
        </w:rPr>
        <w:t xml:space="preserve">Quarterly – </w:t>
      </w:r>
      <w:r>
        <w:t xml:space="preserve"> </w:t>
      </w:r>
      <w:r>
        <w:rPr>
          <w:u w:val="single"/>
        </w:rPr>
        <w:t>calculate pairwise correlations</w:t>
      </w:r>
      <w:r>
        <w:t xml:space="preserve"> using weekly total returns over the longest common period up to 36 months, with a 24-month target and 12-month minimum. </w:t>
        <w:br/>
        <w:t xml:space="preserve">- Flag any cluster of three or more holdings with pairwise correlation above </w:t>
      </w:r>
      <w:r>
        <w:rPr>
          <w:b/>
          <w:bCs/>
        </w:rPr>
        <w:t>0.70</w:t>
      </w:r>
      <w:r>
        <w:t xml:space="preserve">, document shared economic risk driver. </w:t>
        <w:br/>
        <w:t xml:space="preserve">- A new position that expands a flagged cluster must be initiated at </w:t>
      </w:r>
      <w:r>
        <w:rPr>
          <w:b/>
          <w:bCs/>
        </w:rPr>
        <w:t>50%</w:t>
      </w:r>
      <w:r>
        <w:t xml:space="preserve"> of normal initial size, and aggregate exposure to</w:t>
        <w:br/>
        <w:t xml:space="preserve">     that cluster shall not exceed </w:t>
      </w:r>
      <w:r>
        <w:rPr>
          <w:b/>
          <w:bCs/>
        </w:rPr>
        <w:t>20%</w:t>
      </w:r>
      <w:r>
        <w:t xml:space="preserve"> without written approval. </w:t>
        <w:br/>
        <w:t xml:space="preserve">- Correlation is a </w:t>
      </w:r>
      <w:r>
        <w:rPr>
          <w:b/>
          <w:bCs/>
        </w:rPr>
        <w:t>risk-review trigger</w:t>
      </w:r>
      <w:r>
        <w:t xml:space="preserve">, </w:t>
      </w:r>
      <w:r>
        <w:rPr>
          <w:u w:val="single"/>
        </w:rPr>
        <w:t>not an automatic forced sale</w:t>
      </w:r>
      <w:r>
        <w:t>.</w:t>
      </w:r>
    </w:p>
    <w:p w14:paraId="0E5B0345" w14:textId="77777777" w:rsidR="00D418EE" w:rsidRDefault="00D418EE">
      <w:pPr>
        <w:rPr>
          <w:b/>
          <w:bCs/>
          <w:color w:val="1F3864"/>
          <w:sz w:val="22"/>
          <w:szCs w:val="22"/>
        </w:rPr>
      </w:pPr>
      <w:bookmarkStart w:id="38" w:name="_Toc236826983"/>
      <w:r>
        <w:br w:type="page"/>
      </w:r>
    </w:p>
    <w:p w14:paraId="54991E78" w14:textId="77777777" w:rsidR="00A63D17" w:rsidRDefault="00000000" w:rsidP="00E34BC5">
      <w:pPr>
        <w:pStyle w:val="Heading2"/>
      </w:pPr>
      <w:r>
        <w:lastRenderedPageBreak/>
        <w:t>Portfolio-Level Drawdown Response</w:t>
      </w:r>
      <w:bookmarkEnd w:id="38"/>
    </w:p>
    <w:p w14:paraId="1132C879" w14:textId="77777777" w:rsidR="00A63D17" w:rsidRDefault="00000000">
      <w:pPr>
        <w:spacing w:after="120"/>
      </w:pPr>
      <w:r>
        <w:t>The macro-overlay above responds to external conditions (rates, credit spreads, yield curve). This table responds to realized portfolio drawdown directly, regardless of cause — including a broad decline where individual Tier 1 scores remain intact.</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895"/>
      </w:tblGrid>
      <w:tr w:rsidR="00A63D17" w:rsidRPr="006F5F08" w14:paraId="22DB5F87" w14:textId="77777777" w:rsidTr="004B5C1E">
        <w:trPr>
          <w:tblHeade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4418C7E" w14:textId="77777777" w:rsidR="00A63D17" w:rsidRPr="006F5F08" w:rsidRDefault="00000000">
            <w:pPr>
              <w:jc w:val="center"/>
              <w:rPr>
                <w:sz w:val="21"/>
                <w:szCs w:val="21"/>
              </w:rPr>
            </w:pPr>
            <w:r>
              <w:rPr>
                <w:b/>
                <w:bCs/>
                <w:color w:val="FFFFFF"/>
                <w:sz w:val="21"/>
                <w:szCs w:val="21"/>
              </w:rPr>
              <w:t>Drawdown Level</w:t>
            </w:r>
          </w:p>
        </w:tc>
        <w:tc>
          <w:tcPr>
            <w:tcW w:w="1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1B7A300" w14:textId="77777777" w:rsidR="00A63D17" w:rsidRPr="006F5F08" w:rsidRDefault="00000000">
            <w:pPr>
              <w:jc w:val="center"/>
              <w:rPr>
                <w:sz w:val="21"/>
                <w:szCs w:val="21"/>
              </w:rPr>
            </w:pPr>
            <w:r>
              <w:rPr>
                <w:b/>
                <w:bCs/>
                <w:color w:val="FFFFFF"/>
                <w:sz w:val="21"/>
                <w:szCs w:val="21"/>
              </w:rPr>
              <w:t>Status</w:t>
            </w:r>
          </w:p>
        </w:tc>
        <w:tc>
          <w:tcPr>
            <w:tcW w:w="689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CF5200D" w14:textId="77777777" w:rsidR="00A63D17" w:rsidRPr="006F5F08" w:rsidRDefault="00000000" w:rsidP="006F5F08">
            <w:pPr>
              <w:pStyle w:val="ListParagraph"/>
              <w:numPr>
                <w:ilvl w:val="0"/>
                <w:numId w:val="16"/>
              </w:numPr>
              <w:jc w:val="center"/>
              <w:rPr>
                <w:sz w:val="21"/>
                <w:szCs w:val="21"/>
              </w:rPr>
            </w:pPr>
            <w:r>
              <w:rPr>
                <w:b/>
                <w:bCs/>
                <w:color w:val="FFFFFF"/>
                <w:sz w:val="21"/>
                <w:szCs w:val="21"/>
              </w:rPr>
              <w:t>Required Response</w:t>
            </w:r>
          </w:p>
        </w:tc>
      </w:tr>
      <w:tr w:rsidR="00A63D17" w:rsidRPr="006F5F08" w14:paraId="36D37E0E"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EC787C" w14:textId="77777777" w:rsidR="00A63D17" w:rsidRPr="006F5F08" w:rsidRDefault="00000000">
            <w:pPr>
              <w:jc w:val="center"/>
              <w:rPr>
                <w:sz w:val="21"/>
                <w:szCs w:val="21"/>
              </w:rPr>
            </w:pPr>
            <w:r>
              <w:rPr>
                <w:b/>
                <w:bCs/>
                <w:sz w:val="21"/>
                <w:szCs w:val="21"/>
              </w:rPr>
              <w:t>0–10%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ED720F7" w14:textId="77777777" w:rsidR="00A63D17" w:rsidRPr="006F5F08" w:rsidRDefault="00000000">
            <w:pPr>
              <w:jc w:val="center"/>
              <w:rPr>
                <w:sz w:val="21"/>
                <w:szCs w:val="21"/>
              </w:rPr>
            </w:pPr>
            <w:r>
              <w:rPr>
                <w:b/>
                <w:bCs/>
                <w:sz w:val="21"/>
                <w:szCs w:val="21"/>
              </w:rPr>
              <w:t>Normal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185721"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Standard sizing and 5–15% cash floor rules apply (Part 5).</w:t>
            </w:r>
          </w:p>
        </w:tc>
      </w:tr>
      <w:tr w:rsidR="00A63D17" w:rsidRPr="006F5F08" w14:paraId="4923B3A3"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97BCAB" w14:textId="77777777" w:rsidR="00A63D17" w:rsidRPr="006F5F08" w:rsidRDefault="00000000">
            <w:pPr>
              <w:jc w:val="center"/>
              <w:rPr>
                <w:sz w:val="21"/>
                <w:szCs w:val="21"/>
              </w:rPr>
            </w:pPr>
            <w:r>
              <w:rPr>
                <w:b/>
                <w:bCs/>
                <w:sz w:val="21"/>
                <w:szCs w:val="21"/>
              </w:rPr>
              <w:t>10–20%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A2DE74D" w14:textId="77777777" w:rsidR="00A63D17" w:rsidRPr="006F5F08" w:rsidRDefault="00000000">
            <w:pPr>
              <w:jc w:val="center"/>
              <w:rPr>
                <w:sz w:val="21"/>
                <w:szCs w:val="21"/>
              </w:rPr>
            </w:pPr>
            <w:r>
              <w:rPr>
                <w:b/>
                <w:bCs/>
                <w:sz w:val="21"/>
                <w:szCs w:val="21"/>
              </w:rPr>
              <w:t>Elevated</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0F667E"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15% minimum.</w:t>
            </w:r>
          </w:p>
          <w:p w14:paraId="1FDBAA5F"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Suspend initiation of new positions scored below 80 (Strong Buy only).</w:t>
            </w:r>
          </w:p>
        </w:tc>
      </w:tr>
      <w:tr w:rsidR="00A63D17" w:rsidRPr="006F5F08" w14:paraId="7C72CD8D"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AF45BC" w14:textId="77777777" w:rsidR="00A63D17" w:rsidRPr="006F5F08" w:rsidRDefault="00000000">
            <w:pPr>
              <w:jc w:val="center"/>
              <w:rPr>
                <w:sz w:val="21"/>
                <w:szCs w:val="21"/>
              </w:rPr>
            </w:pPr>
            <w:r>
              <w:rPr>
                <w:b/>
                <w:bCs/>
                <w:sz w:val="21"/>
                <w:szCs w:val="21"/>
              </w:rPr>
              <w:t>20–30%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132F1D" w14:textId="77777777" w:rsidR="00A63D17" w:rsidRPr="006F5F08" w:rsidRDefault="00000000">
            <w:pPr>
              <w:jc w:val="center"/>
              <w:rPr>
                <w:sz w:val="21"/>
                <w:szCs w:val="21"/>
              </w:rPr>
            </w:pPr>
            <w:r>
              <w:rPr>
                <w:b/>
                <w:bCs/>
                <w:sz w:val="21"/>
                <w:szCs w:val="21"/>
              </w:rPr>
              <w:t>Severe</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034213"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20% minimum.</w:t>
            </w:r>
          </w:p>
          <w:p w14:paraId="3B0ACB3D"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Suspend all new position initiation regardless of Composite Score.</w:t>
            </w:r>
          </w:p>
          <w:p w14:paraId="2823B210"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Hold Through rules (Part 6) remain in force for fundamentally intact holdings.</w:t>
            </w:r>
          </w:p>
        </w:tc>
      </w:tr>
      <w:tr w:rsidR="00A63D17" w:rsidRPr="006F5F08" w14:paraId="63E1E700"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448DD6" w14:textId="77777777" w:rsidR="00A63D17" w:rsidRPr="006F5F08" w:rsidRDefault="00000000">
            <w:pPr>
              <w:jc w:val="center"/>
              <w:rPr>
                <w:sz w:val="21"/>
                <w:szCs w:val="21"/>
              </w:rPr>
            </w:pPr>
            <w:r>
              <w:rPr>
                <w:b/>
                <w:bCs/>
                <w:sz w:val="21"/>
                <w:szCs w:val="21"/>
              </w:rPr>
              <w:t>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022F12" w14:textId="77777777" w:rsidR="00A63D17" w:rsidRPr="006F5F08" w:rsidRDefault="00000000">
            <w:pPr>
              <w:jc w:val="center"/>
              <w:rPr>
                <w:sz w:val="21"/>
                <w:szCs w:val="21"/>
              </w:rPr>
            </w:pPr>
            <w:r>
              <w:rPr>
                <w:b/>
                <w:bCs/>
                <w:sz w:val="21"/>
                <w:szCs w:val="21"/>
              </w:rPr>
              <w:t>Critical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D4A7B3"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25% minimum.</w:t>
            </w:r>
          </w:p>
          <w:p w14:paraId="5F322F8E"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Re-score the full portfolio within 2 weeks.</w:t>
            </w:r>
          </w:p>
          <w:p w14:paraId="235736E6"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Document whether the decline reflects fundamentals, valuation compression, or macro conditions before any further action.</w:t>
            </w:r>
          </w:p>
        </w:tc>
      </w:tr>
    </w:tbl>
    <w:p w14:paraId="6C67D5D8" w14:textId="77777777" w:rsidR="00A63D17" w:rsidRDefault="00000000">
      <w:pPr>
        <w:spacing w:after="200"/>
      </w:pPr>
      <w:r>
        <w:t xml:space="preserve">Drawdown is measured on </w:t>
      </w:r>
      <w:r>
        <w:rPr>
          <w:u w:val="single"/>
        </w:rPr>
        <w:t>aggregate portfolio total return</w:t>
      </w:r>
      <w:r>
        <w:t>, net of external deposits and withdrawals, from the trailing high-water mark. Use daily closing values when available, otherwise weekly values. A drawdown regime begins after five consecutive trading days beyond a threshold and ends after ten consecutive trading days inside the less restrictive band. A new high-water mark resets the measurement.</w:t>
      </w:r>
    </w:p>
    <w:p w14:paraId="6683C06B" w14:textId="77777777" w:rsidR="00A63D17" w:rsidRDefault="00000000" w:rsidP="003C0E2A">
      <w:pPr>
        <w:pStyle w:val="Heading2"/>
        <w:pBdr>
          <w:top w:val="single" w:sz="4" w:space="1" w:color="auto"/>
          <w:left w:val="single" w:sz="4" w:space="1" w:color="auto"/>
          <w:bottom w:val="single" w:sz="4" w:space="1" w:color="auto"/>
          <w:right w:val="single" w:sz="4" w:space="1" w:color="auto"/>
        </w:pBdr>
      </w:pPr>
      <w:bookmarkStart w:id="39" w:name="_Toc236826984"/>
      <w:r>
        <w:t>Hard Rule: Portfolio Drawdown Response</w:t>
      </w:r>
      <w:bookmarkEnd w:id="39"/>
    </w:p>
    <w:p w14:paraId="6779B9F0" w14:textId="77777777"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Pr>
          <w:b/>
          <w:bCs/>
        </w:rPr>
        <w:t>Portfolio drawdown restrictions</w:t>
      </w:r>
      <w:r>
        <w:t xml:space="preserve"> on new deployment </w:t>
      </w:r>
      <w:r>
        <w:rPr>
          <w:u w:val="single"/>
        </w:rPr>
        <w:t>apply automatically</w:t>
      </w:r>
      <w:r>
        <w:t xml:space="preserve"> and are </w:t>
      </w:r>
      <w:r>
        <w:rPr>
          <w:u w:val="single"/>
        </w:rPr>
        <w:t>not overridden by individual conviction</w:t>
      </w:r>
      <w:r>
        <w:t>.</w:t>
        <w:br/>
        <w:t xml:space="preserve">Higher cash levels are targets reached through the </w:t>
      </w:r>
      <w:r>
        <w:rPr>
          <w:b/>
          <w:bCs/>
        </w:rPr>
        <w:t>Cash-Raising Waterfall</w:t>
      </w:r>
      <w:r>
        <w:t xml:space="preserve"> below – they do not require indiscriminate sale of fundamentally intact holdings. </w:t>
        <w:br/>
      </w:r>
      <w:r>
        <w:rPr>
          <w:u w:val="single"/>
        </w:rPr>
        <w:t>Normal portfolio deployment resumes</w:t>
      </w:r>
      <w:r>
        <w:t xml:space="preserve"> when the </w:t>
      </w:r>
      <w:r>
        <w:rPr>
          <w:b/>
          <w:bCs/>
        </w:rPr>
        <w:t>regime-exit test</w:t>
      </w:r>
      <w:r>
        <w:t xml:space="preserve"> is met.</w:t>
        <w:br/>
      </w:r>
      <w:r>
        <w:rPr>
          <w:b/>
          <w:bCs/>
        </w:rPr>
        <w:t>Security-specific sizing restrictions</w:t>
      </w:r>
      <w:r>
        <w:t xml:space="preserve"> </w:t>
      </w:r>
      <w:r>
        <w:rPr>
          <w:u w:val="single"/>
        </w:rPr>
        <w:t>remain until the relevant holding is re-scored</w:t>
      </w:r>
      <w:r>
        <w:rPr>
          <w:b/>
          <w:bCs/>
        </w:rPr>
        <w:t>.</w:t>
      </w:r>
    </w:p>
    <w:p w14:paraId="43DF09B3" w14:textId="77777777" w:rsidR="00A63D17" w:rsidRDefault="00000000" w:rsidP="00E34BC5">
      <w:pPr>
        <w:pStyle w:val="Heading2"/>
      </w:pPr>
      <w:bookmarkStart w:id="40" w:name="_Toc236826985"/>
      <w:r>
        <w:t>Cash-Raising Waterfall</w:t>
      </w:r>
      <w:bookmarkEnd w:id="40"/>
    </w:p>
    <w:p w14:paraId="5E83E5E0" w14:textId="77777777" w:rsidR="00A63D17" w:rsidRDefault="00000000">
      <w:pPr>
        <w:spacing w:after="120"/>
      </w:pPr>
      <w:r>
        <w:t>When a drawdown regime raises the cash target: (1) suspend new purchases as required; (2) retain dividends, interest, and ordinary sale proceeds; (3) trim positions already above current position or sector caps; (4) trim the lowest-scoring holdings not protected by Hold Through; and then (5) trim the highest-beta, highest-correlation, or most-leveraged holdings. Do not sell a fundamentally intact core holding solely to reach the cash target unless the Critical regime has persisted for 20 trading days and the documented portfolio review concludes that aggregate risk remains excessive.</w:t>
      </w:r>
    </w:p>
    <w:p w14:paraId="0516B804" w14:textId="77777777" w:rsidR="00B71629" w:rsidRDefault="00B71629">
      <w:pPr>
        <w:rPr>
          <w:b/>
          <w:bCs/>
          <w:color w:val="1F3864"/>
          <w:sz w:val="22"/>
          <w:szCs w:val="22"/>
        </w:rPr>
      </w:pPr>
      <w:bookmarkStart w:id="41" w:name="_Toc236826986"/>
      <w:r>
        <w:br w:type="page"/>
      </w:r>
    </w:p>
    <w:p w14:paraId="539E2BAC" w14:textId="77777777" w:rsidR="00A63D17" w:rsidRDefault="00000000" w:rsidP="00E34BC5">
      <w:pPr>
        <w:pStyle w:val="Heading2"/>
      </w:pPr>
      <w:r>
        <w:lastRenderedPageBreak/>
        <w:t>Target Drawdown Reference</w:t>
      </w:r>
      <w:bookmarkEnd w:id="41"/>
    </w:p>
    <w:p w14:paraId="75FE447E" w14:textId="77777777" w:rsidR="00A63D17" w:rsidRDefault="00000000">
      <w:pPr>
        <w:spacing w:after="120"/>
      </w:pPr>
      <w:r>
        <w:t>Approximate mapping of controls to target maximum portfolio drawdown. This is a planning reference, not a guarantee — realized drawdown depends on conditions outside the system's control.</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45"/>
      </w:tblGrid>
      <w:tr w:rsidR="00A63D17" w:rsidRPr="006F5F08" w14:paraId="3E9ACE15" w14:textId="77777777" w:rsidTr="006F5F08">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6967BE7" w14:textId="77777777" w:rsidR="00A63D17" w:rsidRPr="006F5F08" w:rsidRDefault="00000000" w:rsidP="006F5F08">
            <w:pPr>
              <w:jc w:val="center"/>
              <w:rPr>
                <w:sz w:val="21"/>
                <w:szCs w:val="21"/>
              </w:rPr>
            </w:pPr>
            <w:r>
              <w:rPr>
                <w:b/>
                <w:bCs/>
                <w:color w:val="FFFFFF"/>
                <w:sz w:val="21"/>
                <w:szCs w:val="21"/>
              </w:rPr>
              <w:t>Target Max Drawdown</w:t>
            </w:r>
          </w:p>
        </w:tc>
        <w:tc>
          <w:tcPr>
            <w:tcW w:w="83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61C1693" w14:textId="77777777" w:rsidR="00A63D17" w:rsidRPr="006F5F08" w:rsidRDefault="00000000">
            <w:pPr>
              <w:jc w:val="center"/>
              <w:rPr>
                <w:sz w:val="21"/>
                <w:szCs w:val="21"/>
              </w:rPr>
            </w:pPr>
            <w:r>
              <w:rPr>
                <w:b/>
                <w:bCs/>
                <w:color w:val="FFFFFF"/>
                <w:sz w:val="21"/>
                <w:szCs w:val="21"/>
              </w:rPr>
              <w:t>Controls in Effect</w:t>
            </w:r>
          </w:p>
        </w:tc>
      </w:tr>
      <w:tr w:rsidR="00A63D17" w:rsidRPr="006F5F08" w14:paraId="5641D2BF"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3E0DCCF" w14:textId="77777777" w:rsidR="00A63D17" w:rsidRPr="006F5F08" w:rsidRDefault="00000000" w:rsidP="006F5F08">
            <w:pPr>
              <w:jc w:val="center"/>
              <w:rPr>
                <w:sz w:val="21"/>
                <w:szCs w:val="21"/>
              </w:rPr>
            </w:pPr>
            <w:r>
              <w:rPr>
                <w:b/>
                <w:bCs/>
                <w:sz w:val="21"/>
                <w:szCs w:val="21"/>
              </w:rPr>
              <w:t>0–15%</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83E197"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Full portfolio-drawdown response table active from the 10% band.</w:t>
            </w:r>
          </w:p>
          <w:p w14:paraId="02724962"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Correlation cap enforced strictly.</w:t>
            </w:r>
          </w:p>
          <w:p w14:paraId="7575DAE3"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Leverage hard cap and beta overlay both applied conservatively (Part 5).</w:t>
            </w:r>
          </w:p>
          <w:p w14:paraId="455B2FB3"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Cash floor raised early.</w:t>
            </w:r>
          </w:p>
        </w:tc>
      </w:tr>
      <w:tr w:rsidR="00A63D17" w:rsidRPr="006F5F08" w14:paraId="414845ED"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3ED8BB" w14:textId="77777777" w:rsidR="00A63D17" w:rsidRPr="006F5F08" w:rsidRDefault="00000000" w:rsidP="006F5F08">
            <w:pPr>
              <w:jc w:val="center"/>
              <w:rPr>
                <w:sz w:val="21"/>
                <w:szCs w:val="21"/>
              </w:rPr>
            </w:pPr>
            <w:r>
              <w:rPr>
                <w:b/>
                <w:bCs/>
                <w:sz w:val="21"/>
                <w:szCs w:val="21"/>
              </w:rPr>
              <w:t>15–30%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40D54A1" w14:textId="77777777" w:rsidR="00A63D17" w:rsidRPr="006F5F08" w:rsidRDefault="00000000" w:rsidP="006F5F08">
            <w:pPr>
              <w:pStyle w:val="ListParagraph"/>
              <w:numPr>
                <w:ilvl w:val="1"/>
                <w:numId w:val="3"/>
              </w:numPr>
              <w:spacing w:after="40"/>
              <w:ind w:left="503" w:hanging="270"/>
              <w:rPr>
                <w:sz w:val="21"/>
                <w:szCs w:val="21"/>
              </w:rPr>
            </w:pPr>
            <w:r>
              <w:rPr>
                <w:sz w:val="21"/>
                <w:szCs w:val="21"/>
              </w:rPr>
              <w:t>Standard system as documented throughout this Operating System, plus the Correlation Cap and Bear-Case Implied Return Test.</w:t>
            </w:r>
          </w:p>
          <w:p w14:paraId="2E745E09" w14:textId="77777777" w:rsidR="00A63D17" w:rsidRPr="006F5F08" w:rsidRDefault="00000000" w:rsidP="006F5F08">
            <w:pPr>
              <w:pStyle w:val="ListParagraph"/>
              <w:numPr>
                <w:ilvl w:val="0"/>
                <w:numId w:val="17"/>
              </w:numPr>
              <w:spacing w:after="40"/>
              <w:ind w:left="503" w:hanging="270"/>
              <w:rPr>
                <w:sz w:val="21"/>
                <w:szCs w:val="21"/>
              </w:rPr>
            </w:pPr>
            <w:r>
              <w:rPr>
                <w:sz w:val="21"/>
                <w:szCs w:val="21"/>
              </w:rPr>
              <w:t>This is the range the base system is designed to produce.</w:t>
            </w:r>
          </w:p>
        </w:tc>
      </w:tr>
      <w:tr w:rsidR="00A63D17" w:rsidRPr="006F5F08" w14:paraId="38E7F418"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CAF79F4" w14:textId="77777777" w:rsidR="00A63D17" w:rsidRPr="006F5F08" w:rsidRDefault="00000000" w:rsidP="006F5F08">
            <w:pPr>
              <w:jc w:val="center"/>
              <w:rPr>
                <w:sz w:val="21"/>
                <w:szCs w:val="21"/>
              </w:rPr>
            </w:pPr>
            <w:r>
              <w:rPr>
                <w:b/>
                <w:bCs/>
                <w:sz w:val="21"/>
                <w:szCs w:val="21"/>
              </w:rPr>
              <w:t>30–50%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2E64BD9" w14:textId="77777777" w:rsidR="00A63D17" w:rsidRPr="006F5F08" w:rsidRDefault="00000000" w:rsidP="006F5F08">
            <w:pPr>
              <w:pStyle w:val="ListParagraph"/>
              <w:numPr>
                <w:ilvl w:val="1"/>
                <w:numId w:val="3"/>
              </w:numPr>
              <w:spacing w:after="40"/>
              <w:ind w:left="503" w:hanging="270"/>
              <w:rPr>
                <w:sz w:val="21"/>
                <w:szCs w:val="21"/>
              </w:rPr>
            </w:pPr>
            <w:r>
              <w:rPr>
                <w:sz w:val="21"/>
                <w:szCs w:val="21"/>
              </w:rPr>
              <w:t>Sizing ceilings (Part 5) and sector caps still apply, but concentration and correlation are allowed to run closer to their limits.</w:t>
            </w:r>
          </w:p>
          <w:p w14:paraId="17F8A53E" w14:textId="77777777" w:rsidR="00A63D17" w:rsidRPr="006F5F08" w:rsidRDefault="00000000" w:rsidP="006F5F08">
            <w:pPr>
              <w:pStyle w:val="ListParagraph"/>
              <w:numPr>
                <w:ilvl w:val="0"/>
                <w:numId w:val="17"/>
              </w:numPr>
              <w:spacing w:after="40"/>
              <w:ind w:left="503" w:hanging="270"/>
              <w:rPr>
                <w:sz w:val="21"/>
                <w:szCs w:val="21"/>
              </w:rPr>
            </w:pPr>
            <w:r>
              <w:rPr>
                <w:sz w:val="21"/>
                <w:szCs w:val="21"/>
              </w:rPr>
              <w:t>Appropriate only with explicit, documented risk tolerance for the wider band.</w:t>
            </w:r>
          </w:p>
        </w:tc>
      </w:tr>
    </w:tbl>
    <w:p w14:paraId="358C1BE1" w14:textId="77777777" w:rsidR="00A63D17" w:rsidRDefault="00000000">
      <w:pPr>
        <w:spacing w:after="120"/>
      </w:pPr>
      <w:r>
        <w:rPr>
          <w:u w:val="single"/>
        </w:rPr>
        <w:t>NOTE</w:t>
      </w:r>
      <w:r>
        <w:t>: Do not adjust the thresholds in this section reactively after a single drawdown event. Review the Correlation Cap and Portfolio Drawdown Response rules on the same 2-year cadence as indicator weights (Part 9), using documented evidence across multiple portfolio cycles.</w:t>
      </w:r>
    </w:p>
    <w:p w14:paraId="5B165470" w14:textId="77777777" w:rsidR="00066663" w:rsidRDefault="00066663"/>
    <w:p w14:paraId="02B23464" w14:textId="77777777" w:rsidR="00066663" w:rsidRDefault="00066663" w:rsidP="00066663">
      <w:pPr>
        <w:spacing w:before="160" w:after="120"/>
      </w:pPr>
      <w:r>
        <w:rPr>
          <w:b/>
          <w:bCs/>
        </w:rPr>
        <w:t xml:space="preserve">Transition: </w:t>
      </w:r>
      <w:r>
        <w:rPr>
          <w:i/>
          <w:iCs/>
        </w:rPr>
        <w:t>Part 8 applies a parallel discipline to tax considerations, which shall never override the risk and quality standards established above.</w:t>
      </w:r>
    </w:p>
    <w:p w14:paraId="0990A2CB" w14:textId="77777777" w:rsidR="00066663" w:rsidRDefault="00066663"/>
    <w:p w14:paraId="0CC1FDA6" w14:textId="77777777" w:rsidR="006F5F08" w:rsidRDefault="006F5F08">
      <w:pPr>
        <w:rPr>
          <w:b/>
          <w:bCs/>
          <w:color w:val="1F3864"/>
          <w:sz w:val="28"/>
          <w:szCs w:val="28"/>
        </w:rPr>
      </w:pPr>
      <w:r>
        <w:br w:type="page"/>
      </w:r>
    </w:p>
    <w:p w14:paraId="092C80BF" w14:textId="77777777" w:rsidR="00A63D17" w:rsidRDefault="00000000" w:rsidP="00E34BC5">
      <w:pPr>
        <w:pStyle w:val="Heading1"/>
      </w:pPr>
      <w:bookmarkStart w:id="42" w:name="_Toc236826987"/>
      <w:r>
        <w:lastRenderedPageBreak/>
        <w:t>PART 8 — TAX-AWARE PORTFOLIO MANAGEMENT</w:t>
      </w:r>
      <w:bookmarkEnd w:id="42"/>
    </w:p>
    <w:p w14:paraId="0B53D37E" w14:textId="77777777" w:rsidR="00A63D17" w:rsidRDefault="00000000">
      <w:pPr>
        <w:spacing w:after="160"/>
      </w:pPr>
      <w:r>
        <w:rPr>
          <w:b/>
          <w:bCs/>
          <w:i/>
          <w:iCs/>
          <w:color w:val="2E5090"/>
        </w:rPr>
        <w:t xml:space="preserve">Purpose of this Part: </w:t>
      </w:r>
      <w:r>
        <w:rPr>
          <w:i/>
          <w:iCs/>
          <w:color w:val="404040"/>
        </w:rPr>
        <w:t xml:space="preserve">This Part governs how – not whether – an already-justified trade is executed for tax efficiency.</w:t>
      </w:r>
    </w:p>
    <w:p w14:paraId="29E54CE0" w14:textId="77777777" w:rsidR="00A63D17" w:rsidRDefault="00000000">
      <w:pPr>
        <w:spacing w:after="120"/>
      </w:pPr>
      <w:r>
        <w:t>This Part applies only to taxable accounts, and only to decisions where tax treatment is a legitimate secondary consideration. It never overrides a fundamentally-mandated sell (Part 6, Sell Triggers) or a hard-cap-mandated trim (Parts 5 and 7) — those execute on their required timeline regardless of holding period or tax lot.</w:t>
      </w:r>
    </w:p>
    <w:p w14:paraId="5CC2FC3A" w14:textId="77777777" w:rsidR="00A63D17" w:rsidRDefault="00000000" w:rsidP="00E34BC5">
      <w:pPr>
        <w:pStyle w:val="Heading2"/>
      </w:pPr>
      <w:bookmarkStart w:id="43" w:name="_Toc236826988"/>
      <w:r>
        <w:t>Holding Period Awareness</w:t>
      </w:r>
      <w:bookmarkEnd w:id="43"/>
    </w:p>
    <w:p w14:paraId="3F5321A0" w14:textId="77777777" w:rsidR="00A63D17" w:rsidRDefault="00000000">
      <w:pPr>
        <w:spacing w:after="120"/>
      </w:pPr>
      <w:r>
        <w:t>Before executing a discretionary trim (valuation-driven, sector-cap, or portfolio-rebalancing — not a fundamental sell trigger), check whether the affected lot is within 30 days of reaching long-term holding status (&gt;1 year). If delaying execution by up to 30 days does not violate any hard rule (position cap, sector cap, drawdown response), the delay is permitted to capture long-term treatment.</w:t>
      </w:r>
    </w:p>
    <w:p w14:paraId="733DC7D2" w14:textId="77777777" w:rsidR="00A63D17" w:rsidRDefault="00000000" w:rsidP="00E34BC5">
      <w:pPr>
        <w:pStyle w:val="Heading2"/>
      </w:pPr>
      <w:bookmarkStart w:id="44" w:name="_Toc236826989"/>
      <w:r>
        <w:t>Tax-Loss Harvesting</w:t>
      </w:r>
      <w:bookmarkEnd w:id="44"/>
    </w:p>
    <w:p w14:paraId="2427B52F" w14:textId="77777777" w:rsidR="00A63D17" w:rsidRDefault="00000000">
      <w:pPr>
        <w:spacing w:after="120"/>
      </w:pPr>
      <w:r>
        <w:t>Positions on Probationary Hold, Exit Review, or carrying an unrealized loss may be considered for opportunistic loss realization before a mandatory sell deadline. The replacement must provide suitable economic exposure without being substantially identical, for wash-sale purposes. Coordinate transactions across taxable accounts, IRAs, and related household accounts.</w:t>
      </w:r>
    </w:p>
    <w:p w14:paraId="225E8326" w14:textId="77777777" w:rsidR="00A63D17" w:rsidRDefault="00000000" w:rsidP="00E34BC5">
      <w:pPr>
        <w:pStyle w:val="Heading2"/>
      </w:pPr>
      <w:bookmarkStart w:id="45" w:name="_Toc236826990"/>
      <w:r>
        <w:t>Lot Selection Discipline</w:t>
      </w:r>
      <w:bookmarkEnd w:id="45"/>
    </w:p>
    <w:p w14:paraId="1EDA0FB0" w14:textId="77777777" w:rsidR="00A63D17" w:rsidRDefault="00000000">
      <w:pPr>
        <w:spacing w:after="120"/>
      </w:pPr>
      <w:r>
        <w:t>When a discretionary trim affects a multi-lot position, use specific-lot identification and select the lot or combination expected to produce the lowest after-tax cost, considering losses, short- versus long-term gains, basis, loss carryforwards, and the investor's current tax position. Confirm the specific-lot instruction with the broker at execution.</w:t>
      </w:r>
    </w:p>
    <w:p w14:paraId="2E98A656" w14:textId="77777777" w:rsidR="00A63D17" w:rsidRDefault="00000000" w:rsidP="00E34BC5">
      <w:pPr>
        <w:pStyle w:val="Heading2"/>
      </w:pPr>
      <w:bookmarkStart w:id="46" w:name="_Toc236826991"/>
      <w:r>
        <w:t>Turnover Discipline</w:t>
      </w:r>
      <w:bookmarkEnd w:id="46"/>
    </w:p>
    <w:p w14:paraId="3131EB17" w14:textId="77777777" w:rsidR="00A63D17" w:rsidRDefault="00000000">
      <w:pPr>
        <w:spacing w:after="120"/>
      </w:pPr>
      <w:r>
        <w:t>Tax efficiency is never, by itself, sufficient justification for a trade. A position that would not otherwise be trimmed or exited under Parts 4, 5, 6, or 7 is not sold merely because a tax loss or a favorable holding-period milestone becomes available. This section governs how an already-justified trade is executed, not whether one occurs.</w:t>
      </w:r>
    </w:p>
    <w:p w14:paraId="63148D85"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7" w:name="_Toc236826992"/>
      <w:r>
        <w:t>Hard Rules: Tax-Aware Portfolio Management</w:t>
      </w:r>
      <w:bookmarkEnd w:id="47"/>
    </w:p>
    <w:p w14:paraId="2686220D"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A sell mandated by a </w:t>
      </w:r>
      <w:r>
        <w:rPr>
          <w:b/>
          <w:bCs/>
        </w:rPr>
        <w:t>fundamental deterioration trigger</w:t>
      </w:r>
      <w:r>
        <w:t xml:space="preserve"> (</w:t>
      </w:r>
      <w:r>
        <w:rPr>
          <w:b/>
          <w:bCs/>
        </w:rPr>
        <w:t>Part 6</w:t>
      </w:r>
      <w:r>
        <w:t>) shall execute within its required window regardless of holding period or tax lot.</w:t>
      </w:r>
    </w:p>
    <w:p w14:paraId="02D5146F"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A </w:t>
      </w:r>
      <w:r>
        <w:rPr>
          <w:b/>
          <w:bCs/>
        </w:rPr>
        <w:t>discretionary trim</w:t>
      </w:r>
      <w:r>
        <w:t xml:space="preserve"> (valuation-driven, sizing, or sector-cap) may be delayed up to 30 days to allow a lot to reach long-term holding status, provided the delay does not violate any hard rule.</w:t>
      </w:r>
    </w:p>
    <w:p w14:paraId="437D9348"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When trimming a multi-lot position, use </w:t>
      </w:r>
      <w:r>
        <w:rPr>
          <w:b/>
          <w:bCs/>
        </w:rPr>
        <w:t>specific-lot identification</w:t>
      </w:r>
      <w:r>
        <w:t xml:space="preserve"> and select the lot or combination expected to minimize after-tax cost. </w:t>
        <w:br/>
        <w:t xml:space="preserve">Do not assume highest basis is always optimal – consider </w:t>
      </w:r>
      <w:r>
        <w:rPr>
          <w:b/>
          <w:bCs/>
        </w:rPr>
        <w:t>loss harvesting</w:t>
      </w:r>
      <w:r>
        <w:t xml:space="preserve">, </w:t>
      </w:r>
      <w:r>
        <w:rPr>
          <w:b/>
          <w:bCs/>
        </w:rPr>
        <w:t>short- and long-term rates</w:t>
      </w:r>
      <w:r>
        <w:t xml:space="preserve">, </w:t>
      </w:r>
      <w:r>
        <w:rPr>
          <w:b/>
          <w:bCs/>
        </w:rPr>
        <w:t>carryforwards</w:t>
      </w:r>
      <w:r>
        <w:t xml:space="preserve">, and </w:t>
      </w:r>
      <w:r>
        <w:rPr>
          <w:b/>
          <w:bCs/>
        </w:rPr>
        <w:t>account-level constraints</w:t>
      </w:r>
      <w:r>
        <w:t xml:space="preserve">. </w:t>
        <w:br/>
        <w:t xml:space="preserve">Confirm the lot selection with the broker before sale.</w:t>
      </w:r>
    </w:p>
    <w:p w14:paraId="43880A66"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Losses in </w:t>
      </w:r>
      <w:r>
        <w:rPr>
          <w:b/>
          <w:bCs/>
        </w:rPr>
        <w:t xml:space="preserve">Probationary Hold, Exit Review, </w:t>
      </w:r>
      <w:r>
        <w:t xml:space="preserve">or </w:t>
      </w:r>
      <w:r>
        <w:rPr>
          <w:b/>
          <w:bCs/>
        </w:rPr>
        <w:t>underwater positions</w:t>
      </w:r>
      <w:r>
        <w:t xml:space="preserve"> may be harvested before a mandatory sell deadline only when the replacement is not substantially identical and the transaction is coordinated across relevant household accounts. </w:t>
        <w:br/>
      </w:r>
      <w:r>
        <w:rPr>
          <w:b/>
          <w:bCs/>
        </w:rPr>
        <w:t>Redeploy proceeds</w:t>
      </w:r>
      <w:r>
        <w:t xml:space="preserve"> subject to the target cash allocation and all portfolio risk rules.</w:t>
      </w:r>
    </w:p>
    <w:p w14:paraId="5503C258"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Pr>
          <w:b/>
          <w:bCs/>
        </w:rPr>
        <w:t>Tax considerations</w:t>
      </w:r>
      <w:r>
        <w:t xml:space="preserve"> shall never independently trigger a trade. </w:t>
        <w:br/>
        <w:t xml:space="preserve">They only govern the timing and lot selection of a decision already justified elsewhere in this </w:t>
      </w:r>
      <w:r>
        <w:rPr>
          <w:b/>
          <w:bCs/>
        </w:rPr>
        <w:t>Operating System.</w:t>
      </w:r>
    </w:p>
    <w:p w14:paraId="0C439B44" w14:textId="77777777" w:rsidR="00066663" w:rsidRDefault="00066663"/>
    <w:p w14:paraId="18A82565" w14:textId="77777777" w:rsidR="00066663" w:rsidRDefault="00066663" w:rsidP="00066663">
      <w:pPr>
        <w:spacing w:before="160" w:after="120"/>
      </w:pPr>
      <w:r>
        <w:rPr>
          <w:b/>
          <w:bCs/>
        </w:rPr>
        <w:t xml:space="preserve">Transition: </w:t>
      </w:r>
      <w:r>
        <w:rPr>
          <w:i/>
          <w:iCs/>
        </w:rPr>
        <w:t>Part 9 establishes the review cadence, documentation, and governance that keep this Operating System current and auditable.</w:t>
      </w:r>
    </w:p>
    <w:p w14:paraId="05AF552F" w14:textId="77777777" w:rsidR="00066663" w:rsidRDefault="00066663"/>
    <w:p w14:paraId="3263961C" w14:textId="77777777" w:rsidR="006F5F08" w:rsidRDefault="006F5F08">
      <w:pPr>
        <w:rPr>
          <w:b/>
          <w:bCs/>
          <w:color w:val="1F3864"/>
          <w:sz w:val="28"/>
          <w:szCs w:val="28"/>
        </w:rPr>
      </w:pPr>
      <w:r>
        <w:br w:type="page"/>
      </w:r>
    </w:p>
    <w:p w14:paraId="31828631" w14:textId="77777777" w:rsidR="00A63D17" w:rsidRDefault="00000000" w:rsidP="00E34BC5">
      <w:pPr>
        <w:pStyle w:val="Heading1"/>
      </w:pPr>
      <w:bookmarkStart w:id="48" w:name="_Toc236826993"/>
      <w:r>
        <w:lastRenderedPageBreak/>
        <w:t>PART 9 — REVIEW SCHEDULE, DOCUMENTATION &amp; GOVERNANCE</w:t>
      </w:r>
      <w:bookmarkEnd w:id="48"/>
    </w:p>
    <w:p w14:paraId="7762CD5B" w14:textId="77777777" w:rsidR="00A63D17" w:rsidRDefault="00000000">
      <w:pPr>
        <w:spacing w:after="160"/>
      </w:pPr>
      <w:r>
        <w:rPr>
          <w:b/>
          <w:bCs/>
          <w:i/>
          <w:iCs/>
          <w:color w:val="2E5090"/>
        </w:rPr>
        <w:t xml:space="preserve">Purpose of this Part: </w:t>
      </w:r>
      <w:r>
        <w:rPr>
          <w:i/>
          <w:iCs/>
          <w:color w:val="404040"/>
        </w:rPr>
        <w:t>This Part establishes the review schedule, documentation standards, and governance process that keep the system disciplined and auditable over time.</w:t>
      </w:r>
    </w:p>
    <w:p w14:paraId="246D07CF" w14:textId="77777777" w:rsidR="00A63D17" w:rsidRDefault="00000000">
      <w:pPr>
        <w:spacing w:after="120"/>
      </w:pPr>
      <w:r>
        <w:t>The system shall improve through disciplined review, not intuition. This Part keeps the rules current, exposes blind spots, preserves consistency across market cycles, and creates a permanent record of the reasoning behind every investment decision. The objective of documentation is not administrative compliance; it is to ensure that every investment decision can be independently understood, reviewed, and evaluated using the standards established by this Operating System.</w:t>
      </w:r>
    </w:p>
    <w:p w14:paraId="05D14B52"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9" w:name="_Toc236826994"/>
      <w:r>
        <w:t>Hard Rules: Review Schedule</w:t>
      </w:r>
      <w:bookmarkEnd w:id="49"/>
    </w:p>
    <w:p w14:paraId="49434854"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Quarterly</w:t>
      </w:r>
      <w:r>
        <w:t xml:space="preserve">: </w:t>
      </w:r>
      <w:r>
        <w:rPr>
          <w:u w:val="single"/>
        </w:rPr>
        <w:t>review all</w:t>
      </w:r>
      <w:r>
        <w:t xml:space="preserve"> </w:t>
      </w:r>
      <w:r>
        <w:rPr>
          <w:b/>
          <w:bCs/>
        </w:rPr>
        <w:t>Watch List</w:t>
      </w:r>
      <w:r>
        <w:t xml:space="preserve"> names and </w:t>
      </w:r>
      <w:r>
        <w:rPr>
          <w:u w:val="single"/>
        </w:rPr>
        <w:t>re-score any holding affected</w:t>
      </w:r>
      <w:r>
        <w:t xml:space="preserve"> by material news.</w:t>
      </w:r>
    </w:p>
    <w:p w14:paraId="353A998E"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Annually</w:t>
      </w:r>
      <w:r>
        <w:t xml:space="preserve">: </w:t>
      </w:r>
      <w:r>
        <w:rPr>
          <w:u w:val="single"/>
        </w:rPr>
        <w:t>complete a full re-score</w:t>
      </w:r>
      <w:r>
        <w:t xml:space="preserve"> of every portfolio position and review every exit from the prior year.</w:t>
      </w:r>
    </w:p>
    <w:p w14:paraId="2421AAAA"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After every exit</w:t>
      </w:r>
      <w:r>
        <w:t xml:space="preserve">: </w:t>
      </w:r>
      <w:r>
        <w:rPr>
          <w:u w:val="single"/>
        </w:rPr>
        <w:t>record the sell reason and the outcome</w:t>
      </w:r>
      <w:r>
        <w:t xml:space="preserve"> versus the original thesis.</w:t>
      </w:r>
    </w:p>
    <w:p w14:paraId="3A9CF993"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After any loss</w:t>
      </w:r>
      <w:r>
        <w:t xml:space="preserve"> greater than </w:t>
      </w:r>
      <w:r>
        <w:rPr>
          <w:b/>
          <w:bCs/>
        </w:rPr>
        <w:t>20%</w:t>
      </w:r>
      <w:r>
        <w:t xml:space="preserve"> from cost: run a </w:t>
      </w:r>
      <w:r>
        <w:rPr>
          <w:b/>
          <w:bCs/>
        </w:rPr>
        <w:t>post-mortem</w:t>
      </w:r>
      <w:r>
        <w:t xml:space="preserve"> and identify missed warning signals.</w:t>
      </w:r>
    </w:p>
    <w:p w14:paraId="331F509F"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Pr>
          <w:b/>
          <w:bCs/>
        </w:rPr>
        <w:t>Every 2 years</w:t>
      </w:r>
      <w:r>
        <w:t xml:space="preserve">: </w:t>
      </w:r>
      <w:r>
        <w:rPr>
          <w:u w:val="single"/>
        </w:rPr>
        <w:t>review indicator weights and adjust only with documented evidence</w:t>
      </w:r>
      <w:r>
        <w:t xml:space="preserve"> from multiple positions over time.</w:t>
      </w:r>
    </w:p>
    <w:p w14:paraId="5364C3E5" w14:textId="77777777" w:rsidR="00A63D17" w:rsidRDefault="00000000">
      <w:pPr>
        <w:spacing w:after="200"/>
      </w:pPr>
      <w:r>
        <w:rPr>
          <w:u w:val="single"/>
        </w:rPr>
        <w:t>NOTE</w:t>
      </w:r>
      <w:r>
        <w:t xml:space="preserve">: Do not change weights reactively after a single loss or win. </w:t>
        <w:br/>
        <w:t xml:space="preserve">            Changes shall be based on a pattern across multiple positions over at least 12 months.</w:t>
      </w:r>
    </w:p>
    <w:p w14:paraId="5BBC03C1" w14:textId="77777777" w:rsidR="00A63D17" w:rsidRDefault="00000000" w:rsidP="00E34BC5">
      <w:pPr>
        <w:pStyle w:val="Heading2"/>
      </w:pPr>
      <w:bookmarkStart w:id="50" w:name="_Toc236826995"/>
      <w:r>
        <w:t>Required Investment File</w:t>
      </w:r>
      <w:bookmarkEnd w:id="50"/>
    </w:p>
    <w:p w14:paraId="56E8DB9A" w14:textId="77777777" w:rsidR="00A63D17" w:rsidRDefault="00000000">
      <w:pPr>
        <w:spacing w:after="120"/>
      </w:pPr>
      <w:r>
        <w:t>Every investment candidate approved for purchase shall have a written investment file, serving as the permanent record supporting ownership. At a minimum, the investment file shall contain: company overview; investment thesis; Composite Score and Tier 1/2/3 detail; confidence assessments; the Bull/Base/Bear scenario documentation (Part 4); position-sizing rationale; and key risks and review triggers identified at entry.</w:t>
      </w:r>
    </w:p>
    <w:p w14:paraId="3E3D90A4" w14:textId="77777777" w:rsidR="00A63D17" w:rsidRDefault="00000000" w:rsidP="00E34BC5">
      <w:pPr>
        <w:pStyle w:val="Heading2"/>
      </w:pPr>
      <w:bookmarkStart w:id="51" w:name="_Toc236826996"/>
      <w:r>
        <w:t>Documentation Standards</w:t>
      </w:r>
      <w:bookmarkEnd w:id="51"/>
    </w:p>
    <w:p w14:paraId="5AE2BA6B" w14:textId="77777777" w:rsidR="00A63D17" w:rsidRDefault="00000000">
      <w:pPr>
        <w:spacing w:after="120"/>
      </w:pPr>
      <w:r>
        <w:t>Every formal review shall record: review date; updated Composite Score; confidence assessments where applicable; investment thesis status; valuation updates; portfolio allocation; reviewer conclusions; and resulting portfolio actions, if any. Every scheduled review shall produce written documentation sufficient to allow an independent reviewer to understand the updated analysis and the reasoning behind any action taken or withheld. Documentation ensures consistency, transparency, and historical accountability.</w:t>
      </w:r>
    </w:p>
    <w:p w14:paraId="471688B7" w14:textId="77777777" w:rsidR="00A63D17" w:rsidRDefault="00000000" w:rsidP="00E34BC5">
      <w:pPr>
        <w:pStyle w:val="Heading2"/>
      </w:pPr>
      <w:bookmarkStart w:id="52" w:name="_Toc236826997"/>
      <w:r>
        <w:t>Performance Benchmarking</w:t>
      </w:r>
      <w:bookmarkEnd w:id="52"/>
    </w:p>
    <w:p w14:paraId="4687B942" w14:textId="77777777" w:rsidR="00A63D17" w:rsidRDefault="00000000">
      <w:pPr>
        <w:spacing w:after="120"/>
      </w:pPr>
      <w:r>
        <w:t>The system shall be measured against both absolute return objectives and appropriate market benchmarks. Track every initiated recommendation from its original decision date, including positions still held, not only exited positions.</w:t>
      </w:r>
    </w:p>
    <w:p w14:paraId="5FDAFE94" w14:textId="77777777" w:rsidR="00A63D17" w:rsidRDefault="00000000">
      <w:pPr>
        <w:spacing w:after="120"/>
      </w:pPr>
      <w:r>
        <w:rPr>
          <w:b/>
          <w:bCs/>
        </w:rPr>
        <w:t>Strong Buy</w:t>
      </w:r>
      <w:r>
        <w:t xml:space="preserve"> entries (score 80–100) carry a 12% annualized five-year objective; </w:t>
      </w:r>
      <w:r>
        <w:rPr>
          <w:b/>
          <w:bCs/>
        </w:rPr>
        <w:t>Buy</w:t>
      </w:r>
      <w:r>
        <w:t xml:space="preserve"> entries (65–79) carry a 10% objective. These are planning objectives, not guaranteed outcomes.</w:t>
      </w:r>
    </w:p>
    <w:p w14:paraId="6F65594A" w14:textId="77777777" w:rsidR="00A63D17" w:rsidRDefault="00000000">
      <w:pPr>
        <w:spacing w:after="120"/>
      </w:pPr>
      <w:r>
        <w:rPr>
          <w:b/>
          <w:bCs/>
        </w:rPr>
        <w:t xml:space="preserve">Measure </w:t>
      </w:r>
      <w:r>
        <w:t>1-year, 3-year, and 5-year total return; excess return versus SPY or an appropriate sector/index benchmark; maximum drawdown; and return by score, confidence tag, sector, and valuation band.</w:t>
      </w:r>
    </w:p>
    <w:p w14:paraId="1E1F70CF" w14:textId="77777777" w:rsidR="00A63D17" w:rsidRDefault="00000000">
      <w:pPr>
        <w:spacing w:after="120"/>
      </w:pPr>
      <w:r>
        <w:t>When at least 10 matured five-year entries exist in a score cohort, review the cohort's average annualized total return and excess return. A Strong Buy cohort below both its 12% objective and its benchmark requires a formal Tier 1 weight review. Include all matured entries, whether still held or sold, to avoid exit-selection bias.</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127"/>
        <w:gridCol w:w="1466"/>
        <w:gridCol w:w="1015"/>
        <w:gridCol w:w="1466"/>
        <w:gridCol w:w="1522"/>
        <w:gridCol w:w="1127"/>
      </w:tblGrid>
      <w:tr w:rsidR="00A63D17" w14:paraId="1F82DB87" w14:textId="77777777" w:rsidTr="006F5F08">
        <w:trPr>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7377184" w14:textId="77777777" w:rsidR="00A63D17" w:rsidRDefault="00000000">
            <w:pPr>
              <w:jc w:val="center"/>
            </w:pPr>
            <w:r>
              <w:rPr>
                <w:b/>
                <w:bCs/>
                <w:color w:val="FFFFFF"/>
                <w:sz w:val="16"/>
                <w:szCs w:val="16"/>
              </w:rPr>
              <w:t>Ticker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50AB742" w14:textId="77777777" w:rsidR="00A63D17" w:rsidRDefault="00000000">
            <w:pPr>
              <w:jc w:val="center"/>
            </w:pPr>
            <w:r>
              <w:rPr>
                <w:b/>
                <w:bCs/>
                <w:color w:val="FFFFFF"/>
                <w:sz w:val="16"/>
                <w:szCs w:val="16"/>
              </w:rPr>
              <w:t>Entry Date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72544CD" w14:textId="77777777" w:rsidR="00A63D17" w:rsidRDefault="00000000">
            <w:pPr>
              <w:jc w:val="center"/>
            </w:pPr>
            <w:r>
              <w:rPr>
                <w:b/>
                <w:bCs/>
                <w:color w:val="FFFFFF"/>
                <w:sz w:val="16"/>
                <w:szCs w:val="16"/>
              </w:rPr>
              <w:t>Exit Date / Still Held</w:t>
            </w:r>
          </w:p>
        </w:tc>
        <w:tc>
          <w:tcPr>
            <w:tcW w:w="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BCD66E8" w14:textId="77777777" w:rsidR="00A63D17" w:rsidRDefault="00000000">
            <w:pPr>
              <w:jc w:val="center"/>
            </w:pPr>
            <w:r>
              <w:rPr>
                <w:b/>
                <w:bCs/>
                <w:color w:val="FFFFFF"/>
                <w:sz w:val="16"/>
                <w:szCs w:val="16"/>
              </w:rPr>
              <w:t>Entry Score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1F1A47B" w14:textId="77777777" w:rsidR="00A63D17" w:rsidRDefault="00000000">
            <w:pPr>
              <w:jc w:val="center"/>
            </w:pPr>
            <w:r>
              <w:rPr>
                <w:b/>
                <w:bCs/>
                <w:color w:val="FFFFFF"/>
                <w:sz w:val="16"/>
                <w:szCs w:val="16"/>
              </w:rPr>
              <w:t>Confidence</w:t>
            </w:r>
          </w:p>
        </w:tc>
        <w:tc>
          <w:tcPr>
            <w:tcW w:w="13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E3FC021" w14:textId="77777777" w:rsidR="00A63D17" w:rsidRDefault="00000000">
            <w:pPr>
              <w:jc w:val="center"/>
            </w:pPr>
            <w:r>
              <w:rPr>
                <w:b/>
                <w:bCs/>
                <w:color w:val="FFFFFF"/>
                <w:sz w:val="16"/>
                <w:szCs w:val="16"/>
              </w:rPr>
              <w:t>5-Yr Total-Return CAGR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EBA635F" w14:textId="77777777" w:rsidR="00A63D17" w:rsidRDefault="00000000">
            <w:pPr>
              <w:jc w:val="center"/>
            </w:pPr>
            <w:r>
              <w:rPr>
                <w:b/>
                <w:bCs/>
                <w:color w:val="FFFFFF"/>
                <w:sz w:val="16"/>
                <w:szCs w:val="16"/>
              </w:rPr>
              <w:t>Benchmark CAGR</w:t>
            </w:r>
          </w:p>
        </w:tc>
      </w:tr>
      <w:tr w:rsidR="00A63D17" w14:paraId="13B32A79" w14:textId="77777777" w:rsidTr="006F5F08">
        <w:trP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A2C7D5E"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D26940"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E1C7784" w14:textId="77777777" w:rsidR="00A63D17" w:rsidRDefault="00A63D17"/>
        </w:tc>
        <w:tc>
          <w:tcPr>
            <w:tcW w:w="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521F6CB"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3059C8B" w14:textId="77777777" w:rsidR="00A63D17" w:rsidRDefault="00A63D17"/>
        </w:tc>
        <w:tc>
          <w:tcPr>
            <w:tcW w:w="13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534F53"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16D9EC" w14:textId="77777777" w:rsidR="00A63D17" w:rsidRDefault="00A63D17"/>
        </w:tc>
      </w:tr>
    </w:tbl>
    <w:p w14:paraId="5B712179" w14:textId="77777777" w:rsidR="00D418EE" w:rsidRDefault="00000000">
      <w:pPr>
        <w:spacing w:after="200"/>
      </w:pPr>
      <w:r>
        <w:rPr>
          <w:u w:val="single"/>
        </w:rPr>
        <w:t>Cohort Review Trigger</w:t>
      </w:r>
      <w:r>
        <w:t>: after 10 or more entries in a decision band have reached five years, compare absolute CAGR, benchmark-relative CAGR, maximum drawdown, and hit rate. Trigger a mandatory review only when underperformance is broad enough to indicate a process pattern rather than an isolated outcome. Do not adjust weights after individual outcomes — only after cohort patterns across at least 10 matured five-year entries, whether still held or sold.</w:t>
      </w:r>
    </w:p>
    <w:p w14:paraId="1E1DFDAB" w14:textId="77777777" w:rsidR="00D418EE" w:rsidRDefault="00D418EE">
      <w:r>
        <w:br w:type="page"/>
      </w:r>
    </w:p>
    <w:p w14:paraId="7F99535F" w14:textId="77777777" w:rsidR="00A63D17" w:rsidRDefault="00A63D17">
      <w:pPr>
        <w:spacing w:after="200"/>
      </w:pPr>
    </w:p>
    <w:p w14:paraId="382063F1" w14:textId="77777777" w:rsidR="00A63D17" w:rsidRDefault="00000000" w:rsidP="00E34BC5">
      <w:pPr>
        <w:pStyle w:val="Heading2"/>
      </w:pPr>
      <w:bookmarkStart w:id="53" w:name="_Toc236826998"/>
      <w:r>
        <w:t>Governance</w:t>
      </w:r>
      <w:bookmarkEnd w:id="53"/>
    </w:p>
    <w:p w14:paraId="4DA6D4C4" w14:textId="77777777" w:rsidR="00A63D17" w:rsidRDefault="00000000">
      <w:pPr>
        <w:spacing w:after="120"/>
      </w:pPr>
      <w:r>
        <w:t>This Operating System serves as the governing framework for all investment decisions made within its scope. Its purpose is to promote consistency, preserve institutional knowledge, reduce behavioral bias, and ensure that investment decisions remain grounded in objective analysis rather than emotion or changing market narratives. The Operating System is intended to evolve deliberately through disciplined review rather than frequent modification.</w:t>
      </w:r>
    </w:p>
    <w:p w14:paraId="143D303B" w14:textId="77777777" w:rsidR="00A63D17" w:rsidRDefault="00000000">
      <w:pPr>
        <w:spacing w:before="140"/>
      </w:pPr>
      <w:r>
        <w:rPr>
          <w:b/>
          <w:bCs/>
          <w:color w:val="2E5090"/>
        </w:rPr>
        <w:t>Authority</w:t>
      </w:r>
    </w:p>
    <w:p w14:paraId="0A7016C9" w14:textId="77777777" w:rsidR="00A63D17" w:rsidRDefault="00000000">
      <w:pPr>
        <w:spacing w:after="120"/>
      </w:pPr>
      <w:r>
        <w:t>This document establishes the governing standards for investment evaluation, portfolio construction, position sizing, risk management, portfolio monitoring, documentation, and investment governance. All investment decisions shall conform to the principles and Hard Rules contained herein. No informal practice, personal preference, or market opinion supersedes this Operating System.</w:t>
      </w:r>
    </w:p>
    <w:p w14:paraId="0926DE36" w14:textId="77777777" w:rsidR="00A63D17" w:rsidRDefault="00000000">
      <w:pPr>
        <w:spacing w:before="140"/>
      </w:pPr>
      <w:r>
        <w:rPr>
          <w:b/>
          <w:bCs/>
          <w:color w:val="2E5090"/>
        </w:rPr>
        <w:t>Change Control</w:t>
      </w:r>
    </w:p>
    <w:p w14:paraId="33277225" w14:textId="77777777" w:rsidR="00A63D17" w:rsidRDefault="00000000">
      <w:pPr>
        <w:spacing w:after="120"/>
      </w:pPr>
      <w:r>
        <w:t>This document is an operating specification, not a guarantee of return or drawdown. Changes to weights, thresholds, or Hard Rules require a dated revision note, the evidence considered, the expected benefit, any possible unintended consequence, and an effective date. Do not apply a rule change retroactively to improve historical results.</w:t>
      </w:r>
    </w:p>
    <w:p w14:paraId="0B52B595" w14:textId="77777777" w:rsidR="00066663" w:rsidRDefault="00066663"/>
    <w:p w14:paraId="7F0CDB2F" w14:textId="77777777" w:rsidR="00066663" w:rsidRDefault="00066663" w:rsidP="00066663">
      <w:pPr>
        <w:spacing w:before="160" w:after="120"/>
      </w:pPr>
      <w:r>
        <w:rPr>
          <w:b/>
          <w:bCs/>
        </w:rPr>
        <w:t xml:space="preserve">Transition: </w:t>
      </w:r>
      <w:r>
        <w:rPr>
          <w:i/>
          <w:iCs/>
        </w:rPr>
        <w:t>Part 10 provides the operating definitions and sector adaptations referenced throughout the preceding Parts.</w:t>
      </w:r>
    </w:p>
    <w:p w14:paraId="2B4193E9" w14:textId="77777777" w:rsidR="00066663" w:rsidRDefault="00066663"/>
    <w:p w14:paraId="0DD41276" w14:textId="77777777" w:rsidR="006F5F08" w:rsidRDefault="006F5F08">
      <w:pPr>
        <w:rPr>
          <w:b/>
          <w:bCs/>
          <w:color w:val="1F3864"/>
          <w:sz w:val="28"/>
          <w:szCs w:val="28"/>
        </w:rPr>
      </w:pPr>
      <w:r>
        <w:br w:type="page"/>
      </w:r>
    </w:p>
    <w:p w14:paraId="1BD4F0EB" w14:textId="77777777" w:rsidR="00A63D17" w:rsidRDefault="00000000" w:rsidP="00E34BC5">
      <w:pPr>
        <w:pStyle w:val="Heading1"/>
      </w:pPr>
      <w:bookmarkStart w:id="54" w:name="_Toc236826999"/>
      <w:r>
        <w:lastRenderedPageBreak/>
        <w:t>PART 10 — SECTOR ADAPTATIONS &amp; OPERATING DEFINITIONS</w:t>
      </w:r>
      <w:bookmarkEnd w:id="54"/>
    </w:p>
    <w:p w14:paraId="532B15C0" w14:textId="77777777" w:rsidR="00A63D17" w:rsidRDefault="00000000">
      <w:pPr>
        <w:spacing w:after="160"/>
      </w:pPr>
      <w:r>
        <w:rPr>
          <w:b/>
          <w:bCs/>
          <w:i/>
          <w:iCs/>
          <w:color w:val="2E5090"/>
        </w:rPr>
        <w:t xml:space="preserve">Purpose of this Part: </w:t>
      </w:r>
      <w:r>
        <w:rPr>
          <w:i/>
          <w:iCs/>
          <w:color w:val="404040"/>
        </w:rPr>
        <w:t>This Part defines core measurements, resolves conflicts between rules, and adapts the framework for sectors where the standard indicators do not apply.</w:t>
      </w:r>
    </w:p>
    <w:p w14:paraId="36EE514D" w14:textId="77777777" w:rsidR="00A63D17" w:rsidRDefault="00000000" w:rsidP="00E34BC5">
      <w:pPr>
        <w:pStyle w:val="Heading2"/>
      </w:pPr>
      <w:bookmarkStart w:id="55" w:name="_Toc236827000"/>
      <w:r>
        <w:t>Rule Hierarchy and Conflict Resolution</w:t>
      </w:r>
      <w:bookmarkEnd w:id="55"/>
    </w:p>
    <w:p w14:paraId="6FB1B5AF" w14:textId="77777777" w:rsidR="00A63D17" w:rsidRDefault="00000000">
      <w:pPr>
        <w:spacing w:after="120"/>
      </w:pPr>
      <w:r>
        <w:t>When rules appear to conflict, apply them in this order: (1) mandatory fundamental sell triggers; (2) legal, regulatory, account, and liquidity constraints (mandatory tax-compliance requirements, e.g., wash-sale rules, fall here); (3) portfolio hard caps and drawdown restrictions; (4) entry eligibility and valuation ceilings; (5) position sizing and staging; (6) opportunity-cost replacement; and (7) tax optimization (discretionary lot selection and loss harvesting; never a mandatory compliance matter). A lower-ranked rule may never override a higher-ranked rule. Document any unresolved conflict before trading.</w:t>
      </w:r>
    </w:p>
    <w:p w14:paraId="0F93FC0E" w14:textId="77777777" w:rsidR="00A63D17" w:rsidRDefault="00000000" w:rsidP="00E34BC5">
      <w:pPr>
        <w:pStyle w:val="Heading2"/>
      </w:pPr>
      <w:bookmarkStart w:id="56" w:name="_Toc236827001"/>
      <w:r>
        <w:t>Data and Source Hierarchy</w:t>
      </w:r>
      <w:bookmarkEnd w:id="56"/>
    </w:p>
    <w:p w14:paraId="3B3953C4" w14:textId="77777777" w:rsidR="00A63D17" w:rsidRDefault="00000000">
      <w:pPr>
        <w:spacing w:after="120"/>
      </w:pPr>
      <w:r>
        <w:t>Use, in descending order: audited filings and regulatory reports; company investor-relations materials and earnings transcripts; recognized market-data and consensus providers; independent research; and secondary commentary. Record the valuation date and source for every material input. When credible sources disagree materially, use the more conservative figure or assign Low Confidence and document the reconciliation.</w:t>
      </w:r>
    </w:p>
    <w:p w14:paraId="214F6643" w14:textId="77777777" w:rsidR="00A63D17" w:rsidRDefault="00000000" w:rsidP="00E34BC5">
      <w:pPr>
        <w:pStyle w:val="Heading2"/>
      </w:pPr>
      <w:bookmarkStart w:id="57" w:name="_Toc236827002"/>
      <w:r>
        <w:t>Core Measurement Definitions</w:t>
      </w:r>
      <w:bookmarkEnd w:id="57"/>
    </w:p>
    <w:p w14:paraId="7E12ECEE" w14:textId="77777777" w:rsidR="00A63D17" w:rsidRDefault="00000000">
      <w:pPr>
        <w:spacing w:after="120"/>
      </w:pPr>
      <w:r>
        <w:t>FCF = cash from operations minus recurring capital expenditures, adjusted for material working-capital timing, acquisitions, asset sales, capitalized costs, and other nonrecurring items. Stock-based compensation is treated as a real economic expense, not a non-cash add-back: deduct the grant-date fair value of SBC issued during the period from cash-flow-statement FCF, since cash-flow-statement FCF alone excludes SBC as non-cash and understates its dilutive cost to existing shareholders. FCF Yield = normalized equity FCF divided by market capitalization unless an enterprise-based measure is explicitly stated. Debt/FCF = net debt divided by normalized annual FCF. Revenue-growth variability uses the coefficient of variation defined in Part 2. Relative Strength uses total return, including dividends, against SPY or the documented sector benchmark.</w:t>
      </w:r>
    </w:p>
    <w:p w14:paraId="37186970" w14:textId="77777777" w:rsidR="00A63D17" w:rsidRDefault="00000000" w:rsidP="00E34BC5">
      <w:pPr>
        <w:pStyle w:val="Heading2"/>
      </w:pPr>
      <w:bookmarkStart w:id="58" w:name="_Toc236827003"/>
      <w:r>
        <w:t>Sector Adaptation — Financial Companies</w:t>
      </w:r>
      <w:bookmarkEnd w:id="58"/>
    </w:p>
    <w:p w14:paraId="3E91B4A5" w14:textId="77777777" w:rsidR="00A63D17" w:rsidRDefault="00000000">
      <w:pPr>
        <w:spacing w:after="120"/>
      </w:pPr>
      <w:r>
        <w:t>Banks, insurers, brokers, and similar financial companies may not be evaluated mechanically with FCF Margin, Debt/FCF, or P/FCF. Substitute: earnings or distributable-earnings yield for FCF Yield; ROE versus cost of equity for ROIC/WACC; capital adequacy, liquidity, credit quality, and reserve adequacy for leverage; efficiency ratio, underwriting margin, or fee margin for FCF Margin; and P/TBV, P/B, P/E, or distributable-earnings multiple for valuation. Use a sector-specific Bear Case based on credit losses, claims, capital, book value, or distributable earnings. Any financial-company score without these documented substitutions is Low Confidence and shall not exceed Buy. The general Leverage Hard Cap and Valuation Ceiling (Parts 5 and 4) do not themselves supply a numeric threshold for financial companies, since Debt/FCF and P/FCF are not meaningful for this sector. The rules below set the financial-sector equivalents.</w:t>
      </w:r>
    </w:p>
    <w:p w14:paraId="76CBF84D"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59" w:name="_Toc236827004"/>
      <w:r>
        <w:t>Hard Rules: Financial-Sector Leverage and Valuation Ceilings</w:t>
      </w:r>
      <w:bookmarkEnd w:id="59"/>
    </w:p>
    <w:p w14:paraId="0A01A46D"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For </w:t>
      </w:r>
      <w:r>
        <w:rPr>
          <w:b/>
          <w:bCs/>
        </w:rPr>
        <w:t>banks</w:t>
      </w:r>
      <w:r>
        <w:t xml:space="preserve">, a </w:t>
      </w:r>
      <w:r>
        <w:rPr>
          <w:b/>
          <w:bCs/>
        </w:rPr>
        <w:t>CET1</w:t>
      </w:r>
      <w:r>
        <w:t xml:space="preserve"> (</w:t>
      </w:r>
      <w:r>
        <w:rPr>
          <w:b/>
          <w:bCs/>
        </w:rPr>
        <w:t>Common Equity Tier 1</w:t>
      </w:r>
      <w:r>
        <w:t xml:space="preserve">) ratio below 9% caps the Composite Score at 65, preventing a </w:t>
      </w:r>
      <w:r>
        <w:rPr>
          <w:b/>
          <w:bCs/>
        </w:rPr>
        <w:t>Strong Buy</w:t>
      </w:r>
      <w:r>
        <w:t xml:space="preserve"> classification. </w:t>
        <w:br/>
        <w:t xml:space="preserve">For </w:t>
      </w:r>
      <w:r>
        <w:rPr>
          <w:b/>
          <w:bCs/>
        </w:rPr>
        <w:t>insurers</w:t>
      </w:r>
      <w:r>
        <w:t xml:space="preserve">, an </w:t>
      </w:r>
      <w:r>
        <w:rPr>
          <w:b/>
          <w:bCs/>
        </w:rPr>
        <w:t>RBC</w:t>
      </w:r>
      <w:r>
        <w:t xml:space="preserve"> (</w:t>
      </w:r>
      <w:r>
        <w:rPr>
          <w:b/>
          <w:bCs/>
        </w:rPr>
        <w:t>Risk-Based Capital</w:t>
      </w:r>
      <w:r>
        <w:t xml:space="preserve">) ratio below </w:t>
      </w:r>
      <w:r>
        <w:rPr>
          <w:b/>
          <w:bCs/>
        </w:rPr>
        <w:t>350%</w:t>
      </w:r>
      <w:r>
        <w:t xml:space="preserve"> applies the same cap. </w:t>
        <w:br/>
        <w:t xml:space="preserve">For </w:t>
      </w:r>
      <w:r>
        <w:rPr>
          <w:b/>
          <w:bCs/>
        </w:rPr>
        <w:t xml:space="preserve">brokers </w:t>
      </w:r>
      <w:r>
        <w:t xml:space="preserve">and </w:t>
      </w:r>
      <w:r>
        <w:rPr>
          <w:b/>
          <w:bCs/>
        </w:rPr>
        <w:t>asset managers</w:t>
      </w:r>
      <w:r>
        <w:t xml:space="preserve">, net leverage excluding client matched-book financing above 3x tangible equity (or </w:t>
        <w:br/>
        <w:t xml:space="preserve">      </w:t>
      </w:r>
      <w:r>
        <w:rPr>
          <w:b/>
          <w:bCs/>
        </w:rPr>
        <w:t>Debt/EBITDA</w:t>
      </w:r>
      <w:r>
        <w:t xml:space="preserve"> above 3x for fee-based asset managers) applies the same cap. </w:t>
        <w:br/>
        <w:t xml:space="preserve">These thresholds are </w:t>
      </w:r>
      <w:r>
        <w:rPr>
          <w:b/>
          <w:bCs/>
        </w:rPr>
        <w:t>reasoned defaults</w:t>
      </w:r>
      <w:r>
        <w:t xml:space="preserve">, </w:t>
      </w:r>
      <w:r>
        <w:rPr>
          <w:u w:val="single"/>
        </w:rPr>
        <w:t>not derived from empirical backtesting</w:t>
      </w:r>
      <w:r>
        <w:t>, and shall be reviewed and confirmed before being relied upon.</w:t>
      </w:r>
    </w:p>
    <w:p w14:paraId="7C0DA636"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Do not initiate a new </w:t>
      </w:r>
      <w:r>
        <w:rPr>
          <w:b/>
          <w:bCs/>
        </w:rPr>
        <w:t>financial-company position</w:t>
      </w:r>
      <w:r>
        <w:t xml:space="preserve"> when its sector-appropriate valuation multiple exceeds: </w:t>
        <w:br/>
      </w:r>
      <w:r>
        <w:rPr>
          <w:b/>
          <w:bCs/>
        </w:rPr>
        <w:t>P/TBV</w:t>
      </w:r>
      <w:r>
        <w:t xml:space="preserve"> of 2.5x for </w:t>
      </w:r>
      <w:r>
        <w:rPr>
          <w:b/>
          <w:bCs/>
        </w:rPr>
        <w:t>banks</w:t>
      </w:r>
      <w:r>
        <w:t xml:space="preserve">; </w:t>
        <w:br/>
      </w:r>
      <w:r>
        <w:rPr>
          <w:b/>
          <w:bCs/>
        </w:rPr>
        <w:t>P/B</w:t>
      </w:r>
      <w:r>
        <w:t xml:space="preserve"> of 2.0x or </w:t>
      </w:r>
      <w:r>
        <w:rPr>
          <w:b/>
          <w:bCs/>
        </w:rPr>
        <w:t>P/E</w:t>
      </w:r>
      <w:r>
        <w:t xml:space="preserve"> of 20x for </w:t>
      </w:r>
      <w:r>
        <w:rPr>
          <w:b/>
          <w:bCs/>
        </w:rPr>
        <w:t>insurers</w:t>
      </w:r>
      <w:r>
        <w:t xml:space="preserve">; or </w:t>
        <w:br/>
      </w:r>
      <w:r>
        <w:rPr>
          <w:b/>
          <w:bCs/>
        </w:rPr>
        <w:t>P/E</w:t>
      </w:r>
      <w:r>
        <w:t xml:space="preserve"> of 25x for </w:t>
      </w:r>
      <w:r>
        <w:rPr>
          <w:b/>
          <w:bCs/>
        </w:rPr>
        <w:t xml:space="preserve">brokers </w:t>
      </w:r>
      <w:r>
        <w:t>and</w:t>
      </w:r>
      <w:r>
        <w:rPr>
          <w:b/>
          <w:bCs/>
        </w:rPr>
        <w:t xml:space="preserve"> asset managers</w:t>
      </w:r>
      <w:r>
        <w:t xml:space="preserve"> — unless both a documented </w:t>
      </w:r>
      <w:r>
        <w:rPr>
          <w:b/>
          <w:bCs/>
        </w:rPr>
        <w:t>ROE/growth</w:t>
      </w:r>
      <w:r>
        <w:t xml:space="preserve"> justification and a tested sector-specific </w:t>
      </w:r>
      <w:r>
        <w:rPr>
          <w:b/>
          <w:bCs/>
        </w:rPr>
        <w:t>Bear Case</w:t>
      </w:r>
      <w:r>
        <w:t xml:space="preserve"> clear the same threshold required by the </w:t>
      </w:r>
      <w:r>
        <w:rPr>
          <w:b/>
          <w:bCs/>
        </w:rPr>
        <w:t>Bear-Case Implied Return Test</w:t>
      </w:r>
      <w:r>
        <w:t xml:space="preserve"> (</w:t>
      </w:r>
      <w:r>
        <w:rPr>
          <w:b/>
          <w:bCs/>
        </w:rPr>
        <w:t>Part 4</w:t>
      </w:r>
      <w:r>
        <w:t xml:space="preserve">). </w:t>
        <w:br/>
        <w:t>These thresholds are reasoned defaults, not derived from empirical backtesting, and shall be reviewed and confirmed before being relied upon</w:t>
      </w:r>
      <w:r>
        <w:rPr>
          <w:b/>
          <w:bCs/>
        </w:rPr>
        <w:t>.</w:t>
      </w:r>
    </w:p>
    <w:p w14:paraId="32AE63CC" w14:textId="77777777" w:rsidR="00A63D17" w:rsidRDefault="00000000" w:rsidP="00E34BC5">
      <w:pPr>
        <w:pStyle w:val="Heading2"/>
      </w:pPr>
      <w:bookmarkStart w:id="60" w:name="_Toc236827005"/>
      <w:r>
        <w:t>Sector Adaptation — REITs, Utilities, Early-Stage and Commodity Producers</w:t>
      </w:r>
      <w:bookmarkEnd w:id="60"/>
    </w:p>
    <w:p w14:paraId="67375E73" w14:textId="77777777" w:rsidR="00A63D17" w:rsidRDefault="00000000">
      <w:pPr>
        <w:spacing w:after="120"/>
      </w:pPr>
      <w:r>
        <w:t xml:space="preserve">REITs: use AFFO yield, leverage to EBITDA, occupancy, lease duration, and same-store growth. Utilities and telecom: use sector-relative FCF, rate-base growth, coverage ratios, and regulatory quality. Early-stage companies: use liquidity runway, dilution </w:t>
        <w:lastRenderedPageBreak/>
        <w:t>risk, gross-margin trajectory, unit economics, and a path to positive FCF; negative FCF normally prevents Buy unless an approved early-stage annex is completed. Commodity producers: use normalized mid-cycle prices, cost-curve position, balance-sheet resilience, reserve life, and capital discipline. All substitutions shall be written beside the affected score.</w:t>
      </w:r>
    </w:p>
    <w:p w14:paraId="522F5DB5" w14:textId="77777777" w:rsidR="00A63D17" w:rsidRDefault="00000000">
      <w:pPr>
        <w:spacing w:before="160" w:after="120"/>
      </w:pPr>
      <w:r>
        <w:rPr>
          <w:b/>
          <w:bCs/>
        </w:rPr>
        <w:t xml:space="preserve">Transition: </w:t>
      </w:r>
      <w:r>
        <w:rPr>
          <w:i/>
          <w:iCs/>
        </w:rPr>
        <w:t>Part 11 turns from what the system rewards to what it explicitly will not reward.</w:t>
      </w:r>
    </w:p>
    <w:p w14:paraId="7E2AD339" w14:textId="77777777" w:rsidR="00B71629" w:rsidRDefault="00B71629">
      <w:pPr>
        <w:rPr>
          <w:b/>
          <w:bCs/>
          <w:color w:val="1F3864"/>
          <w:sz w:val="28"/>
          <w:szCs w:val="28"/>
        </w:rPr>
      </w:pPr>
      <w:bookmarkStart w:id="61" w:name="_Toc236827006"/>
      <w:r>
        <w:br w:type="page"/>
      </w:r>
    </w:p>
    <w:p w14:paraId="4BF6362E" w14:textId="77777777" w:rsidR="00A63D17" w:rsidRDefault="00000000" w:rsidP="00E34BC5">
      <w:pPr>
        <w:pStyle w:val="Heading1"/>
      </w:pPr>
      <w:r>
        <w:lastRenderedPageBreak/>
        <w:t>PART 11 — WHAT TO AVOID</w:t>
      </w:r>
      <w:bookmarkEnd w:id="61"/>
    </w:p>
    <w:p w14:paraId="3F8961F2" w14:textId="77777777" w:rsidR="00A63D17" w:rsidRDefault="00000000">
      <w:pPr>
        <w:spacing w:after="160"/>
      </w:pPr>
      <w:r>
        <w:rPr>
          <w:b/>
          <w:bCs/>
          <w:i/>
          <w:iCs/>
          <w:color w:val="2E5090"/>
        </w:rPr>
        <w:t xml:space="preserve">Purpose of this Part: </w:t>
      </w:r>
      <w:r>
        <w:rPr>
          <w:i/>
          <w:iCs/>
          <w:color w:val="404040"/>
        </w:rPr>
        <w:t>This Part defines the signals and habits this system deliberately excludes from its decision process.</w:t>
      </w:r>
    </w:p>
    <w:p w14:paraId="147F5596" w14:textId="77777777" w:rsidR="00A63D17" w:rsidRDefault="00000000">
      <w:pPr>
        <w:spacing w:after="120"/>
      </w:pPr>
      <w:r>
        <w:t>These exclusions define what the system will not reward. Avoiding low-quality signals and weak process habits is part of preserving long-term performance.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75"/>
      </w:tblGrid>
      <w:tr w:rsidR="00A63D17" w:rsidRPr="006F5F08" w14:paraId="31122B61" w14:textId="77777777" w:rsidTr="006F5F08">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40318B5" w14:textId="77777777" w:rsidR="00A63D17" w:rsidRPr="006F5F08" w:rsidRDefault="00000000">
            <w:pPr>
              <w:jc w:val="center"/>
              <w:rPr>
                <w:sz w:val="21"/>
                <w:szCs w:val="21"/>
              </w:rPr>
            </w:pPr>
            <w:r>
              <w:rPr>
                <w:b/>
                <w:bCs/>
                <w:color w:val="FFFFFF"/>
                <w:sz w:val="21"/>
                <w:szCs w:val="21"/>
              </w:rPr>
              <w:t>Avoid</w:t>
            </w:r>
          </w:p>
        </w:tc>
        <w:tc>
          <w:tcPr>
            <w:tcW w:w="76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5D7C0F4" w14:textId="77777777" w:rsidR="00A63D17" w:rsidRPr="006F5F08" w:rsidRDefault="00000000">
            <w:pPr>
              <w:jc w:val="center"/>
              <w:rPr>
                <w:sz w:val="21"/>
                <w:szCs w:val="21"/>
              </w:rPr>
            </w:pPr>
            <w:r>
              <w:rPr>
                <w:b/>
                <w:bCs/>
                <w:color w:val="FFFFFF"/>
                <w:sz w:val="21"/>
                <w:szCs w:val="21"/>
              </w:rPr>
              <w:t>Why</w:t>
            </w:r>
          </w:p>
        </w:tc>
      </w:tr>
      <w:tr w:rsidR="00A63D17" w:rsidRPr="006F5F08" w14:paraId="6BACEA6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1700CE" w14:textId="77777777" w:rsidR="00A63D17" w:rsidRPr="006F5F08" w:rsidRDefault="00000000" w:rsidP="006F5F08">
            <w:pPr>
              <w:jc w:val="center"/>
              <w:rPr>
                <w:sz w:val="21"/>
                <w:szCs w:val="21"/>
              </w:rPr>
            </w:pPr>
            <w:r>
              <w:rPr>
                <w:b/>
                <w:bCs/>
                <w:sz w:val="21"/>
                <w:szCs w:val="21"/>
              </w:rPr>
              <w:t>P/E ratio as primary filter</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86AD24" w14:textId="77777777" w:rsidR="00A63D17" w:rsidRPr="006F5F08" w:rsidRDefault="00000000">
            <w:pPr>
              <w:rPr>
                <w:sz w:val="21"/>
                <w:szCs w:val="21"/>
              </w:rPr>
            </w:pPr>
            <w:r>
              <w:rPr>
                <w:sz w:val="21"/>
                <w:szCs w:val="21"/>
              </w:rPr>
              <w:t>Can be distorted by cyclicality, accounting estimates, and capital structure. Use only as a secondary cross-check; it does not measure reinvestment needs or cash conversion.</w:t>
            </w:r>
          </w:p>
        </w:tc>
      </w:tr>
      <w:tr w:rsidR="00A63D17" w:rsidRPr="006F5F08" w14:paraId="13FFFFFC"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3AA928B" w14:textId="77777777" w:rsidR="00A63D17" w:rsidRPr="006F5F08" w:rsidRDefault="00000000" w:rsidP="006F5F08">
            <w:pPr>
              <w:jc w:val="center"/>
              <w:rPr>
                <w:sz w:val="21"/>
                <w:szCs w:val="21"/>
              </w:rPr>
            </w:pPr>
            <w:r>
              <w:rPr>
                <w:b/>
                <w:bCs/>
                <w:sz w:val="21"/>
                <w:szCs w:val="21"/>
              </w:rPr>
              <w:t>Analyst 12-month price targets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C4BFD5" w14:textId="77777777" w:rsidR="00A63D17" w:rsidRPr="006F5F08" w:rsidRDefault="00000000">
            <w:pPr>
              <w:rPr>
                <w:sz w:val="21"/>
                <w:szCs w:val="21"/>
              </w:rPr>
            </w:pPr>
            <w:r>
              <w:rPr>
                <w:sz w:val="21"/>
                <w:szCs w:val="21"/>
              </w:rPr>
              <w:t>Short-horizon targets vary materially by analyst and are not reliable enough to drive a 3–10 year decision. Use only as a sentiment and estimate-dispersion check.</w:t>
            </w:r>
          </w:p>
        </w:tc>
      </w:tr>
      <w:tr w:rsidR="00A63D17" w:rsidRPr="006F5F08" w14:paraId="34AD87C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0C2376" w14:textId="77777777" w:rsidR="00A63D17" w:rsidRPr="006F5F08" w:rsidRDefault="00000000" w:rsidP="006F5F08">
            <w:pPr>
              <w:jc w:val="center"/>
              <w:rPr>
                <w:sz w:val="21"/>
                <w:szCs w:val="21"/>
              </w:rPr>
            </w:pPr>
            <w:r>
              <w:rPr>
                <w:b/>
                <w:bCs/>
                <w:sz w:val="21"/>
                <w:szCs w:val="21"/>
              </w:rPr>
              <w:t>Earnings surprises as primary signal</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FB9598E" w14:textId="77777777" w:rsidR="00A63D17" w:rsidRPr="006F5F08" w:rsidRDefault="00000000">
            <w:pPr>
              <w:rPr>
                <w:sz w:val="21"/>
                <w:szCs w:val="21"/>
              </w:rPr>
            </w:pPr>
            <w:r>
              <w:rPr>
                <w:sz w:val="21"/>
                <w:szCs w:val="21"/>
              </w:rPr>
              <w:t>May affect short-term price behavior but is insufficient for a multi-year thesis. Both earnings and FCF require quality-of-reporting review; neither is immune to distortion.</w:t>
            </w:r>
          </w:p>
        </w:tc>
      </w:tr>
      <w:tr w:rsidR="00A63D17" w:rsidRPr="006F5F08" w14:paraId="055BCCAB"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03FE758" w14:textId="77777777" w:rsidR="00A63D17" w:rsidRPr="006F5F08" w:rsidRDefault="00000000" w:rsidP="006F5F08">
            <w:pPr>
              <w:jc w:val="center"/>
              <w:rPr>
                <w:sz w:val="21"/>
                <w:szCs w:val="21"/>
              </w:rPr>
            </w:pPr>
            <w:r>
              <w:rPr>
                <w:b/>
                <w:bCs/>
                <w:sz w:val="21"/>
                <w:szCs w:val="21"/>
              </w:rPr>
              <w:t>Narrative momentum ("AI will change everything")</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9AD7F6" w14:textId="77777777" w:rsidR="00A63D17" w:rsidRPr="006F5F08" w:rsidRDefault="00000000">
            <w:pPr>
              <w:rPr>
                <w:sz w:val="21"/>
                <w:szCs w:val="21"/>
              </w:rPr>
            </w:pPr>
            <w:r>
              <w:rPr>
                <w:sz w:val="21"/>
                <w:szCs w:val="21"/>
              </w:rPr>
              <w:t>Narratives can be economically important, but prices may incorporate optimistic expectations quickly. Require evidence in revenue, margins, cash generation, and implied return.</w:t>
            </w:r>
          </w:p>
        </w:tc>
      </w:tr>
      <w:tr w:rsidR="00A63D17" w:rsidRPr="006F5F08" w14:paraId="2BA0FAA4"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DC764E2" w14:textId="77777777" w:rsidR="00A63D17" w:rsidRPr="006F5F08" w:rsidRDefault="00000000" w:rsidP="006F5F08">
            <w:pPr>
              <w:jc w:val="center"/>
              <w:rPr>
                <w:sz w:val="21"/>
                <w:szCs w:val="21"/>
              </w:rPr>
            </w:pPr>
            <w:r>
              <w:rPr>
                <w:b/>
                <w:bCs/>
                <w:sz w:val="21"/>
                <w:szCs w:val="21"/>
              </w:rPr>
              <w:t>Averaging down into deteriorating fundamentals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57604BF" w14:textId="77777777" w:rsidR="00A63D17" w:rsidRPr="006F5F08" w:rsidRDefault="00000000">
            <w:pPr>
              <w:rPr>
                <w:sz w:val="21"/>
                <w:szCs w:val="21"/>
              </w:rPr>
            </w:pPr>
            <w:r>
              <w:rPr>
                <w:sz w:val="21"/>
                <w:szCs w:val="21"/>
              </w:rPr>
              <w:t>Distinguish price decline (often opportunity) from fundamental deterioration (reason to sell). Never add when Tier 1 scores are falling.</w:t>
            </w:r>
          </w:p>
        </w:tc>
      </w:tr>
      <w:tr w:rsidR="00A63D17" w:rsidRPr="006F5F08" w14:paraId="76D14206"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BC2497" w14:textId="77777777" w:rsidR="00A63D17" w:rsidRPr="006F5F08" w:rsidRDefault="00000000" w:rsidP="006F5F08">
            <w:pPr>
              <w:jc w:val="center"/>
              <w:rPr>
                <w:sz w:val="21"/>
                <w:szCs w:val="21"/>
              </w:rPr>
            </w:pPr>
            <w:r>
              <w:rPr>
                <w:b/>
                <w:bCs/>
                <w:sz w:val="21"/>
                <w:szCs w:val="21"/>
              </w:rPr>
              <w:t>Over-diversification below conviction threshold</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D4ABD8" w14:textId="77777777" w:rsidR="00A63D17" w:rsidRPr="006F5F08" w:rsidRDefault="00000000">
            <w:pPr>
              <w:rPr>
                <w:sz w:val="21"/>
                <w:szCs w:val="21"/>
              </w:rPr>
            </w:pPr>
            <w:r>
              <w:rPr>
                <w:sz w:val="21"/>
                <w:szCs w:val="21"/>
              </w:rPr>
              <w:t>Excessive position count can dilute monitoring quality and conviction, but diversification benefits depend on weights and correlations, not a fixed stock count. Hold only qualifying ideas and comply with portfolio risk limits.</w:t>
            </w:r>
          </w:p>
        </w:tc>
      </w:tr>
      <w:tr w:rsidR="00A63D17" w:rsidRPr="006F5F08" w14:paraId="35EDAE8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DEE819" w14:textId="77777777" w:rsidR="00A63D17" w:rsidRPr="006F5F08" w:rsidRDefault="00000000" w:rsidP="006F5F08">
            <w:pPr>
              <w:jc w:val="center"/>
              <w:rPr>
                <w:sz w:val="21"/>
                <w:szCs w:val="21"/>
              </w:rPr>
            </w:pPr>
            <w:r>
              <w:rPr>
                <w:b/>
                <w:bCs/>
                <w:sz w:val="21"/>
                <w:szCs w:val="21"/>
              </w:rPr>
              <w:t>Market timing as a primary strategy</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7AF3F5" w14:textId="77777777" w:rsidR="00A63D17" w:rsidRPr="006F5F08" w:rsidRDefault="00000000">
            <w:pPr>
              <w:rPr>
                <w:sz w:val="21"/>
                <w:szCs w:val="21"/>
              </w:rPr>
            </w:pPr>
            <w:r>
              <w:rPr>
                <w:sz w:val="21"/>
                <w:szCs w:val="21"/>
              </w:rPr>
              <w:t>Market-timing studies are highly period-dependent, and the best and worst days often cluster. Use the macro overlay to adjust staging and risk, not as an all-in/all-out forecast.</w:t>
            </w:r>
          </w:p>
        </w:tc>
      </w:tr>
    </w:tbl>
    <w:p w14:paraId="7A4E7265" w14:textId="77777777" w:rsidR="00A63D17" w:rsidRDefault="00000000">
      <w:pPr>
        <w:spacing w:before="160" w:after="120"/>
      </w:pPr>
      <w:r>
        <w:rPr>
          <w:b/>
          <w:bCs/>
        </w:rPr>
        <w:t xml:space="preserve">Transition: </w:t>
      </w:r>
      <w:r>
        <w:rPr>
          <w:i/>
          <w:iCs/>
        </w:rPr>
        <w:t>Part 12 describes the working tool used to apply this entire framework to a live investment candidate.</w:t>
      </w:r>
    </w:p>
    <w:p w14:paraId="2E8793B7" w14:textId="77777777" w:rsidR="00A63D17" w:rsidRDefault="00000000" w:rsidP="00E34BC5">
      <w:pPr>
        <w:pStyle w:val="Heading1"/>
      </w:pPr>
      <w:bookmarkStart w:id="62" w:name="_Toc236827007"/>
      <w:r>
        <w:t>PART 12 — STOCK SCORING TEMPLATE</w:t>
      </w:r>
      <w:bookmarkEnd w:id="62"/>
    </w:p>
    <w:p w14:paraId="223A9319" w14:textId="77777777" w:rsidR="00A63D17" w:rsidRDefault="00000000">
      <w:pPr>
        <w:spacing w:after="160"/>
      </w:pPr>
      <w:r>
        <w:rPr>
          <w:b/>
          <w:bCs/>
          <w:i/>
          <w:iCs/>
          <w:color w:val="2E5090"/>
        </w:rPr>
        <w:t xml:space="preserve">Purpose of this Part: </w:t>
      </w:r>
      <w:r>
        <w:rPr>
          <w:i/>
          <w:iCs/>
          <w:color w:val="404040"/>
        </w:rPr>
        <w:t>This Part describes the companion workbook used to score investment candidates in practice.</w:t>
      </w:r>
    </w:p>
    <w:p w14:paraId="3C29E1BA" w14:textId="77777777" w:rsidR="00A63D17" w:rsidRDefault="00000000">
      <w:pPr>
        <w:spacing w:after="120"/>
      </w:pPr>
      <w:r>
        <w:t>The live, working scoring template is maintained as a companion Excel workbook rather than as a static table in this document, since active scoring is a continuously updated record, not a fixed reference. This keeps the document you are reading as the stable statement of the rules, while the workbook stays current as a working tool.</w:t>
      </w:r>
    </w:p>
    <w:p w14:paraId="2DC56687" w14:textId="77777777" w:rsidR="00A63D17" w:rsidRDefault="00000000">
      <w:pPr>
        <w:spacing w:after="120"/>
      </w:pPr>
      <w:r>
        <w:t>The companion workbook shall contain, at minimum:</w:t>
      </w:r>
    </w:p>
    <w:p w14:paraId="08FB073D" w14:textId="77777777" w:rsidR="00A63D17" w:rsidRDefault="00000000">
      <w:pPr>
        <w:ind w:left="360"/>
      </w:pPr>
      <w:r>
        <w:t xml:space="preserve">•  </w:t>
      </w:r>
      <w:r>
        <w:rPr>
          <w:b/>
          <w:bCs/>
        </w:rPr>
        <w:t xml:space="preserve">An auto-refreshed market-data section </w:t>
      </w:r>
      <w:r>
        <w:t>(price, volume, market capitalization, P/E, 52-week range, dividend yield) for each tracked candidate.</w:t>
      </w:r>
    </w:p>
    <w:p w14:paraId="2151597F" w14:textId="77777777" w:rsidR="00A63D17" w:rsidRDefault="00000000">
      <w:pPr>
        <w:ind w:left="360"/>
      </w:pPr>
      <w:r>
        <w:t xml:space="preserve">•  </w:t>
      </w:r>
      <w:r>
        <w:rPr>
          <w:b/>
          <w:bCs/>
        </w:rPr>
        <w:t xml:space="preserve">An analyst-scored section </w:t>
      </w:r>
      <w:r>
        <w:t>covering every Tier 1, Tier 2, and Tier 3 indicator in Part 2, each with its score and Confidence Tag, entered during a scoring session.</w:t>
      </w:r>
    </w:p>
    <w:p w14:paraId="48E328AA" w14:textId="77777777" w:rsidR="00A63D17" w:rsidRDefault="00000000">
      <w:pPr>
        <w:ind w:left="360"/>
      </w:pPr>
      <w:r>
        <w:t xml:space="preserve">•  </w:t>
      </w:r>
      <w:r>
        <w:rPr>
          <w:b/>
          <w:bCs/>
        </w:rPr>
        <w:t xml:space="preserve">A live Composite Score calculation </w:t>
      </w:r>
      <w:r>
        <w:t>that updates automatically as scores are entered, together with the resulting Strong Buy / Buy / Watch List / Avoid / Pass classification from Part 3.</w:t>
      </w:r>
    </w:p>
    <w:p w14:paraId="4D9BDF31" w14:textId="77777777" w:rsidR="00A63D17" w:rsidRDefault="00000000">
      <w:pPr>
        <w:ind w:left="360"/>
      </w:pPr>
      <w:r>
        <w:t xml:space="preserve">•  </w:t>
      </w:r>
      <w:r>
        <w:rPr>
          <w:b/>
          <w:bCs/>
        </w:rPr>
        <w:t xml:space="preserve">A summary dashboard tab </w:t>
      </w:r>
      <w:r>
        <w:t>listing all tracked names side by side, filterable by Composite Score (it mirrors the Scoring tab row for row, so it is filtered, never sorted), alongside the correlation-cluster and portfolio-drawdown tracking described in Part 7.</w:t>
      </w:r>
    </w:p>
    <w:p w14:paraId="6FCE480B" w14:textId="77777777" w:rsidR="00A63D17" w:rsidRDefault="00000000" w:rsidP="00281819">
      <w:pPr>
        <w:spacing w:after="200"/>
      </w:pPr>
      <w:r>
        <w:t xml:space="preserve">Automation applies only to the raw market-data inputs. The analyst-judgment fields — </w:t>
      </w:r>
      <w:r>
        <w:rPr>
          <w:b/>
          <w:bCs/>
        </w:rPr>
        <w:t>Moat, Management Quality, Revenue Visibility</w:t>
      </w:r>
      <w:r>
        <w:t xml:space="preserve">, and the qualitative components of </w:t>
      </w:r>
      <w:r>
        <w:rPr>
          <w:b/>
          <w:bCs/>
        </w:rPr>
        <w:t>FCF Yield &amp; Trend</w:t>
      </w:r>
      <w:r>
        <w:t xml:space="preserve"> — </w:t>
      </w:r>
      <w:r>
        <w:rPr>
          <w:u w:val="single"/>
        </w:rPr>
        <w:t>are never automated</w:t>
      </w:r>
      <w:r>
        <w:t>. They require the same documented analysis described throughout Parts 2 through 4, recorded in the workbook rather than recreated from scratch each time.</w:t>
        <w:br w:type="page"/>
      </w:r>
    </w:p>
    <w:p w14:paraId="57AEC7C1" w14:textId="77777777" w:rsidR="001E38B7" w:rsidRDefault="001E38B7" w:rsidP="003F0A84">
      <w:pPr>
        <w:pStyle w:val="Heading1"/>
      </w:pPr>
      <w:bookmarkStart w:id="63" w:name="_Toc236827008"/>
      <w:r>
        <w:lastRenderedPageBreak/>
        <w:t>APPENDIX</w:t>
      </w:r>
      <w:bookmarkEnd w:id="63"/>
    </w:p>
    <w:p w14:paraId="67321765" w14:textId="77777777" w:rsidR="001E38B7" w:rsidRPr="00B71629" w:rsidRDefault="001E38B7" w:rsidP="003D554C">
      <w:pPr>
        <w:pStyle w:val="Heading2"/>
        <w:pBdr>
          <w:bottom w:val="single" w:sz="4" w:space="1" w:color="auto"/>
        </w:pBdr>
        <w:rPr>
          <w:b w:val="0"/>
          <w:bCs w:val="0"/>
        </w:rPr>
      </w:pPr>
      <w:bookmarkStart w:id="64" w:name="_Toc236827009"/>
      <w:r>
        <w:t xml:space="preserve">Scoring Workbook Template</w:t>
      </w:r>
      <w:r>
        <w:rPr>
          <w:b w:val="0"/>
          <w:bCs w:val="0"/>
        </w:rPr>
        <w:t xml:space="preserve"> includes multiple tabs and intricate cross-tab scoring, calculations and references.</w:t>
        <w:br/>
        <w:t xml:space="preserve">Refer to complete Workbook Template (~67 pages) for additional detail. The opening </w:t>
      </w:r>
      <w:r>
        <w:t>instruction tab</w:t>
      </w:r>
      <w:r>
        <w:rPr>
          <w:b w:val="0"/>
          <w:bCs w:val="0"/>
        </w:rPr>
        <w:t xml:space="preserve"> is shown below</w:t>
      </w:r>
      <w:bookmarkEnd w:id="64"/>
      <w:r>
        <w:rPr>
          <w:b w:val="0"/>
          <w:bCs w:val="0"/>
        </w:rPr>
        <w:t>:</w:t>
      </w:r>
    </w:p>
    <w:tbl>
      <w:tblPr>
        <w:tblW w:w="10080" w:type="dxa"/>
        <w:tblLook w:val="04A0" w:firstRow="1" w:lastRow="0" w:firstColumn="1" w:lastColumn="0" w:noHBand="0" w:noVBand="1"/>
      </w:tblPr>
      <w:tblGrid>
        <w:gridCol w:w="10368"/>
      </w:tblGrid>
      <w:tr w:rsidR="00B71629" w:rsidRPr="00B71629" w14:paraId="485B930C" w14:textId="77777777" w:rsidTr="00B71629">
        <w:trPr>
          <w:trHeight w:val="435"/>
        </w:trPr>
        <w:tc>
          <w:tcPr>
            <w:tcW w:w="12117" w:type="dxa"/>
            <w:tcBorders>
              <w:top w:val="nil"/>
              <w:left w:val="nil"/>
              <w:bottom w:val="nil"/>
              <w:right w:val="nil"/>
            </w:tcBorders>
            <w:noWrap/>
            <w:hideMark/>
          </w:tcPr>
          <w:p w14:paraId="07B86732" w14:textId="77777777" w:rsidR="00B71629" w:rsidRPr="00B71629" w:rsidRDefault="00B71629" w:rsidP="00B71629">
            <w:pPr>
              <w:spacing w:after="0"/>
              <w:rPr>
                <w:rFonts w:ascii="Arial" w:eastAsia="Times New Roman" w:hAnsi="Arial" w:cs="Arial"/>
                <w:b/>
                <w:bCs/>
                <w:color w:val="1F3864"/>
                <w:sz w:val="26"/>
                <w:szCs w:val="26"/>
              </w:rPr>
            </w:pPr>
            <w:r>
              <w:rPr>
                <w:rFonts w:ascii="Arial" w:eastAsia="Times New Roman" w:hAnsi="Arial" w:cs="Arial"/>
                <w:b/>
                <w:bCs/>
                <w:color w:val="1F3864"/>
                <w:sz w:val="26"/>
                <w:szCs w:val="26"/>
              </w:rPr>
              <w:t>THE LANDRY FAMILY EQUITY INVESTMENT OPERATING SYSTEM — STOCK SCORING &amp; PORTFOLIO RISK WORKBOOK</w:t>
            </w:r>
          </w:p>
        </w:tc>
      </w:tr>
      <w:tr w:rsidR="00B71629" w:rsidRPr="00B71629" w14:paraId="378EABA3" w14:textId="77777777" w:rsidTr="00B71629">
        <w:trPr>
          <w:trHeight w:val="270"/>
        </w:trPr>
        <w:tc>
          <w:tcPr>
            <w:tcW w:w="12117" w:type="dxa"/>
            <w:tcBorders>
              <w:top w:val="nil"/>
              <w:left w:val="nil"/>
              <w:bottom w:val="nil"/>
              <w:right w:val="nil"/>
            </w:tcBorders>
            <w:hideMark/>
          </w:tcPr>
          <w:p w14:paraId="7C2521CD" w14:textId="77777777" w:rsidR="00B71629" w:rsidRPr="00B71629" w:rsidRDefault="00B71629" w:rsidP="00B71629">
            <w:pPr>
              <w:spacing w:after="0"/>
              <w:rPr>
                <w:rFonts w:ascii="Arial" w:eastAsia="Times New Roman" w:hAnsi="Arial" w:cs="Arial"/>
                <w:b/>
                <w:bCs/>
                <w:color w:val="1F3864"/>
                <w:sz w:val="26"/>
                <w:szCs w:val="26"/>
              </w:rPr>
            </w:pPr>
          </w:p>
        </w:tc>
      </w:tr>
      <w:tr w:rsidR="00B71629" w:rsidRPr="00B71629" w14:paraId="053C5D3B" w14:textId="77777777" w:rsidTr="00B71629">
        <w:trPr>
          <w:trHeight w:val="270"/>
        </w:trPr>
        <w:tc>
          <w:tcPr>
            <w:tcW w:w="12117" w:type="dxa"/>
            <w:tcBorders>
              <w:top w:val="nil"/>
              <w:left w:val="nil"/>
              <w:bottom w:val="nil"/>
              <w:right w:val="nil"/>
            </w:tcBorders>
            <w:hideMark/>
          </w:tcPr>
          <w:p w14:paraId="775B50EC" w14:textId="4E5466E4" w:rsidR="00B71629" w:rsidRPr="00B71629" w:rsidRDefault="00B71629" w:rsidP="00B71629">
            <w:pPr>
              <w:spacing w:after="0"/>
              <w:rPr>
                <w:rFonts w:ascii="Arial" w:eastAsia="Times New Roman" w:hAnsi="Arial" w:cs="Arial"/>
                <w:i/>
                <w:iCs/>
                <w:color w:val="000000"/>
                <w:sz w:val="18"/>
                <w:szCs w:val="18"/>
              </w:rPr>
            </w:pPr>
            <w:r>
              <w:rPr>
                <w:rFonts w:ascii="Arial" w:eastAsia="Times New Roman" w:hAnsi="Arial" w:cs="Arial"/>
                <w:i/>
                <w:iCs/>
                <w:color w:val="000000"/>
                <w:sz w:val="18"/>
                <w:szCs w:val="18"/>
              </w:rPr>
              <w:t>Companion workbook to Landry System v1.05. Aligned to: Version 1.05 (51 numbered Hard Rules, Parts 1–12, and the Part 6 Stop-Review Ladder).</w:t>
            </w:r>
          </w:p>
        </w:tc>
      </w:tr>
      <w:tr w:rsidR="00B71629" w:rsidRPr="00B71629" w14:paraId="362AD0B2" w14:textId="77777777" w:rsidTr="00B71629">
        <w:trPr>
          <w:trHeight w:val="270"/>
        </w:trPr>
        <w:tc>
          <w:tcPr>
            <w:tcW w:w="12117" w:type="dxa"/>
            <w:tcBorders>
              <w:top w:val="nil"/>
              <w:left w:val="nil"/>
              <w:bottom w:val="nil"/>
              <w:right w:val="nil"/>
            </w:tcBorders>
            <w:hideMark/>
          </w:tcPr>
          <w:p w14:paraId="77D15EB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If the Word document's rule numbers ever change in a future revision, check this line and the rule</w:t>
            </w:r>
          </w:p>
        </w:tc>
      </w:tr>
      <w:tr w:rsidR="00B71629" w:rsidRPr="00B71629" w14:paraId="26CA045A" w14:textId="77777777" w:rsidTr="00B71629">
        <w:trPr>
          <w:trHeight w:val="270"/>
        </w:trPr>
        <w:tc>
          <w:tcPr>
            <w:tcW w:w="12117" w:type="dxa"/>
            <w:tcBorders>
              <w:top w:val="nil"/>
              <w:left w:val="nil"/>
              <w:bottom w:val="nil"/>
              <w:right w:val="nil"/>
            </w:tcBorders>
            <w:hideMark/>
          </w:tcPr>
          <w:p w14:paraId="23950413"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references throughout this workbook before relying on them.</w:t>
            </w:r>
          </w:p>
        </w:tc>
      </w:tr>
      <w:tr w:rsidR="00B71629" w:rsidRPr="00B71629" w14:paraId="6EA9623D" w14:textId="77777777" w:rsidTr="00B71629">
        <w:trPr>
          <w:trHeight w:val="270"/>
        </w:trPr>
        <w:tc>
          <w:tcPr>
            <w:tcW w:w="12117" w:type="dxa"/>
            <w:tcBorders>
              <w:top w:val="nil"/>
              <w:left w:val="nil"/>
              <w:bottom w:val="nil"/>
              <w:right w:val="nil"/>
            </w:tcBorders>
            <w:hideMark/>
          </w:tcPr>
          <w:p w14:paraId="2F15B40F"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45523B85" w14:textId="77777777" w:rsidTr="00B71629">
        <w:trPr>
          <w:trHeight w:val="270"/>
        </w:trPr>
        <w:tc>
          <w:tcPr>
            <w:tcW w:w="12117" w:type="dxa"/>
            <w:tcBorders>
              <w:top w:val="nil"/>
              <w:left w:val="nil"/>
              <w:bottom w:val="nil"/>
              <w:right w:val="nil"/>
            </w:tcBorders>
            <w:hideMark/>
          </w:tcPr>
          <w:p w14:paraId="732AA03D" w14:textId="77777777"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HOW TO USE THIS WORKBOOK</w:t>
            </w:r>
          </w:p>
        </w:tc>
      </w:tr>
      <w:tr w:rsidR="00B71629" w:rsidRPr="00B71629" w14:paraId="7DD5F3AA" w14:textId="77777777" w:rsidTr="00B71629">
        <w:trPr>
          <w:trHeight w:val="270"/>
        </w:trPr>
        <w:tc>
          <w:tcPr>
            <w:tcW w:w="12117" w:type="dxa"/>
            <w:tcBorders>
              <w:top w:val="nil"/>
              <w:left w:val="nil"/>
              <w:bottom w:val="nil"/>
              <w:right w:val="nil"/>
            </w:tcBorders>
            <w:hideMark/>
          </w:tcPr>
          <w:p w14:paraId="7EC244CA"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1. </w:t>
            </w:r>
            <w:r>
              <w:rPr>
                <w:rFonts w:ascii="Arial" w:eastAsia="Times New Roman" w:hAnsi="Arial" w:cs="Arial"/>
                <w:b/>
                <w:bCs/>
                <w:color w:val="000000"/>
                <w:sz w:val="18"/>
                <w:szCs w:val="18"/>
              </w:rPr>
              <w:t xml:space="preserve">Market Data tab </w:t>
            </w:r>
            <w:r>
              <w:rPr>
                <w:rFonts w:ascii="Arial" w:eastAsia="Times New Roman" w:hAnsi="Arial" w:cs="Arial"/>
                <w:color w:val="000000"/>
                <w:sz w:val="18"/>
                <w:szCs w:val="18"/>
              </w:rPr>
              <w:t>— enter or refresh price, volume, market cap, P/E, 52-week range, and dividend</w:t>
            </w:r>
          </w:p>
        </w:tc>
      </w:tr>
      <w:tr w:rsidR="00B71629" w:rsidRPr="00B71629" w14:paraId="3948945C" w14:textId="77777777" w:rsidTr="00B71629">
        <w:trPr>
          <w:trHeight w:val="270"/>
        </w:trPr>
        <w:tc>
          <w:tcPr>
            <w:tcW w:w="12117" w:type="dxa"/>
            <w:tcBorders>
              <w:top w:val="nil"/>
              <w:left w:val="nil"/>
              <w:bottom w:val="nil"/>
              <w:right w:val="nil"/>
            </w:tcBorders>
            <w:hideMark/>
          </w:tcPr>
          <w:p w14:paraId="13F1AB6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yield for each tracked ticker. Blue cells only. See that tab's note on optional live-data refresh.</w:t>
            </w:r>
          </w:p>
        </w:tc>
      </w:tr>
      <w:tr w:rsidR="00B71629" w:rsidRPr="00B71629" w14:paraId="63D45FE6" w14:textId="77777777" w:rsidTr="00B71629">
        <w:trPr>
          <w:trHeight w:val="270"/>
        </w:trPr>
        <w:tc>
          <w:tcPr>
            <w:tcW w:w="12117" w:type="dxa"/>
            <w:tcBorders>
              <w:top w:val="nil"/>
              <w:left w:val="nil"/>
              <w:bottom w:val="nil"/>
              <w:right w:val="nil"/>
            </w:tcBorders>
            <w:hideMark/>
          </w:tcPr>
          <w:p w14:paraId="30706B6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2. </w:t>
            </w:r>
            <w:r>
              <w:rPr>
                <w:rFonts w:ascii="Arial" w:eastAsia="Times New Roman" w:hAnsi="Arial" w:cs="Arial"/>
                <w:b/>
                <w:bCs/>
                <w:color w:val="000000"/>
                <w:sz w:val="18"/>
                <w:szCs w:val="18"/>
              </w:rPr>
              <w:t>Scoring tab</w:t>
            </w:r>
            <w:r>
              <w:rPr>
                <w:rFonts w:ascii="Arial" w:eastAsia="Times New Roman" w:hAnsi="Arial" w:cs="Arial"/>
                <w:color w:val="000000"/>
                <w:sz w:val="18"/>
                <w:szCs w:val="18"/>
              </w:rPr>
              <w:t xml:space="preserve"> — during a scoring session, enter each Tier 1/2/3 indicator's score (1–5) and Confidence</w:t>
            </w:r>
          </w:p>
        </w:tc>
      </w:tr>
      <w:tr w:rsidR="00B71629" w:rsidRPr="00B71629" w14:paraId="0EA9D310" w14:textId="77777777" w:rsidTr="00B71629">
        <w:trPr>
          <w:trHeight w:val="270"/>
        </w:trPr>
        <w:tc>
          <w:tcPr>
            <w:tcW w:w="12117" w:type="dxa"/>
            <w:tcBorders>
              <w:top w:val="nil"/>
              <w:left w:val="nil"/>
              <w:bottom w:val="nil"/>
              <w:right w:val="nil"/>
            </w:tcBorders>
            <w:hideMark/>
          </w:tcPr>
          <w:p w14:paraId="656FD777"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tag (H/M/L) per Part 2's rubrics. The Composite Score, decision classification, and hard-rule flags</w:t>
            </w:r>
          </w:p>
        </w:tc>
      </w:tr>
      <w:tr w:rsidR="00B71629" w:rsidRPr="00B71629" w14:paraId="01C321E4" w14:textId="77777777" w:rsidTr="00B71629">
        <w:trPr>
          <w:trHeight w:val="270"/>
        </w:trPr>
        <w:tc>
          <w:tcPr>
            <w:tcW w:w="12117" w:type="dxa"/>
            <w:tcBorders>
              <w:top w:val="nil"/>
              <w:left w:val="nil"/>
              <w:bottom w:val="nil"/>
              <w:right w:val="nil"/>
            </w:tcBorders>
            <w:hideMark/>
          </w:tcPr>
          <w:p w14:paraId="2412D6B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(Rules 1–4) calculate automatically.</w:t>
            </w:r>
          </w:p>
        </w:tc>
      </w:tr>
      <w:tr w:rsidR="00B71629" w:rsidRPr="00B71629" w14:paraId="7FE479AC" w14:textId="77777777" w:rsidTr="00B71629">
        <w:trPr>
          <w:trHeight w:val="270"/>
        </w:trPr>
        <w:tc>
          <w:tcPr>
            <w:tcW w:w="12117" w:type="dxa"/>
            <w:tcBorders>
              <w:top w:val="nil"/>
              <w:left w:val="nil"/>
              <w:bottom w:val="nil"/>
              <w:right w:val="nil"/>
            </w:tcBorders>
            <w:hideMark/>
          </w:tcPr>
          <w:p w14:paraId="35F7D649"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3. Dashboard tab — read-only summary of every tracked stock; filter it, never sort it (its rows mirror Scoring by formula).</w:t>
            </w:r>
          </w:p>
        </w:tc>
      </w:tr>
      <w:tr w:rsidR="00B71629" w:rsidRPr="00B71629" w14:paraId="171CEEEA" w14:textId="77777777" w:rsidTr="00B71629">
        <w:trPr>
          <w:trHeight w:val="270"/>
        </w:trPr>
        <w:tc>
          <w:tcPr>
            <w:tcW w:w="12117" w:type="dxa"/>
            <w:tcBorders>
              <w:top w:val="nil"/>
              <w:left w:val="nil"/>
              <w:bottom w:val="nil"/>
              <w:right w:val="nil"/>
            </w:tcBorders>
            <w:hideMark/>
          </w:tcPr>
          <w:p w14:paraId="7B1CB371"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4. Price History / Returns (Calc) / Correlation Matrix tabs — enter weekly closing prices for current</w:t>
            </w:r>
          </w:p>
        </w:tc>
      </w:tr>
      <w:tr w:rsidR="00B71629" w:rsidRPr="00B71629" w14:paraId="25ED397F" w14:textId="77777777" w:rsidTr="00B71629">
        <w:trPr>
          <w:trHeight w:val="270"/>
        </w:trPr>
        <w:tc>
          <w:tcPr>
            <w:tcW w:w="12117" w:type="dxa"/>
            <w:tcBorders>
              <w:top w:val="nil"/>
              <w:left w:val="nil"/>
              <w:bottom w:val="nil"/>
              <w:right w:val="nil"/>
            </w:tcBorders>
            <w:hideMark/>
          </w:tcPr>
          <w:p w14:paraId="4C063A09"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holdings (ex-cash-sweep); pairwise correlation and the Rule 38 per-position violation flag calculate automatically.</w:t>
            </w:r>
          </w:p>
        </w:tc>
      </w:tr>
      <w:tr w:rsidR="00B71629" w:rsidRPr="00B71629" w14:paraId="20675ECF" w14:textId="77777777" w:rsidTr="00B71629">
        <w:trPr>
          <w:trHeight w:val="270"/>
        </w:trPr>
        <w:tc>
          <w:tcPr>
            <w:tcW w:w="12117" w:type="dxa"/>
            <w:tcBorders>
              <w:top w:val="nil"/>
              <w:left w:val="nil"/>
              <w:bottom w:val="nil"/>
              <w:right w:val="nil"/>
            </w:tcBorders>
            <w:hideMark/>
          </w:tcPr>
          <w:p w14:paraId="18C388E4"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5. </w:t>
            </w:r>
            <w:r>
              <w:rPr>
                <w:rFonts w:ascii="Arial" w:eastAsia="Times New Roman" w:hAnsi="Arial" w:cs="Arial"/>
                <w:b/>
                <w:bCs/>
                <w:color w:val="000000"/>
                <w:sz w:val="18"/>
                <w:szCs w:val="18"/>
              </w:rPr>
              <w:t>Portfolio Drawdown Log tab</w:t>
            </w:r>
            <w:r>
              <w:rPr>
                <w:rFonts w:ascii="Arial" w:eastAsia="Times New Roman" w:hAnsi="Arial" w:cs="Arial"/>
                <w:color w:val="000000"/>
                <w:sz w:val="18"/>
                <w:szCs w:val="18"/>
              </w:rPr>
              <w:t xml:space="preserve"> — enter portfolio value at each review date; running peak, drawdown %,</w:t>
            </w:r>
          </w:p>
        </w:tc>
      </w:tr>
      <w:tr w:rsidR="00B71629" w:rsidRPr="00B71629" w14:paraId="5BF5985D" w14:textId="77777777" w:rsidTr="00B71629">
        <w:trPr>
          <w:trHeight w:val="270"/>
        </w:trPr>
        <w:tc>
          <w:tcPr>
            <w:tcW w:w="12117" w:type="dxa"/>
            <w:tcBorders>
              <w:top w:val="nil"/>
              <w:left w:val="nil"/>
              <w:bottom w:val="nil"/>
              <w:right w:val="nil"/>
            </w:tcBorders>
            <w:hideMark/>
          </w:tcPr>
          <w:p w14:paraId="38ACE5B8"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and the Part 7 response status (Normal/Elevated/Severe/Critical) calculate automatically.</w:t>
            </w:r>
          </w:p>
        </w:tc>
      </w:tr>
      <w:tr w:rsidR="00B71629" w:rsidRPr="00B71629" w14:paraId="5A21300A" w14:textId="77777777" w:rsidTr="00B71629">
        <w:trPr>
          <w:trHeight w:val="270"/>
        </w:trPr>
        <w:tc>
          <w:tcPr>
            <w:tcW w:w="12117" w:type="dxa"/>
            <w:tcBorders>
              <w:top w:val="nil"/>
              <w:left w:val="nil"/>
              <w:bottom w:val="nil"/>
              <w:right w:val="nil"/>
            </w:tcBorders>
            <w:hideMark/>
          </w:tcPr>
          <w:p w14:paraId="77E2FD6D"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250FB85F" w14:textId="77777777" w:rsidTr="00B71629">
        <w:trPr>
          <w:trHeight w:val="270"/>
        </w:trPr>
        <w:tc>
          <w:tcPr>
            <w:tcW w:w="12117" w:type="dxa"/>
            <w:tcBorders>
              <w:top w:val="nil"/>
              <w:left w:val="nil"/>
              <w:bottom w:val="nil"/>
              <w:right w:val="nil"/>
            </w:tcBorders>
            <w:hideMark/>
          </w:tcPr>
          <w:p w14:paraId="463CC99F" w14:textId="16FC18BD"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RULE REFERENCE (Landry System v1.05)</w:t>
            </w:r>
          </w:p>
        </w:tc>
      </w:tr>
      <w:tr w:rsidR="00B71629" w:rsidRPr="00B71629" w14:paraId="7417535E" w14:textId="77777777" w:rsidTr="00B71629">
        <w:trPr>
          <w:trHeight w:val="270"/>
        </w:trPr>
        <w:tc>
          <w:tcPr>
            <w:tcW w:w="12117" w:type="dxa"/>
            <w:tcBorders>
              <w:top w:val="nil"/>
              <w:left w:val="nil"/>
              <w:bottom w:val="nil"/>
              <w:right w:val="nil"/>
            </w:tcBorders>
            <w:hideMark/>
          </w:tcPr>
          <w:p w14:paraId="6720E5A8"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Rules 1–4 (Part 3) — Tier 1 floor of 3.0, mandatory review of any Tier 1 score of 1, automatic Avoid if</w:t>
            </w:r>
          </w:p>
        </w:tc>
      </w:tr>
      <w:tr w:rsidR="00B71629" w:rsidRPr="00B71629" w14:paraId="41A1DBEA" w14:textId="77777777" w:rsidTr="00B71629">
        <w:trPr>
          <w:trHeight w:val="270"/>
        </w:trPr>
        <w:tc>
          <w:tcPr>
            <w:tcW w:w="12117" w:type="dxa"/>
            <w:tcBorders>
              <w:top w:val="nil"/>
              <w:left w:val="nil"/>
              <w:bottom w:val="nil"/>
              <w:right w:val="nil"/>
            </w:tcBorders>
            <w:hideMark/>
          </w:tcPr>
          <w:p w14:paraId="3DE62839"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two or more Tier 1 indicators score 2.0 or below, Strong Buy capped when two or more are Low Confidence.</w:t>
            </w:r>
          </w:p>
        </w:tc>
      </w:tr>
      <w:tr w:rsidR="00B71629" w:rsidRPr="00B71629" w14:paraId="00FECF13" w14:textId="77777777" w:rsidTr="00B71629">
        <w:trPr>
          <w:trHeight w:val="270"/>
        </w:trPr>
        <w:tc>
          <w:tcPr>
            <w:tcW w:w="12117" w:type="dxa"/>
            <w:tcBorders>
              <w:top w:val="nil"/>
              <w:left w:val="nil"/>
              <w:bottom w:val="nil"/>
              <w:right w:val="nil"/>
            </w:tcBorders>
            <w:hideMark/>
          </w:tcPr>
          <w:p w14:paraId="797E653D"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Rule 5 (Part 3) — Relative Strength or Technical Trend scored 1: documented review before a Buy is relied on.</w:t>
            </w:r>
          </w:p>
        </w:tc>
      </w:tr>
      <w:tr w:rsidR="00B71629" w:rsidRPr="00B71629" w14:paraId="13BADCF4" w14:textId="77777777" w:rsidTr="00B71629">
        <w:trPr>
          <w:trHeight w:val="270"/>
        </w:trPr>
        <w:tc>
          <w:tcPr>
            <w:tcW w:w="12117" w:type="dxa"/>
            <w:tcBorders>
              <w:top w:val="nil"/>
              <w:left w:val="nil"/>
              <w:bottom w:val="nil"/>
              <w:right w:val="nil"/>
            </w:tcBorders>
            <w:hideMark/>
          </w:tcPr>
          <w:p w14:paraId="4A5AAD65"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Rule 16 (Part 5) — No sector above 25% of portfolio, measured at market value on direct holdings (v1.05).</w:t>
            </w:r>
          </w:p>
        </w:tc>
      </w:tr>
      <w:tr w:rsidR="00B71629" w:rsidRPr="00B71629" w14:paraId="62965C0B" w14:textId="77777777" w:rsidTr="00B71629">
        <w:trPr>
          <w:trHeight w:val="270"/>
        </w:trPr>
        <w:tc>
          <w:tcPr>
            <w:tcW w:w="12117" w:type="dxa"/>
            <w:tcBorders>
              <w:top w:val="nil"/>
              <w:left w:val="nil"/>
              <w:bottom w:val="nil"/>
              <w:right w:val="nil"/>
            </w:tcBorders>
            <w:hideMark/>
          </w:tcPr>
          <w:p w14:paraId="02BB32BE"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Rule 34 (Part 6) — Early Partial Trim: Probationary Hold, indicator reconfirmed unimproved: trim a third, up to 3x.</w:t>
            </w:r>
          </w:p>
        </w:tc>
      </w:tr>
      <w:tr w:rsidR="00B71629" w:rsidRPr="00B71629" w14:paraId="2595AA4A" w14:textId="77777777" w:rsidTr="00B71629">
        <w:trPr>
          <w:trHeight w:val="270"/>
        </w:trPr>
        <w:tc>
          <w:tcPr>
            <w:tcW w:w="12117" w:type="dxa"/>
            <w:tcBorders>
              <w:top w:val="nil"/>
              <w:left w:val="nil"/>
              <w:bottom w:val="nil"/>
              <w:right w:val="nil"/>
            </w:tcBorders>
            <w:hideMark/>
          </w:tcPr>
          <w:p w14:paraId="3D55F49B"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Stop-Review Ladder (Part 6, v1.05) — 20% below cost + weak relative strength or under the 200-day average: no adds,</w:t>
            </w:r>
          </w:p>
        </w:tc>
      </w:tr>
      <w:tr w:rsidR="00B71629" w:rsidRPr="00B71629" w14:paraId="52CDAAF0" w14:textId="77777777" w:rsidTr="00B71629">
        <w:trPr>
          <w:trHeight w:val="270"/>
        </w:trPr>
        <w:tc>
          <w:tcPr>
            <w:tcW w:w="12117" w:type="dxa"/>
            <w:tcBorders>
              <w:top w:val="nil"/>
              <w:left w:val="nil"/>
              <w:bottom w:val="nil"/>
              <w:right w:val="nil"/>
            </w:tcBorders>
            <w:hideMark/>
          </w:tcPr>
          <w:p w14:paraId="79B29366"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re-underwrite in 10 trading days; 30% below + deterioration found: trim a third; 40% + 8 weeks under: Exit Review.</w:t>
            </w:r>
          </w:p>
        </w:tc>
      </w:tr>
      <w:tr w:rsidR="00B71629" w:rsidRPr="00B71629" w14:paraId="6A2B4C74" w14:textId="77777777" w:rsidTr="00B71629">
        <w:trPr>
          <w:trHeight w:val="270"/>
        </w:trPr>
        <w:tc>
          <w:tcPr>
            <w:tcW w:w="12117" w:type="dxa"/>
            <w:tcBorders>
              <w:top w:val="nil"/>
              <w:left w:val="nil"/>
              <w:bottom w:val="nil"/>
              <w:right w:val="nil"/>
            </w:tcBorders>
            <w:hideMark/>
          </w:tcPr>
          <w:p w14:paraId="37238ED5"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Rule 38 (Part 7) — Correlation Cap: no position may carry pairwise correlation above 0.70 with more than one other holding.</w:t>
            </w:r>
          </w:p>
        </w:tc>
      </w:tr>
      <w:tr w:rsidR="00B71629" w:rsidRPr="00B71629" w14:paraId="7ED00761" w14:textId="77777777" w:rsidTr="00B71629">
        <w:trPr>
          <w:trHeight w:val="270"/>
        </w:trPr>
        <w:tc>
          <w:tcPr>
            <w:tcW w:w="12117" w:type="dxa"/>
            <w:tcBorders>
              <w:top w:val="nil"/>
              <w:left w:val="nil"/>
              <w:bottom w:val="nil"/>
              <w:right w:val="nil"/>
            </w:tcBorders>
            <w:hideMark/>
          </w:tcPr>
          <w:p w14:paraId="1A20FE7F"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Rule 39 (Part 7) — Portfolio drawdown response levels apply automatically; only a documented Tier 1 re-score restores normal sizing.</w:t>
            </w:r>
          </w:p>
        </w:tc>
      </w:tr>
      <w:tr w:rsidR="00B71629" w:rsidRPr="00B71629" w:rsidTr="00B71629">
        <w:trPr>
          <w:trHeight w:val="270"/>
        </w:trPr>
        <w:tc>
          <w:tcPr>
            <w:tcW w:w="12117" w:type="dxa"/>
            <w:tcBorders>
              <w:top w:val="nil"/>
              <w:left w:val="nil"/>
              <w:bottom w:val="nil"/>
              <w:right w:val="nil"/>
            </w:tcBorders>
            <w:hideMark/>
          </w:tcPr>
          <w:p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Decision thresholds (Part 3): 80–100 Strong Buy | 65–79 Buy | 50–64 Watch List | 35–49 Avoid | &lt;35 Pass.</w:t>
            </w:r>
          </w:p>
        </w:tc>
      </w:tr>
      <w:tr w:rsidR="00B71629" w:rsidRPr="00B71629" w:rsidTr="00B71629">
        <w:trPr>
          <w:trHeight w:val="270"/>
        </w:trPr>
        <w:tc>
          <w:tcPr>
            <w:tcW w:w="12117" w:type="dxa"/>
            <w:tcBorders>
              <w:top w:val="nil"/>
              <w:left w:val="nil"/>
              <w:bottom w:val="nil"/>
              <w:right w:val="nil"/>
            </w:tcBorders>
            <w:hideMark/>
          </w:tcPr>
          <w:p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Drawdown response (Part 7): 0–10% Normal | 10–20% Elevated | 20–30% Severe | 30%+ Critical.</w:t>
            </w:r>
          </w:p>
        </w:tc>
      </w:tr>
      <w:tr w:rsidR="00B71629" w:rsidRPr="00B71629" w14:paraId="68A793CC" w14:textId="77777777" w:rsidTr="00B71629">
        <w:trPr>
          <w:trHeight w:val="270"/>
        </w:trPr>
        <w:tc>
          <w:tcPr>
            <w:tcW w:w="12117" w:type="dxa"/>
            <w:tcBorders>
              <w:top w:val="nil"/>
              <w:left w:val="nil"/>
              <w:bottom w:val="nil"/>
              <w:right w:val="nil"/>
            </w:tcBorders>
            <w:hideMark/>
          </w:tcPr>
          <w:p w14:paraId="0DB80BC1"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7F92FC2C" w14:textId="77777777" w:rsidTr="00B71629">
        <w:trPr>
          <w:trHeight w:val="270"/>
        </w:trPr>
        <w:tc>
          <w:tcPr>
            <w:tcW w:w="12117" w:type="dxa"/>
            <w:tcBorders>
              <w:top w:val="nil"/>
              <w:left w:val="nil"/>
              <w:bottom w:val="nil"/>
              <w:right w:val="nil"/>
            </w:tcBorders>
            <w:hideMark/>
          </w:tcPr>
          <w:p w14:paraId="7FDDEB26" w14:textId="77777777"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COLOR LEGEND</w:t>
            </w:r>
          </w:p>
        </w:tc>
      </w:tr>
      <w:tr w:rsidR="00B71629" w:rsidRPr="00B71629" w14:paraId="0DE543CA" w14:textId="77777777" w:rsidTr="00B71629">
        <w:trPr>
          <w:trHeight w:val="270"/>
        </w:trPr>
        <w:tc>
          <w:tcPr>
            <w:tcW w:w="12117" w:type="dxa"/>
            <w:tcBorders>
              <w:top w:val="nil"/>
              <w:left w:val="nil"/>
              <w:bottom w:val="nil"/>
              <w:right w:val="nil"/>
            </w:tcBorders>
            <w:hideMark/>
          </w:tcPr>
          <w:p w14:paraId="44E12F6D"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215E99" w:themeColor="text2" w:themeTint="BF"/>
                <w:sz w:val="18"/>
                <w:szCs w:val="18"/>
              </w:rPr>
              <w:t>Dark blue text</w:t>
            </w:r>
            <w:r>
              <w:rPr>
                <w:rFonts w:ascii="Arial" w:eastAsia="Times New Roman" w:hAnsi="Arial" w:cs="Arial"/>
                <w:color w:val="215E99" w:themeColor="text2" w:themeTint="BF"/>
                <w:sz w:val="18"/>
                <w:szCs w:val="18"/>
              </w:rPr>
              <w:t xml:space="preserve"> </w:t>
            </w:r>
            <w:r>
              <w:rPr>
                <w:rFonts w:ascii="Arial" w:eastAsia="Times New Roman" w:hAnsi="Arial" w:cs="Arial"/>
                <w:color w:val="000000"/>
                <w:sz w:val="18"/>
                <w:szCs w:val="18"/>
              </w:rPr>
              <w:t xml:space="preserve">on </w:t>
            </w:r>
            <w:r>
              <w:rPr>
                <w:rFonts w:ascii="Arial" w:eastAsia="Times New Roman" w:hAnsi="Arial" w:cs="Arial"/>
                <w:color w:val="000000"/>
                <w:sz w:val="18"/>
                <w:szCs w:val="18"/>
                <w:highlight w:val="cyan"/>
              </w:rPr>
              <w:t>light blue fill</w:t>
            </w:r>
            <w:r>
              <w:rPr>
                <w:rFonts w:ascii="Arial" w:eastAsia="Times New Roman" w:hAnsi="Arial" w:cs="Arial"/>
                <w:color w:val="000000"/>
                <w:sz w:val="18"/>
                <w:szCs w:val="18"/>
              </w:rPr>
              <w:t xml:space="preserve"> = input cell (type here). </w:t>
              <w:br/>
            </w:r>
            <w:r>
              <w:rPr>
                <w:rFonts w:ascii="Arial" w:eastAsia="Times New Roman" w:hAnsi="Arial" w:cs="Arial"/>
                <w:b/>
                <w:bCs/>
                <w:color w:val="000000"/>
                <w:sz w:val="18"/>
                <w:szCs w:val="18"/>
              </w:rPr>
              <w:t>Black text, no fill</w:t>
            </w:r>
            <w:r>
              <w:rPr>
                <w:rFonts w:ascii="Arial" w:eastAsia="Times New Roman" w:hAnsi="Arial" w:cs="Arial"/>
                <w:color w:val="000000"/>
                <w:sz w:val="18"/>
                <w:szCs w:val="18"/>
              </w:rPr>
              <w:t xml:space="preserve"> = </w:t>
            </w:r>
            <w:r>
              <w:rPr>
                <w:rFonts w:ascii="Arial" w:eastAsia="Times New Roman" w:hAnsi="Arial" w:cs="Arial"/>
                <w:color w:val="000000"/>
                <w:sz w:val="18"/>
                <w:szCs w:val="18"/>
                <w:u w:val="single"/>
              </w:rPr>
              <w:t>calculated</w:t>
            </w:r>
            <w:r>
              <w:rPr>
                <w:rFonts w:ascii="Arial" w:eastAsia="Times New Roman" w:hAnsi="Arial" w:cs="Arial"/>
                <w:color w:val="000000"/>
                <w:sz w:val="18"/>
                <w:szCs w:val="18"/>
              </w:rPr>
              <w:t xml:space="preserve"> (do not overwrite -- formulas live here). </w:t>
              <w:br/>
            </w:r>
            <w:r>
              <w:rPr>
                <w:rFonts w:ascii="Arial" w:eastAsia="Times New Roman" w:hAnsi="Arial" w:cs="Arial"/>
                <w:b/>
                <w:bCs/>
                <w:color w:val="000000"/>
                <w:sz w:val="18"/>
                <w:szCs w:val="18"/>
              </w:rPr>
              <w:t>Colored fill</w:t>
            </w:r>
            <w:r>
              <w:rPr>
                <w:rFonts w:ascii="Arial" w:eastAsia="Times New Roman" w:hAnsi="Arial" w:cs="Arial"/>
                <w:color w:val="000000"/>
                <w:sz w:val="18"/>
                <w:szCs w:val="18"/>
              </w:rPr>
              <w:t xml:space="preserve"> on </w:t>
            </w:r>
            <w:r>
              <w:rPr>
                <w:rFonts w:ascii="Arial" w:eastAsia="Times New Roman" w:hAnsi="Arial" w:cs="Arial"/>
                <w:b/>
                <w:bCs/>
                <w:color w:val="000000"/>
                <w:sz w:val="18"/>
                <w:szCs w:val="18"/>
              </w:rPr>
              <w:t>Decision/Status/Recheck</w:t>
            </w:r>
            <w:r>
              <w:rPr>
                <w:rFonts w:ascii="Arial" w:eastAsia="Times New Roman" w:hAnsi="Arial" w:cs="Arial"/>
                <w:color w:val="000000"/>
                <w:sz w:val="18"/>
                <w:szCs w:val="18"/>
              </w:rPr>
              <w:t xml:space="preserve"> cells reflects the classification band (</w:t>
            </w:r>
            <w:r>
              <w:rPr>
                <w:rFonts w:ascii="Arial" w:eastAsia="Times New Roman" w:hAnsi="Arial" w:cs="Arial"/>
                <w:b/>
                <w:bCs/>
                <w:color w:val="000000"/>
                <w:sz w:val="18"/>
                <w:szCs w:val="18"/>
              </w:rPr>
              <w:t>green/yellow/orange/red</w:t>
            </w:r>
            <w:r>
              <w:rPr>
                <w:rFonts w:ascii="Arial" w:eastAsia="Times New Roman" w:hAnsi="Arial" w:cs="Arial"/>
                <w:color w:val="000000"/>
                <w:sz w:val="18"/>
                <w:szCs w:val="18"/>
              </w:rPr>
              <w:t>), separate from the input/formula distinction above.</w:t>
            </w:r>
          </w:p>
        </w:tc>
      </w:tr>
      <w:tr w:rsidR="00B71629" w:rsidRPr="00B71629" w14:paraId="0365D8D9" w14:textId="77777777" w:rsidTr="00B71629">
        <w:trPr>
          <w:trHeight w:val="270"/>
        </w:trPr>
        <w:tc>
          <w:tcPr>
            <w:tcW w:w="12117" w:type="dxa"/>
            <w:tcBorders>
              <w:top w:val="nil"/>
              <w:left w:val="nil"/>
              <w:bottom w:val="nil"/>
              <w:right w:val="nil"/>
            </w:tcBorders>
            <w:hideMark/>
          </w:tcPr>
          <w:p w14:paraId="2F665208"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3389C0C7" w14:textId="77777777" w:rsidTr="00B71629">
        <w:trPr>
          <w:trHeight w:val="300"/>
        </w:trPr>
        <w:tc>
          <w:tcPr>
            <w:tcW w:w="12117" w:type="dxa"/>
            <w:tcBorders>
              <w:top w:val="nil"/>
              <w:left w:val="nil"/>
              <w:bottom w:val="nil"/>
              <w:right w:val="nil"/>
            </w:tcBorders>
            <w:noWrap/>
            <w:hideMark/>
          </w:tcPr>
          <w:p w14:paraId="753CAB6F"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38D9E7D6" w14:textId="77777777" w:rsidTr="00B71629">
        <w:trPr>
          <w:trHeight w:val="300"/>
        </w:trPr>
        <w:tc>
          <w:tcPr>
            <w:tcW w:w="12117" w:type="dxa"/>
            <w:tcBorders>
              <w:top w:val="nil"/>
              <w:left w:val="nil"/>
              <w:bottom w:val="nil"/>
              <w:right w:val="nil"/>
            </w:tcBorders>
            <w:noWrap/>
            <w:hideMark/>
          </w:tcPr>
          <w:p w14:paraId="46B56B15" w14:textId="77777777"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SCHEMA REFERENCE</w:t>
            </w:r>
          </w:p>
        </w:tc>
      </w:tr>
      <w:tr w:rsidR="00B71629" w:rsidRPr="00B71629" w14:paraId="7E0C856C" w14:textId="77777777" w:rsidTr="00B71629">
        <w:trPr>
          <w:trHeight w:val="300"/>
        </w:trPr>
        <w:tc>
          <w:tcPr>
            <w:tcW w:w="12117" w:type="dxa"/>
            <w:tcBorders>
              <w:top w:val="nil"/>
              <w:left w:val="nil"/>
              <w:bottom w:val="nil"/>
              <w:right w:val="nil"/>
            </w:tcBorders>
            <w:noWrap/>
            <w:hideMark/>
          </w:tcPr>
          <w:p w14:paraId="1A9FC31A" w14:textId="77777777" w:rsidR="00B71629" w:rsidRPr="00B71629" w:rsidRDefault="00B71629" w:rsidP="00B71629">
            <w:pPr>
              <w:spacing w:after="0"/>
              <w:rPr>
                <w:rFonts w:ascii="Arial" w:eastAsia="Times New Roman" w:hAnsi="Arial" w:cs="Arial"/>
                <w:sz w:val="18"/>
                <w:szCs w:val="18"/>
              </w:rPr>
            </w:pPr>
            <w:r>
              <w:rPr>
                <w:rFonts w:ascii="Arial" w:eastAsia="Times New Roman" w:hAnsi="Arial" w:cs="Arial"/>
                <w:sz w:val="18"/>
                <w:szCs w:val="18"/>
              </w:rPr>
              <w:t xml:space="preserve">See the </w:t>
            </w:r>
            <w:r>
              <w:rPr>
                <w:rFonts w:ascii="Arial" w:eastAsia="Times New Roman" w:hAnsi="Arial" w:cs="Arial"/>
                <w:b/>
                <w:bCs/>
                <w:sz w:val="18"/>
                <w:szCs w:val="18"/>
              </w:rPr>
              <w:t>Schema Reference</w:t>
            </w:r>
            <w:r>
              <w:rPr>
                <w:rFonts w:ascii="Arial" w:eastAsia="Times New Roman" w:hAnsi="Arial" w:cs="Arial"/>
                <w:sz w:val="18"/>
                <w:szCs w:val="18"/>
              </w:rPr>
              <w:t xml:space="preserve"> tab (last tab) for the exact column layout of every tab -- </w:t>
            </w:r>
            <w:r>
              <w:rPr>
                <w:rFonts w:ascii="Arial" w:eastAsia="Times New Roman" w:hAnsi="Arial" w:cs="Arial"/>
                <w:sz w:val="18"/>
                <w:szCs w:val="18"/>
                <w:u w:val="single"/>
              </w:rPr>
              <w:t>built for handoff to Claude Code</w:t>
            </w:r>
            <w:r>
              <w:rPr>
                <w:rFonts w:ascii="Arial" w:eastAsia="Times New Roman" w:hAnsi="Arial" w:cs="Arial"/>
                <w:sz w:val="18"/>
                <w:szCs w:val="18"/>
              </w:rPr>
              <w:t xml:space="preserve"> or any future programmatic access.</w:t>
            </w:r>
          </w:p>
        </w:tc>
      </w:tr>
    </w:tbl>
    <w:p w14:paraId="41677D4A" w14:textId="77777777" w:rsidR="001E38B7" w:rsidRDefault="001E38B7"/>
    <w:p w14:paraId="05F09547" w14:textId="77777777" w:rsidR="001E38B7" w:rsidRDefault="001E38B7">
      <w:r>
        <w:br w:type="page"/>
      </w:r>
    </w:p>
    <w:p w14:paraId="799B7F29" w14:textId="77777777" w:rsidR="00A63D17" w:rsidRDefault="00000000" w:rsidP="00E317C2">
      <w:pPr>
        <w:pStyle w:val="Heading1"/>
        <w:spacing w:before="0" w:after="0"/>
      </w:pPr>
      <w:bookmarkStart w:id="65" w:name="_Toc236827010"/>
      <w:r>
        <w:lastRenderedPageBreak/>
        <w:t>GLOSSARY</w:t>
      </w:r>
      <w:bookmarkEnd w:id="65"/>
    </w:p>
    <w:p w14:paraId="5D6A34D7" w14:textId="77777777" w:rsidR="00A63D17" w:rsidRPr="00CD3A3A" w:rsidRDefault="00000000" w:rsidP="00CD3A3A">
      <w:pPr>
        <w:pStyle w:val="Heading2"/>
        <w:spacing w:before="0"/>
        <w:rPr>
          <w:sz w:val="24"/>
          <w:szCs w:val="24"/>
        </w:rPr>
      </w:pPr>
      <w:bookmarkStart w:id="66" w:name="_Toc236827011"/>
      <w:r>
        <w:rPr>
          <w:sz w:val="24"/>
          <w:szCs w:val="24"/>
        </w:rPr>
        <w:t>Common Investment Abbreviations</w:t>
      </w:r>
      <w:bookmarkEnd w:id="66"/>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855"/>
      </w:tblGrid>
      <w:tr w:rsidR="00A63D17" w14:paraId="7A92A7F9"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4E79F9FD" w14:textId="77777777" w:rsidR="00A63D17" w:rsidRPr="00E317C2" w:rsidRDefault="00000000" w:rsidP="006F5F08">
            <w:pPr>
              <w:jc w:val="center"/>
            </w:pPr>
            <w:r>
              <w:rPr>
                <w:b/>
                <w:bCs/>
                <w:color w:val="FFFFFF"/>
              </w:rPr>
              <w:t>Term</w:t>
            </w:r>
          </w:p>
        </w:tc>
        <w:tc>
          <w:tcPr>
            <w:tcW w:w="8855"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38784F9A" w14:textId="77777777" w:rsidR="00A63D17" w:rsidRPr="00E317C2" w:rsidRDefault="00000000" w:rsidP="00E317C2">
            <w:pPr>
              <w:ind w:left="117"/>
              <w:jc w:val="center"/>
            </w:pPr>
            <w:r>
              <w:rPr>
                <w:b/>
                <w:bCs/>
                <w:color w:val="FFFFFF"/>
              </w:rPr>
              <w:t>Definition</w:t>
            </w:r>
          </w:p>
        </w:tc>
      </w:tr>
      <w:tr w:rsidR="00A63D17" w14:paraId="76F07AF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7430446" w14:textId="77777777" w:rsidR="00A63D17" w:rsidRPr="00E317C2" w:rsidRDefault="00000000" w:rsidP="00E317C2">
            <w:pPr>
              <w:spacing w:after="0"/>
              <w:jc w:val="center"/>
            </w:pPr>
            <w:r>
              <w:rPr>
                <w:b/>
                <w:bCs/>
              </w:rPr>
              <w:t>A/D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07E532" w14:textId="77777777" w:rsidR="00A63D17" w:rsidRPr="00E317C2" w:rsidRDefault="00E317C2" w:rsidP="00E317C2">
            <w:pPr>
              <w:spacing w:after="0"/>
              <w:ind w:left="117"/>
            </w:pPr>
            <w:r>
              <w:rPr>
                <w:b/>
                <w:bCs/>
                <w:color w:val="000000"/>
              </w:rPr>
              <w:t>Accumulation/Distribution</w:t>
            </w:r>
            <w:r>
              <w:rPr>
                <w:color w:val="000000"/>
              </w:rPr>
              <w:t xml:space="preserve"> — a technical indicator using price and volume to show whether a stock is being accumulated or distributed by investors. Rising A/D suggests buying pressure.</w:t>
            </w:r>
          </w:p>
        </w:tc>
      </w:tr>
      <w:tr w:rsidR="00A63D17" w14:paraId="22FFFA9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2AB3539" w14:textId="77777777" w:rsidR="00A63D17" w:rsidRPr="00E317C2" w:rsidRDefault="00000000" w:rsidP="00E317C2">
            <w:pPr>
              <w:spacing w:after="0"/>
              <w:jc w:val="center"/>
            </w:pPr>
            <w:r>
              <w:rPr>
                <w:b/>
                <w:bCs/>
              </w:rPr>
              <w:t>ARR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25822D" w14:textId="77777777" w:rsidR="00A63D17" w:rsidRPr="00E317C2" w:rsidRDefault="00E317C2" w:rsidP="00E317C2">
            <w:pPr>
              <w:spacing w:after="0"/>
              <w:ind w:left="117"/>
            </w:pPr>
            <w:r>
              <w:rPr>
                <w:b/>
                <w:bCs/>
                <w:color w:val="000000"/>
              </w:rPr>
              <w:t>Annual Recurring Revenue</w:t>
            </w:r>
            <w:r>
              <w:rPr>
                <w:color w:val="000000"/>
              </w:rPr>
              <w:t xml:space="preserve"> — the predictable yearly revenue a subscription business expects from its current customers.</w:t>
            </w:r>
          </w:p>
        </w:tc>
      </w:tr>
      <w:tr w:rsidR="00A63D17" w14:paraId="20C94660"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13CBE54" w14:textId="77777777" w:rsidR="00A63D17" w:rsidRPr="00E317C2" w:rsidRDefault="00000000" w:rsidP="00E317C2">
            <w:pPr>
              <w:spacing w:after="0"/>
              <w:jc w:val="center"/>
            </w:pPr>
            <w:r>
              <w:rPr>
                <w:b/>
                <w:bCs/>
              </w:rPr>
              <w:t>CAGR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5E900F" w14:textId="77777777" w:rsidR="00A63D17" w:rsidRPr="00E317C2" w:rsidRDefault="00E317C2" w:rsidP="00E317C2">
            <w:pPr>
              <w:spacing w:after="0"/>
              <w:ind w:left="117"/>
            </w:pPr>
            <w:r>
              <w:rPr>
                <w:b/>
                <w:bCs/>
                <w:color w:val="000000"/>
              </w:rPr>
              <w:t>Compound Annual Growth Rate</w:t>
            </w:r>
            <w:r>
              <w:rPr>
                <w:color w:val="000000"/>
              </w:rPr>
              <w:t xml:space="preserve"> — the average yearly growth rate of an investment or company's sales/earnings over a period, as if it grew steadily each year.</w:t>
            </w:r>
          </w:p>
        </w:tc>
      </w:tr>
      <w:tr w:rsidR="00A63D17" w14:paraId="13721B8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49D89D2" w14:textId="77777777" w:rsidR="00A63D17" w:rsidRPr="00E317C2" w:rsidRDefault="00000000" w:rsidP="00E317C2">
            <w:pPr>
              <w:spacing w:after="0"/>
              <w:jc w:val="center"/>
            </w:pPr>
            <w:r>
              <w:rPr>
                <w:b/>
                <w:bCs/>
              </w:rPr>
              <w:t>CapEx</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ABD18EE" w14:textId="77777777" w:rsidR="00A63D17" w:rsidRPr="00E317C2" w:rsidRDefault="00E317C2" w:rsidP="00E317C2">
            <w:pPr>
              <w:spacing w:after="0"/>
              <w:ind w:left="117"/>
            </w:pPr>
            <w:r>
              <w:rPr>
                <w:b/>
                <w:bCs/>
                <w:color w:val="000000"/>
              </w:rPr>
              <w:t>Capital Expenditures</w:t>
            </w:r>
            <w:r>
              <w:rPr>
                <w:color w:val="000000"/>
              </w:rPr>
              <w:t xml:space="preserve"> — money a company spends on buying, improving, or maintaining long-term assets.</w:t>
            </w:r>
          </w:p>
        </w:tc>
      </w:tr>
      <w:tr w:rsidR="00A63D17" w14:paraId="24B6A87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B98002A" w14:textId="77777777" w:rsidR="00A63D17" w:rsidRPr="00E317C2" w:rsidRDefault="00000000" w:rsidP="00E317C2">
            <w:pPr>
              <w:spacing w:after="0"/>
              <w:jc w:val="center"/>
            </w:pPr>
            <w:r>
              <w:rPr>
                <w:b/>
                <w:bCs/>
              </w:rPr>
              <w:t>CPI</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14AFC1D" w14:textId="77777777" w:rsidR="00A63D17" w:rsidRPr="00E317C2" w:rsidRDefault="00E317C2" w:rsidP="00E317C2">
            <w:pPr>
              <w:spacing w:after="0"/>
              <w:ind w:left="117"/>
            </w:pPr>
            <w:r>
              <w:rPr>
                <w:b/>
                <w:bCs/>
                <w:color w:val="000000"/>
              </w:rPr>
              <w:t>Consumer Price Index</w:t>
            </w:r>
            <w:r>
              <w:rPr>
                <w:color w:val="000000"/>
              </w:rPr>
              <w:t xml:space="preserve"> — a government measure of the average change in prices paid by consumers; the most common inflation gauge.</w:t>
            </w:r>
          </w:p>
        </w:tc>
      </w:tr>
      <w:tr w:rsidR="00A63D17" w14:paraId="788E784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E6AE050" w14:textId="77777777" w:rsidR="00A63D17" w:rsidRPr="00E317C2" w:rsidRDefault="00000000" w:rsidP="00E317C2">
            <w:pPr>
              <w:spacing w:after="0"/>
              <w:jc w:val="center"/>
            </w:pPr>
            <w:r>
              <w:rPr>
                <w:b/>
                <w:bCs/>
              </w:rPr>
              <w:t>DCF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52C1E2D" w14:textId="77777777" w:rsidR="00A63D17" w:rsidRPr="00E317C2" w:rsidRDefault="00E317C2" w:rsidP="00E317C2">
            <w:pPr>
              <w:spacing w:after="0"/>
              <w:ind w:left="117"/>
            </w:pPr>
            <w:r>
              <w:rPr>
                <w:b/>
                <w:bCs/>
                <w:color w:val="000000"/>
              </w:rPr>
              <w:t>Discounted Cash Flow</w:t>
            </w:r>
            <w:r>
              <w:rPr>
                <w:color w:val="000000"/>
              </w:rPr>
              <w:t xml:space="preserve"> — a method to estimate a company's present worth by forecasting future free cash flows and discounting them to present value using a required rate of return, often WACC.</w:t>
            </w:r>
          </w:p>
        </w:tc>
      </w:tr>
      <w:tr w:rsidR="00A63D17" w14:paraId="4091526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CA8B354" w14:textId="77777777" w:rsidR="00A63D17" w:rsidRPr="00E317C2" w:rsidRDefault="00000000" w:rsidP="00E317C2">
            <w:pPr>
              <w:spacing w:after="0"/>
              <w:jc w:val="center"/>
            </w:pPr>
            <w:r>
              <w:rPr>
                <w:b/>
                <w:bCs/>
              </w:rPr>
              <w:t>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EF46346" w14:textId="77777777" w:rsidR="00A63D17" w:rsidRPr="00E317C2" w:rsidRDefault="00E317C2" w:rsidP="00E317C2">
            <w:pPr>
              <w:spacing w:after="0"/>
              <w:ind w:left="117"/>
            </w:pPr>
            <w:r>
              <w:rPr>
                <w:b/>
                <w:bCs/>
                <w:color w:val="000000"/>
              </w:rPr>
              <w:t>Earnings Before Interest, Taxes, Depreciation, and Amortization</w:t>
            </w:r>
            <w:r>
              <w:rPr>
                <w:color w:val="000000"/>
              </w:rPr>
              <w:t xml:space="preserve"> — a measure of operating profit before financing, tax, and non-cash effects.</w:t>
            </w:r>
          </w:p>
        </w:tc>
      </w:tr>
      <w:tr w:rsidR="00A63D17" w14:paraId="126DE61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1297A1" w14:textId="77777777" w:rsidR="00A63D17" w:rsidRPr="00E317C2" w:rsidRDefault="00000000" w:rsidP="00E317C2">
            <w:pPr>
              <w:spacing w:after="0"/>
              <w:jc w:val="center"/>
            </w:pPr>
            <w:r>
              <w:rPr>
                <w:b/>
                <w:bCs/>
              </w:rPr>
              <w:t>EPS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E4FB209" w14:textId="77777777" w:rsidR="00A63D17" w:rsidRPr="00E317C2" w:rsidRDefault="00E317C2" w:rsidP="00E317C2">
            <w:pPr>
              <w:spacing w:after="0"/>
              <w:ind w:left="117"/>
            </w:pPr>
            <w:r>
              <w:rPr>
                <w:b/>
                <w:bCs/>
                <w:color w:val="000000"/>
              </w:rPr>
              <w:t>Earnings Per Share</w:t>
            </w:r>
            <w:r>
              <w:rPr>
                <w:color w:val="000000"/>
              </w:rPr>
              <w:t xml:space="preserve"> — a company's total profit divided by shares outstanding.</w:t>
            </w:r>
          </w:p>
        </w:tc>
      </w:tr>
      <w:tr w:rsidR="00A63D17" w14:paraId="20EA057B"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D213D54" w14:textId="77777777" w:rsidR="00A63D17" w:rsidRPr="00E317C2" w:rsidRDefault="00000000" w:rsidP="00E317C2">
            <w:pPr>
              <w:spacing w:after="0"/>
              <w:jc w:val="center"/>
            </w:pPr>
            <w:r>
              <w:rPr>
                <w:b/>
                <w:bCs/>
              </w:rPr>
              <w:t>EV</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F3A76BD" w14:textId="77777777" w:rsidR="00A63D17" w:rsidRPr="00E317C2" w:rsidRDefault="00E317C2" w:rsidP="00E317C2">
            <w:pPr>
              <w:spacing w:after="0"/>
              <w:ind w:left="117"/>
            </w:pPr>
            <w:r>
              <w:rPr>
                <w:b/>
                <w:bCs/>
                <w:color w:val="000000"/>
              </w:rPr>
              <w:t>Enterprise Value</w:t>
            </w:r>
            <w:r>
              <w:rPr>
                <w:color w:val="000000"/>
              </w:rPr>
              <w:t xml:space="preserve"> — the total value of a company: market value of equity plus net debt.</w:t>
            </w:r>
          </w:p>
        </w:tc>
      </w:tr>
      <w:tr w:rsidR="00A63D17" w14:paraId="1D7A728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CE10AD6" w14:textId="77777777" w:rsidR="00A63D17" w:rsidRPr="00E317C2" w:rsidRDefault="00000000" w:rsidP="00E317C2">
            <w:pPr>
              <w:spacing w:after="0"/>
              <w:jc w:val="center"/>
            </w:pPr>
            <w:r>
              <w:rPr>
                <w:b/>
                <w:bCs/>
              </w:rPr>
              <w:t>EV/EBITDA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06994B2" w14:textId="77777777" w:rsidR="00A63D17" w:rsidRPr="00E317C2" w:rsidRDefault="00E317C2" w:rsidP="00E317C2">
            <w:pPr>
              <w:spacing w:after="0"/>
              <w:ind w:left="117"/>
            </w:pPr>
            <w:r>
              <w:rPr>
                <w:b/>
                <w:bCs/>
                <w:color w:val="000000"/>
              </w:rPr>
              <w:t>Enterprise Value divided by EBITDA</w:t>
            </w:r>
            <w:r>
              <w:rPr>
                <w:color w:val="000000"/>
              </w:rPr>
              <w:t xml:space="preserve"> — shows how expensive the whole company is relative to operating earnings; lower is generally cheaper.</w:t>
            </w:r>
          </w:p>
        </w:tc>
      </w:tr>
      <w:tr w:rsidR="00A63D17" w14:paraId="378E2E4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88038C" w14:textId="77777777" w:rsidR="00A63D17" w:rsidRPr="00E317C2" w:rsidRDefault="00000000" w:rsidP="00E317C2">
            <w:pPr>
              <w:spacing w:after="0"/>
              <w:jc w:val="center"/>
            </w:pPr>
            <w:r>
              <w:rPr>
                <w:b/>
                <w:bCs/>
              </w:rPr>
              <w:t>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5FD0AA4" w14:textId="77777777" w:rsidR="00A63D17" w:rsidRPr="00E317C2" w:rsidRDefault="00E317C2" w:rsidP="00E317C2">
            <w:pPr>
              <w:spacing w:after="0"/>
              <w:ind w:left="117"/>
            </w:pPr>
            <w:r>
              <w:rPr>
                <w:b/>
                <w:bCs/>
                <w:color w:val="000000"/>
              </w:rPr>
              <w:t>Free Cash Flow</w:t>
            </w:r>
            <w:r>
              <w:rPr>
                <w:color w:val="000000"/>
              </w:rPr>
              <w:t xml:space="preserve"> — cash remaining after operating costs and capital investment; see Part 10 for the exact operating definition used in this system.</w:t>
            </w:r>
          </w:p>
        </w:tc>
      </w:tr>
      <w:tr w:rsidR="00A63D17" w14:paraId="7001343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4929842" w14:textId="77777777" w:rsidR="00A63D17" w:rsidRPr="00E317C2" w:rsidRDefault="00000000" w:rsidP="00E317C2">
            <w:pPr>
              <w:spacing w:after="0"/>
              <w:jc w:val="center"/>
            </w:pPr>
            <w:r>
              <w:rPr>
                <w:b/>
                <w:bCs/>
              </w:rPr>
              <w:t>FCF Margin</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6E811D6" w14:textId="77777777" w:rsidR="00A63D17" w:rsidRPr="00E317C2" w:rsidRDefault="00E317C2" w:rsidP="00E317C2">
            <w:pPr>
              <w:spacing w:after="0"/>
              <w:ind w:left="117"/>
            </w:pPr>
            <w:r>
              <w:rPr>
                <w:b/>
                <w:bCs/>
                <w:color w:val="000000"/>
              </w:rPr>
              <w:t>Free cash flow</w:t>
            </w:r>
            <w:r>
              <w:rPr>
                <w:color w:val="000000"/>
              </w:rPr>
              <w:t xml:space="preserve"> divided by total sales, as a percentage.</w:t>
            </w:r>
          </w:p>
        </w:tc>
      </w:tr>
      <w:tr w:rsidR="00A63D17" w14:paraId="6138994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93D8E14" w14:textId="77777777" w:rsidR="00A63D17" w:rsidRPr="00E317C2" w:rsidRDefault="00000000" w:rsidP="00E317C2">
            <w:pPr>
              <w:spacing w:after="0"/>
              <w:jc w:val="center"/>
            </w:pPr>
            <w:r>
              <w:rPr>
                <w:b/>
                <w:bCs/>
              </w:rPr>
              <w:t>FCF Yield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9807C97" w14:textId="77777777" w:rsidR="00A63D17" w:rsidRPr="00E317C2" w:rsidRDefault="00E317C2" w:rsidP="00E317C2">
            <w:pPr>
              <w:spacing w:after="0"/>
              <w:ind w:left="117"/>
            </w:pPr>
            <w:r>
              <w:rPr>
                <w:b/>
                <w:bCs/>
                <w:color w:val="000000"/>
              </w:rPr>
              <w:t>Free cash flow</w:t>
            </w:r>
            <w:r>
              <w:rPr>
                <w:color w:val="000000"/>
              </w:rPr>
              <w:t xml:space="preserve"> divided by stock price or total market value.</w:t>
            </w:r>
          </w:p>
        </w:tc>
      </w:tr>
      <w:tr w:rsidR="00A63D17" w14:paraId="74269F5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35D0C43" w14:textId="77777777" w:rsidR="00A63D17" w:rsidRPr="00E317C2" w:rsidRDefault="00000000" w:rsidP="00E317C2">
            <w:pPr>
              <w:spacing w:after="0"/>
              <w:jc w:val="center"/>
            </w:pPr>
            <w:r>
              <w:rPr>
                <w:b/>
                <w:bCs/>
              </w:rPr>
              <w:t>MA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3AC4D84" w14:textId="77777777" w:rsidR="00A63D17" w:rsidRPr="00E317C2" w:rsidRDefault="00E317C2" w:rsidP="00E317C2">
            <w:pPr>
              <w:spacing w:after="0"/>
              <w:ind w:left="117"/>
            </w:pPr>
            <w:r>
              <w:rPr>
                <w:b/>
                <w:bCs/>
                <w:color w:val="000000"/>
              </w:rPr>
              <w:t>Moving Average</w:t>
            </w:r>
            <w:r>
              <w:rPr>
                <w:color w:val="000000"/>
              </w:rPr>
              <w:t xml:space="preserve"> — the average price of a stock over a set number of past days, used to smooth short-term price swings.</w:t>
            </w:r>
          </w:p>
        </w:tc>
      </w:tr>
      <w:tr w:rsidR="00A63D17" w14:paraId="265FD5C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8BC8788" w14:textId="77777777" w:rsidR="00A63D17" w:rsidRPr="00E317C2" w:rsidRDefault="00000000" w:rsidP="00E317C2">
            <w:pPr>
              <w:spacing w:after="0"/>
              <w:jc w:val="center"/>
            </w:pPr>
            <w:r>
              <w:rPr>
                <w:b/>
                <w:bCs/>
              </w:rPr>
              <w:t>MACD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3A830AB" w14:textId="77777777" w:rsidR="00A63D17" w:rsidRPr="00E317C2" w:rsidRDefault="00E317C2" w:rsidP="00E317C2">
            <w:pPr>
              <w:spacing w:after="0"/>
              <w:ind w:left="117"/>
            </w:pPr>
            <w:r>
              <w:rPr>
                <w:b/>
                <w:bCs/>
                <w:color w:val="000000"/>
              </w:rPr>
              <w:t>Moving Average Convergence Divergence</w:t>
            </w:r>
            <w:r>
              <w:rPr>
                <w:color w:val="000000"/>
              </w:rPr>
              <w:t xml:space="preserve"> — a technical indicator showing the relationship between two moving averages, used to spot changes in trend strength or direction.</w:t>
            </w:r>
          </w:p>
        </w:tc>
      </w:tr>
      <w:tr w:rsidR="00A63D17" w14:paraId="6B66B6D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59A16D4" w14:textId="77777777" w:rsidR="00A63D17" w:rsidRPr="00E317C2" w:rsidRDefault="00000000" w:rsidP="00E317C2">
            <w:pPr>
              <w:spacing w:after="0"/>
              <w:jc w:val="center"/>
            </w:pPr>
            <w:r>
              <w:rPr>
                <w:b/>
                <w:bCs/>
              </w:rPr>
              <w:t>Market Cap</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36A986F" w14:textId="77777777" w:rsidR="00A63D17" w:rsidRPr="00E317C2" w:rsidRDefault="00E317C2" w:rsidP="00E317C2">
            <w:pPr>
              <w:spacing w:after="0"/>
              <w:ind w:left="117"/>
            </w:pPr>
            <w:r>
              <w:rPr>
                <w:b/>
                <w:bCs/>
                <w:color w:val="000000"/>
              </w:rPr>
              <w:t>Market Capitalization</w:t>
            </w:r>
            <w:r>
              <w:rPr>
                <w:color w:val="000000"/>
              </w:rPr>
              <w:t xml:space="preserve"> — the total market value of a company's outstanding shares.</w:t>
            </w:r>
          </w:p>
        </w:tc>
      </w:tr>
      <w:tr w:rsidR="00A63D17" w14:paraId="1948D7B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E81FC46" w14:textId="77777777" w:rsidR="00A63D17" w:rsidRPr="00E317C2" w:rsidRDefault="00000000" w:rsidP="00E317C2">
            <w:pPr>
              <w:spacing w:after="0"/>
              <w:jc w:val="center"/>
            </w:pPr>
            <w:r>
              <w:rPr>
                <w:b/>
                <w:bCs/>
              </w:rPr>
              <w:t>P/E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BB7E7EA" w14:textId="77777777" w:rsidR="00A63D17" w:rsidRPr="00E317C2" w:rsidRDefault="00E317C2" w:rsidP="00E317C2">
            <w:pPr>
              <w:spacing w:after="0"/>
              <w:ind w:left="117"/>
            </w:pPr>
            <w:r>
              <w:rPr>
                <w:b/>
                <w:bCs/>
                <w:color w:val="000000"/>
              </w:rPr>
              <w:t>Price-to-Earnings ratio</w:t>
            </w:r>
            <w:r>
              <w:rPr>
                <w:color w:val="000000"/>
              </w:rPr>
              <w:t xml:space="preserve"> — stock price divided by earnings per share.</w:t>
            </w:r>
          </w:p>
        </w:tc>
      </w:tr>
      <w:tr w:rsidR="00A63D17" w14:paraId="7BF9C5E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A889446" w14:textId="77777777" w:rsidR="00A63D17" w:rsidRPr="00E317C2" w:rsidRDefault="00000000" w:rsidP="00E317C2">
            <w:pPr>
              <w:spacing w:after="0"/>
              <w:jc w:val="center"/>
            </w:pPr>
            <w:r>
              <w:rPr>
                <w:b/>
                <w:bCs/>
              </w:rPr>
              <w:t>P/FCF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4AD0086" w14:textId="77777777" w:rsidR="00A63D17" w:rsidRPr="00E317C2" w:rsidRDefault="00E317C2" w:rsidP="00E317C2">
            <w:pPr>
              <w:spacing w:after="0"/>
              <w:ind w:left="117"/>
            </w:pPr>
            <w:r>
              <w:rPr>
                <w:b/>
                <w:bCs/>
                <w:color w:val="000000"/>
              </w:rPr>
              <w:t>Price-to-Free-Cash-Flow</w:t>
            </w:r>
            <w:r>
              <w:rPr>
                <w:color w:val="000000"/>
              </w:rPr>
              <w:t xml:space="preserve"> — stock price divided by free cash flow per share.</w:t>
            </w:r>
          </w:p>
        </w:tc>
      </w:tr>
      <w:tr w:rsidR="00A63D17" w14:paraId="5C73FE4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82A3C15" w14:textId="77777777" w:rsidR="00A63D17" w:rsidRPr="00E317C2" w:rsidRDefault="00000000" w:rsidP="00E317C2">
            <w:pPr>
              <w:spacing w:after="0"/>
              <w:jc w:val="center"/>
            </w:pPr>
            <w:r>
              <w:rPr>
                <w:b/>
                <w:bCs/>
              </w:rPr>
              <w:t>PEG</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74FD38F" w14:textId="77777777" w:rsidR="00A63D17" w:rsidRPr="00E317C2" w:rsidRDefault="00E317C2" w:rsidP="00E317C2">
            <w:pPr>
              <w:spacing w:after="0"/>
              <w:ind w:left="117"/>
            </w:pPr>
            <w:r>
              <w:rPr>
                <w:b/>
                <w:bCs/>
                <w:color w:val="000000"/>
              </w:rPr>
              <w:t>Price/Earnings-to-Growth ratio</w:t>
            </w:r>
            <w:r>
              <w:rPr>
                <w:color w:val="000000"/>
              </w:rPr>
              <w:t xml:space="preserve"> — the P/E ratio divided by expected annual earnings growth.</w:t>
            </w:r>
          </w:p>
        </w:tc>
      </w:tr>
      <w:tr w:rsidR="00A63D17" w14:paraId="2A318F85"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8EF9248" w14:textId="77777777" w:rsidR="00A63D17" w:rsidRPr="00E317C2" w:rsidRDefault="00000000" w:rsidP="00E317C2">
            <w:pPr>
              <w:spacing w:after="0"/>
              <w:jc w:val="center"/>
            </w:pPr>
            <w:r>
              <w:rPr>
                <w:b/>
                <w:bCs/>
              </w:rPr>
              <w:t>ROCE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9CBCAD8" w14:textId="77777777" w:rsidR="00A63D17" w:rsidRPr="00E317C2" w:rsidRDefault="00E317C2" w:rsidP="00E317C2">
            <w:pPr>
              <w:spacing w:after="0"/>
              <w:ind w:left="117"/>
            </w:pPr>
            <w:r>
              <w:rPr>
                <w:b/>
                <w:bCs/>
                <w:color w:val="000000"/>
              </w:rPr>
              <w:t>Return on Capital Employed</w:t>
            </w:r>
            <w:r>
              <w:rPr>
                <w:color w:val="000000"/>
              </w:rPr>
              <w:t xml:space="preserve"> — similar to ROIC; measures how efficiently a company uses all capital (equity plus long-term debt).</w:t>
            </w:r>
          </w:p>
        </w:tc>
      </w:tr>
      <w:tr w:rsidR="00A63D17" w14:paraId="71E2D9F1"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5BACFE" w14:textId="77777777" w:rsidR="00A63D17" w:rsidRPr="00E317C2" w:rsidRDefault="00000000" w:rsidP="00E317C2">
            <w:pPr>
              <w:spacing w:after="0"/>
              <w:jc w:val="center"/>
            </w:pPr>
            <w:r>
              <w:rPr>
                <w:b/>
                <w:bCs/>
              </w:rPr>
              <w:t>ROE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A0877A5" w14:textId="77777777" w:rsidR="00A63D17" w:rsidRPr="00E317C2" w:rsidRDefault="00E317C2" w:rsidP="00E317C2">
            <w:pPr>
              <w:spacing w:after="0"/>
              <w:ind w:left="117"/>
            </w:pPr>
            <w:r>
              <w:rPr>
                <w:b/>
                <w:bCs/>
                <w:color w:val="000000"/>
              </w:rPr>
              <w:t>Return on Equity</w:t>
            </w:r>
            <w:r>
              <w:rPr>
                <w:color w:val="000000"/>
              </w:rPr>
              <w:t xml:space="preserve"> — profit earned per dollar of shareholders' equity.</w:t>
            </w:r>
          </w:p>
        </w:tc>
      </w:tr>
      <w:tr w:rsidR="00A63D17" w14:paraId="7B6D139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6CFED0F" w14:textId="77777777" w:rsidR="00A63D17" w:rsidRPr="00E317C2" w:rsidRDefault="00000000" w:rsidP="00E317C2">
            <w:pPr>
              <w:spacing w:after="0"/>
              <w:jc w:val="center"/>
            </w:pPr>
            <w:r>
              <w:rPr>
                <w:b/>
                <w:bCs/>
              </w:rPr>
              <w:t>ROIC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C631B1" w14:textId="77777777" w:rsidR="00A63D17" w:rsidRPr="00E317C2" w:rsidRDefault="00E317C2" w:rsidP="00E317C2">
            <w:pPr>
              <w:spacing w:after="0"/>
              <w:ind w:left="117"/>
            </w:pPr>
            <w:r>
              <w:rPr>
                <w:b/>
                <w:bCs/>
                <w:color w:val="000000"/>
              </w:rPr>
              <w:t>Return on Invested Capital</w:t>
            </w:r>
            <w:r>
              <w:rPr>
                <w:color w:val="000000"/>
              </w:rPr>
              <w:t xml:space="preserve"> — profit earned per dollar of capital invested in the business.</w:t>
            </w:r>
          </w:p>
        </w:tc>
      </w:tr>
      <w:tr w:rsidR="00A63D17" w14:paraId="0A9B480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955BDA" w14:textId="77777777" w:rsidR="00A63D17" w:rsidRPr="00E317C2" w:rsidRDefault="00000000" w:rsidP="00E317C2">
            <w:pPr>
              <w:spacing w:after="0"/>
              <w:jc w:val="center"/>
            </w:pPr>
            <w:r>
              <w:rPr>
                <w:b/>
                <w:bCs/>
              </w:rPr>
              <w:t>RPO</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6F1857F" w14:textId="77777777" w:rsidR="00A63D17" w:rsidRPr="00E317C2" w:rsidRDefault="00E317C2" w:rsidP="00E317C2">
            <w:pPr>
              <w:spacing w:after="0"/>
              <w:ind w:left="117"/>
            </w:pPr>
            <w:r>
              <w:rPr>
                <w:b/>
                <w:bCs/>
                <w:color w:val="000000"/>
              </w:rPr>
              <w:t>Remaining Performance Obligations</w:t>
            </w:r>
            <w:r>
              <w:rPr>
                <w:color w:val="000000"/>
              </w:rPr>
              <w:t xml:space="preserve"> — contracted revenue not yet recognized; common in software and services.</w:t>
            </w:r>
          </w:p>
        </w:tc>
      </w:tr>
      <w:tr w:rsidR="00A63D17" w14:paraId="25DA937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2272E28" w14:textId="77777777" w:rsidR="00A63D17" w:rsidRPr="00E317C2" w:rsidRDefault="00000000" w:rsidP="00E317C2">
            <w:pPr>
              <w:spacing w:after="0"/>
              <w:jc w:val="center"/>
            </w:pPr>
            <w:r>
              <w:rPr>
                <w:b/>
                <w:bCs/>
              </w:rPr>
              <w:t>RS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4226071" w14:textId="77777777" w:rsidR="00A63D17" w:rsidRPr="00E317C2" w:rsidRDefault="00E317C2" w:rsidP="00E317C2">
            <w:pPr>
              <w:spacing w:after="0"/>
              <w:ind w:left="117"/>
            </w:pPr>
            <w:r>
              <w:rPr>
                <w:b/>
                <w:bCs/>
                <w:color w:val="000000"/>
              </w:rPr>
              <w:t>Relative Strength</w:t>
            </w:r>
            <w:r>
              <w:rPr>
                <w:color w:val="000000"/>
              </w:rPr>
              <w:t xml:space="preserve"> — how a stock's price has performed compared with a benchmark or peer group over a set period.</w:t>
            </w:r>
          </w:p>
        </w:tc>
      </w:tr>
      <w:tr w:rsidR="00A63D17" w14:paraId="5A800A7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D58007D" w14:textId="77777777" w:rsidR="00A63D17" w:rsidRPr="00E317C2" w:rsidRDefault="00000000" w:rsidP="00E317C2">
            <w:pPr>
              <w:spacing w:after="0"/>
              <w:jc w:val="center"/>
            </w:pPr>
            <w:r>
              <w:rPr>
                <w:b/>
                <w:bCs/>
              </w:rPr>
              <w:t>SaaS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417A775" w14:textId="77777777" w:rsidR="00A63D17" w:rsidRPr="00E317C2" w:rsidRDefault="00E317C2" w:rsidP="00E317C2">
            <w:pPr>
              <w:spacing w:after="0"/>
              <w:ind w:left="117"/>
            </w:pPr>
            <w:r>
              <w:rPr>
                <w:b/>
                <w:bCs/>
                <w:color w:val="000000"/>
              </w:rPr>
              <w:t>Software as a Service</w:t>
            </w:r>
            <w:r>
              <w:rPr>
                <w:color w:val="000000"/>
              </w:rPr>
              <w:t xml:space="preserve"> — software delivered on a subscription basis rather than purchased outright.</w:t>
            </w:r>
          </w:p>
        </w:tc>
      </w:tr>
      <w:tr w:rsidR="00A63D17" w14:paraId="474E56B0"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1F7F8D" w14:textId="77777777" w:rsidR="00A63D17" w:rsidRPr="00E317C2" w:rsidRDefault="00000000" w:rsidP="00E317C2">
            <w:pPr>
              <w:spacing w:after="0"/>
              <w:jc w:val="center"/>
            </w:pPr>
            <w:r>
              <w:rPr>
                <w:b/>
                <w:bCs/>
              </w:rPr>
              <w:t>TAM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C6D471F" w14:textId="77777777" w:rsidR="00A63D17" w:rsidRPr="00E317C2" w:rsidRDefault="00E317C2" w:rsidP="00E317C2">
            <w:pPr>
              <w:spacing w:after="0"/>
              <w:ind w:left="117"/>
            </w:pPr>
            <w:r>
              <w:rPr>
                <w:b/>
                <w:bCs/>
                <w:color w:val="000000"/>
              </w:rPr>
              <w:t>Total Addressable Market</w:t>
            </w:r>
            <w:r>
              <w:rPr>
                <w:color w:val="000000"/>
              </w:rPr>
              <w:t xml:space="preserve"> — the total yearly revenue opportunity available if a company captured 100% of a specific market.</w:t>
            </w:r>
          </w:p>
        </w:tc>
      </w:tr>
      <w:tr w:rsidR="00A63D17" w14:paraId="5A1BA02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3608364" w14:textId="77777777" w:rsidR="00A63D17" w:rsidRPr="00E317C2" w:rsidRDefault="00000000" w:rsidP="00E317C2">
            <w:pPr>
              <w:spacing w:after="0"/>
              <w:jc w:val="center"/>
            </w:pPr>
            <w:r>
              <w:rPr>
                <w:b/>
                <w:bCs/>
              </w:rPr>
              <w:t>TTM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89D6AEB" w14:textId="77777777" w:rsidR="00A63D17" w:rsidRPr="00E317C2" w:rsidRDefault="00E317C2" w:rsidP="00E317C2">
            <w:pPr>
              <w:spacing w:after="0"/>
              <w:ind w:left="117"/>
            </w:pPr>
            <w:r>
              <w:rPr>
                <w:b/>
                <w:bCs/>
                <w:color w:val="000000"/>
              </w:rPr>
              <w:t>Trailing Twelve Months</w:t>
            </w:r>
            <w:r>
              <w:rPr>
                <w:color w:val="000000"/>
              </w:rPr>
              <w:t xml:space="preserve"> — financial figures measured over the most recent 12-month period.</w:t>
            </w:r>
          </w:p>
        </w:tc>
      </w:tr>
      <w:tr w:rsidR="00A63D17" w14:paraId="3BCD7EB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0DC99EA" w14:textId="77777777" w:rsidR="00A63D17" w:rsidRPr="00E317C2" w:rsidRDefault="00000000" w:rsidP="00E317C2">
            <w:pPr>
              <w:spacing w:after="0"/>
              <w:jc w:val="center"/>
            </w:pPr>
            <w:r>
              <w:rPr>
                <w:b/>
                <w:bCs/>
              </w:rPr>
              <w:t>WACC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A098F5B" w14:textId="77777777" w:rsidR="00A63D17" w:rsidRPr="00E317C2" w:rsidRDefault="00E317C2" w:rsidP="00E317C2">
            <w:pPr>
              <w:spacing w:after="0"/>
              <w:ind w:left="117"/>
            </w:pPr>
            <w:r>
              <w:rPr>
                <w:b/>
                <w:bCs/>
                <w:color w:val="000000"/>
              </w:rPr>
              <w:t>Weighted Average Cost of Capital</w:t>
            </w:r>
            <w:r>
              <w:rPr>
                <w:color w:val="000000"/>
              </w:rPr>
              <w:t xml:space="preserve"> — the blended rate a company must pay to finance its assets, combining cost of debt and cost of equity.</w:t>
            </w:r>
          </w:p>
        </w:tc>
      </w:tr>
      <w:tr w:rsidR="00A63D17" w14:paraId="1034233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583C29E" w14:textId="77777777" w:rsidR="00A63D17" w:rsidRPr="00E317C2" w:rsidRDefault="00000000" w:rsidP="00E317C2">
            <w:pPr>
              <w:spacing w:after="0"/>
              <w:jc w:val="center"/>
            </w:pPr>
            <w:r>
              <w:rPr>
                <w:b/>
                <w:bCs/>
              </w:rPr>
              <w:t>YoY</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ACE1CD0" w14:textId="77777777" w:rsidR="00A63D17" w:rsidRPr="00E317C2" w:rsidRDefault="00E317C2" w:rsidP="00E317C2">
            <w:pPr>
              <w:spacing w:after="0"/>
              <w:ind w:left="117"/>
            </w:pPr>
            <w:r>
              <w:rPr>
                <w:b/>
                <w:bCs/>
                <w:color w:val="000000"/>
              </w:rPr>
              <w:t>Year-over-Year</w:t>
            </w:r>
            <w:r>
              <w:rPr>
                <w:color w:val="000000"/>
              </w:rPr>
              <w:t xml:space="preserve"> — comparing a figure with the same period in the prior year.</w:t>
            </w:r>
          </w:p>
        </w:tc>
      </w:tr>
    </w:tbl>
    <w:p w14:paraId="3B38C688" w14:textId="77777777" w:rsidR="006F5F08" w:rsidRDefault="006F5F08">
      <w:pPr>
        <w:rPr>
          <w:b/>
          <w:bCs/>
          <w:color w:val="1F3864"/>
          <w:sz w:val="22"/>
          <w:szCs w:val="22"/>
        </w:rPr>
      </w:pPr>
      <w:r>
        <w:br w:type="page"/>
      </w:r>
    </w:p>
    <w:p w14:paraId="0C25346A" w14:textId="77777777" w:rsidR="002219D7" w:rsidRDefault="002219D7" w:rsidP="00CD3A3A">
      <w:pPr>
        <w:pStyle w:val="Heading2"/>
        <w:spacing w:before="0"/>
        <w:rPr>
          <w:sz w:val="24"/>
          <w:szCs w:val="24"/>
        </w:rPr>
      </w:pPr>
    </w:p>
    <w:p w14:paraId="0A58744B" w14:textId="77777777" w:rsidR="00A63D17" w:rsidRPr="00CD3A3A" w:rsidRDefault="00000000" w:rsidP="00CD3A3A">
      <w:pPr>
        <w:pStyle w:val="Heading2"/>
        <w:spacing w:before="0"/>
        <w:rPr>
          <w:sz w:val="24"/>
          <w:szCs w:val="24"/>
        </w:rPr>
      </w:pPr>
      <w:bookmarkStart w:id="67" w:name="_Toc236827012"/>
      <w:r>
        <w:rPr>
          <w:sz w:val="24"/>
          <w:szCs w:val="24"/>
        </w:rPr>
        <w:t>Common Investment Terms</w:t>
      </w:r>
      <w:bookmarkEnd w:id="67"/>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5"/>
        <w:gridCol w:w="8370"/>
      </w:tblGrid>
      <w:tr w:rsidR="00A63D17" w:rsidRPr="00E317C2" w14:paraId="0940AE31"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7E72140B" w14:textId="77777777" w:rsidR="00A63D17" w:rsidRPr="00E317C2" w:rsidRDefault="00000000" w:rsidP="00E317C2">
            <w:pPr>
              <w:spacing w:after="0"/>
              <w:jc w:val="center"/>
              <w:rPr>
                <w:sz w:val="22"/>
                <w:szCs w:val="22"/>
              </w:rPr>
            </w:pPr>
            <w:r>
              <w:rPr>
                <w:b/>
                <w:bCs/>
                <w:color w:val="FFFFFF"/>
                <w:sz w:val="22"/>
                <w:szCs w:val="22"/>
              </w:rPr>
              <w:t>Term</w:t>
            </w:r>
          </w:p>
        </w:tc>
        <w:tc>
          <w:tcPr>
            <w:tcW w:w="8675" w:type="dxa"/>
            <w:gridSpan w:val="2"/>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7977F00A" w14:textId="77777777" w:rsidR="00A63D17" w:rsidRPr="00E317C2" w:rsidRDefault="00000000" w:rsidP="00E317C2">
            <w:pPr>
              <w:spacing w:after="0"/>
              <w:jc w:val="center"/>
              <w:rPr>
                <w:sz w:val="22"/>
                <w:szCs w:val="22"/>
              </w:rPr>
            </w:pPr>
            <w:r>
              <w:rPr>
                <w:b/>
                <w:bCs/>
                <w:color w:val="FFFFFF"/>
                <w:sz w:val="22"/>
                <w:szCs w:val="22"/>
              </w:rPr>
              <w:t>Definition</w:t>
            </w:r>
          </w:p>
        </w:tc>
      </w:tr>
      <w:tr w:rsidR="00A63D17" w14:paraId="28E96036"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673956" w14:textId="77777777" w:rsidR="00A63D17" w:rsidRPr="00E317C2" w:rsidRDefault="00000000" w:rsidP="00E317C2">
            <w:pPr>
              <w:spacing w:after="0"/>
              <w:jc w:val="center"/>
              <w:rPr>
                <w:sz w:val="21"/>
                <w:szCs w:val="21"/>
              </w:rPr>
            </w:pPr>
            <w:r>
              <w:rPr>
                <w:b/>
                <w:bCs/>
                <w:sz w:val="21"/>
                <w:szCs w:val="21"/>
              </w:rPr>
              <w:t>Backlog</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00F602C" w14:textId="77777777" w:rsidR="00A63D17" w:rsidRPr="00E317C2" w:rsidRDefault="00E317C2" w:rsidP="00E317C2">
            <w:pPr>
              <w:spacing w:after="0"/>
              <w:ind w:left="117"/>
              <w:rPr>
                <w:sz w:val="21"/>
                <w:szCs w:val="21"/>
              </w:rPr>
            </w:pPr>
            <w:r>
              <w:rPr>
                <w:b/>
                <w:bCs/>
                <w:color w:val="000000"/>
                <w:sz w:val="21"/>
                <w:szCs w:val="21"/>
              </w:rPr>
              <w:t>Orders or contracts</w:t>
            </w:r>
            <w:r>
              <w:rPr>
                <w:color w:val="000000"/>
                <w:sz w:val="21"/>
                <w:szCs w:val="21"/>
              </w:rPr>
              <w:t xml:space="preserve"> a company has received but not yet completed or delivered — future sales already secured.</w:t>
            </w:r>
          </w:p>
        </w:tc>
      </w:tr>
      <w:tr w:rsidR="00A63D17" w14:paraId="38CDD3A7"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C1CC47F" w14:textId="77777777" w:rsidR="00A63D17" w:rsidRPr="00E317C2" w:rsidRDefault="00000000" w:rsidP="00E317C2">
            <w:pPr>
              <w:spacing w:after="0"/>
              <w:jc w:val="center"/>
              <w:rPr>
                <w:sz w:val="21"/>
                <w:szCs w:val="21"/>
              </w:rPr>
            </w:pPr>
            <w:r>
              <w:rPr>
                <w:b/>
                <w:bCs/>
                <w:sz w:val="21"/>
                <w:szCs w:val="21"/>
              </w:rPr>
              <w:t>Bear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6AAFD8D" w14:textId="77777777" w:rsidR="00A63D17" w:rsidRPr="00E317C2" w:rsidRDefault="00E317C2" w:rsidP="00E317C2">
            <w:pPr>
              <w:spacing w:after="0"/>
              <w:ind w:left="117"/>
              <w:rPr>
                <w:sz w:val="21"/>
                <w:szCs w:val="21"/>
              </w:rPr>
            </w:pPr>
            <w:r>
              <w:rPr>
                <w:b/>
                <w:bCs/>
                <w:color w:val="000000"/>
                <w:sz w:val="21"/>
                <w:szCs w:val="21"/>
              </w:rPr>
              <w:t>Bear Market</w:t>
            </w:r>
            <w:r>
              <w:rPr>
                <w:color w:val="000000"/>
                <w:sz w:val="21"/>
                <w:szCs w:val="21"/>
              </w:rPr>
              <w:t xml:space="preserve"> — a period when stock prices fall significantly (often 20% or more from recent highs) and sentiment is negative.</w:t>
            </w:r>
          </w:p>
        </w:tc>
      </w:tr>
      <w:tr w:rsidR="00A63D17" w14:paraId="33469382"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B3D87CE" w14:textId="77777777" w:rsidR="00A63D17" w:rsidRPr="00E317C2" w:rsidRDefault="00000000" w:rsidP="00E317C2">
            <w:pPr>
              <w:spacing w:after="0"/>
              <w:jc w:val="center"/>
              <w:rPr>
                <w:sz w:val="21"/>
                <w:szCs w:val="21"/>
              </w:rPr>
            </w:pPr>
            <w:r>
              <w:rPr>
                <w:b/>
                <w:bCs/>
                <w:sz w:val="21"/>
                <w:szCs w:val="21"/>
              </w:rPr>
              <w:t>Beta</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8FD762" w14:textId="77777777" w:rsidR="00A63D17" w:rsidRPr="00E317C2" w:rsidRDefault="00E317C2" w:rsidP="00E317C2">
            <w:pPr>
              <w:spacing w:after="0"/>
              <w:ind w:left="117"/>
              <w:rPr>
                <w:sz w:val="21"/>
                <w:szCs w:val="21"/>
              </w:rPr>
            </w:pPr>
            <w:r>
              <w:rPr>
                <w:b/>
                <w:bCs/>
                <w:color w:val="000000"/>
                <w:sz w:val="21"/>
                <w:szCs w:val="21"/>
              </w:rPr>
              <w:t>Beta</w:t>
            </w:r>
            <w:r>
              <w:rPr>
                <w:color w:val="000000"/>
                <w:sz w:val="21"/>
                <w:szCs w:val="21"/>
              </w:rPr>
              <w:t xml:space="preserve"> — a statistical estimate of how a security's returns have moved relative to a benchmark, over a specified period and frequency. Beta can change over time and does not by itself measure business risk.</w:t>
            </w:r>
          </w:p>
        </w:tc>
      </w:tr>
      <w:tr w:rsidR="00A63D17" w14:paraId="72CAEBFB"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595B1F4" w14:textId="77777777" w:rsidR="00A63D17" w:rsidRPr="00E317C2" w:rsidRDefault="00000000" w:rsidP="00E317C2">
            <w:pPr>
              <w:spacing w:after="0"/>
              <w:jc w:val="center"/>
              <w:rPr>
                <w:sz w:val="21"/>
                <w:szCs w:val="21"/>
              </w:rPr>
            </w:pPr>
            <w:r>
              <w:rPr>
                <w:b/>
                <w:bCs/>
                <w:sz w:val="21"/>
                <w:szCs w:val="21"/>
              </w:rPr>
              <w:t>Blue Chip</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D89B4E" w14:textId="77777777" w:rsidR="00A63D17" w:rsidRPr="00E317C2" w:rsidRDefault="00E317C2" w:rsidP="00E317C2">
            <w:pPr>
              <w:spacing w:after="0"/>
              <w:ind w:left="117"/>
              <w:rPr>
                <w:sz w:val="21"/>
                <w:szCs w:val="21"/>
              </w:rPr>
            </w:pPr>
            <w:r>
              <w:rPr>
                <w:b/>
                <w:bCs/>
                <w:color w:val="000000"/>
                <w:sz w:val="21"/>
                <w:szCs w:val="21"/>
              </w:rPr>
              <w:t>Blue Chip</w:t>
            </w:r>
            <w:r>
              <w:rPr>
                <w:color w:val="000000"/>
                <w:sz w:val="21"/>
                <w:szCs w:val="21"/>
              </w:rPr>
              <w:t xml:space="preserve"> — a large, well-established, financially sound company with a history of reliable performance and often steady dividends.</w:t>
            </w:r>
          </w:p>
        </w:tc>
      </w:tr>
      <w:tr w:rsidR="00A63D17" w14:paraId="65BB2451"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DCBE48E" w14:textId="77777777" w:rsidR="00A63D17" w:rsidRPr="00E317C2" w:rsidRDefault="00000000" w:rsidP="00E317C2">
            <w:pPr>
              <w:spacing w:after="0"/>
              <w:jc w:val="center"/>
              <w:rPr>
                <w:sz w:val="21"/>
                <w:szCs w:val="21"/>
              </w:rPr>
            </w:pPr>
            <w:r>
              <w:rPr>
                <w:b/>
                <w:bCs/>
                <w:sz w:val="21"/>
                <w:szCs w:val="21"/>
              </w:rPr>
              <w:t>Bull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20C1CD6" w14:textId="77777777" w:rsidR="00A63D17" w:rsidRPr="00E317C2" w:rsidRDefault="00E317C2" w:rsidP="00E317C2">
            <w:pPr>
              <w:spacing w:after="0"/>
              <w:ind w:left="117"/>
              <w:rPr>
                <w:sz w:val="21"/>
                <w:szCs w:val="21"/>
              </w:rPr>
            </w:pPr>
            <w:r>
              <w:rPr>
                <w:b/>
                <w:bCs/>
                <w:color w:val="000000"/>
                <w:sz w:val="21"/>
                <w:szCs w:val="21"/>
              </w:rPr>
              <w:t>Bull Market</w:t>
            </w:r>
            <w:r>
              <w:rPr>
                <w:color w:val="000000"/>
                <w:sz w:val="21"/>
                <w:szCs w:val="21"/>
              </w:rPr>
              <w:t xml:space="preserve"> — a period when stock prices are generally rising and investor confidence is high.</w:t>
            </w:r>
          </w:p>
        </w:tc>
      </w:tr>
      <w:tr w:rsidR="00A63D17" w14:paraId="19BD5BFC"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76D2AD0" w14:textId="77777777" w:rsidR="00A63D17" w:rsidRPr="00E317C2" w:rsidRDefault="00000000" w:rsidP="00E317C2">
            <w:pPr>
              <w:spacing w:after="0"/>
              <w:jc w:val="center"/>
              <w:rPr>
                <w:sz w:val="21"/>
                <w:szCs w:val="21"/>
              </w:rPr>
            </w:pPr>
            <w:r>
              <w:rPr>
                <w:b/>
                <w:bCs/>
                <w:sz w:val="21"/>
                <w:szCs w:val="21"/>
              </w:rPr>
              <w:t>Buyback / Share Repurchase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106347" w14:textId="77777777" w:rsidR="00A63D17" w:rsidRPr="00E317C2" w:rsidRDefault="00E317C2" w:rsidP="00E317C2">
            <w:pPr>
              <w:spacing w:after="0"/>
              <w:ind w:left="117"/>
              <w:rPr>
                <w:sz w:val="21"/>
                <w:szCs w:val="21"/>
              </w:rPr>
            </w:pPr>
            <w:r>
              <w:rPr>
                <w:b/>
                <w:bCs/>
                <w:color w:val="000000"/>
                <w:sz w:val="21"/>
                <w:szCs w:val="21"/>
              </w:rPr>
              <w:t>Buyback / Share Repurchase</w:t>
            </w:r>
            <w:r>
              <w:rPr>
                <w:color w:val="000000"/>
                <w:sz w:val="21"/>
                <w:szCs w:val="21"/>
              </w:rPr>
              <w:t xml:space="preserve"> — when a company uses cash to buy back its own shares, reducing shares outstanding.</w:t>
            </w:r>
          </w:p>
        </w:tc>
      </w:tr>
      <w:tr w:rsidR="00A63D17" w14:paraId="5672000E"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07E8713" w14:textId="77777777" w:rsidR="00A63D17" w:rsidRPr="00E317C2" w:rsidRDefault="00000000" w:rsidP="00E317C2">
            <w:pPr>
              <w:spacing w:after="0"/>
              <w:jc w:val="center"/>
              <w:rPr>
                <w:sz w:val="21"/>
                <w:szCs w:val="21"/>
              </w:rPr>
            </w:pPr>
            <w:r>
              <w:rPr>
                <w:b/>
                <w:bCs/>
                <w:sz w:val="21"/>
                <w:szCs w:val="21"/>
              </w:rPr>
              <w:t>Dividend Yield</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110A40A" w14:textId="77777777" w:rsidR="00A63D17" w:rsidRPr="00E317C2" w:rsidRDefault="00E317C2" w:rsidP="00E317C2">
            <w:pPr>
              <w:spacing w:after="0"/>
              <w:ind w:left="117"/>
              <w:rPr>
                <w:sz w:val="21"/>
                <w:szCs w:val="21"/>
              </w:rPr>
            </w:pPr>
            <w:r>
              <w:rPr>
                <w:b/>
                <w:bCs/>
                <w:color w:val="000000"/>
                <w:sz w:val="21"/>
                <w:szCs w:val="21"/>
              </w:rPr>
              <w:t>Dividend Yield</w:t>
            </w:r>
            <w:r>
              <w:rPr>
                <w:color w:val="000000"/>
                <w:sz w:val="21"/>
                <w:szCs w:val="21"/>
              </w:rPr>
              <w:t xml:space="preserve"> — annual dividend payments divided by stock price, as a percentage.</w:t>
            </w:r>
          </w:p>
        </w:tc>
      </w:tr>
      <w:tr w:rsidR="00A63D17" w14:paraId="20961954"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E78EC8E" w14:textId="77777777" w:rsidR="00A63D17" w:rsidRPr="00E317C2" w:rsidRDefault="00000000" w:rsidP="00E317C2">
            <w:pPr>
              <w:spacing w:after="0"/>
              <w:jc w:val="center"/>
              <w:rPr>
                <w:sz w:val="21"/>
                <w:szCs w:val="21"/>
              </w:rPr>
            </w:pPr>
            <w:r>
              <w:rPr>
                <w:b/>
                <w:bCs/>
                <w:sz w:val="21"/>
                <w:szCs w:val="21"/>
              </w:rPr>
              <w:t>Float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017EAC3" w14:textId="77777777" w:rsidR="00A63D17" w:rsidRPr="00E317C2" w:rsidRDefault="00E317C2" w:rsidP="00E317C2">
            <w:pPr>
              <w:spacing w:after="0"/>
              <w:ind w:left="117"/>
              <w:rPr>
                <w:sz w:val="21"/>
                <w:szCs w:val="21"/>
              </w:rPr>
            </w:pPr>
            <w:r>
              <w:rPr>
                <w:b/>
                <w:bCs/>
                <w:color w:val="000000"/>
                <w:sz w:val="21"/>
                <w:szCs w:val="21"/>
              </w:rPr>
              <w:t>Float</w:t>
            </w:r>
            <w:r>
              <w:rPr>
                <w:color w:val="000000"/>
                <w:sz w:val="21"/>
                <w:szCs w:val="21"/>
              </w:rPr>
              <w:t xml:space="preserve"> — the number of shares available for public trading, excluding insider or restricted holdings.</w:t>
            </w:r>
          </w:p>
        </w:tc>
      </w:tr>
      <w:tr w:rsidR="00A63D17" w14:paraId="3928FF92"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5660DE" w14:textId="77777777" w:rsidR="00A63D17" w:rsidRPr="00E317C2" w:rsidRDefault="00000000" w:rsidP="00E317C2">
            <w:pPr>
              <w:spacing w:after="0"/>
              <w:jc w:val="center"/>
              <w:rPr>
                <w:sz w:val="21"/>
                <w:szCs w:val="21"/>
              </w:rPr>
            </w:pPr>
            <w:r>
              <w:rPr>
                <w:b/>
                <w:bCs/>
                <w:sz w:val="21"/>
                <w:szCs w:val="21"/>
              </w:rPr>
              <w:t>Gross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1CEE4B6" w14:textId="77777777" w:rsidR="00A63D17" w:rsidRPr="00E317C2" w:rsidRDefault="00CD3A3A" w:rsidP="00CD3A3A">
            <w:pPr>
              <w:spacing w:after="0"/>
              <w:ind w:left="117"/>
              <w:rPr>
                <w:sz w:val="21"/>
                <w:szCs w:val="21"/>
              </w:rPr>
            </w:pPr>
            <w:r>
              <w:rPr>
                <w:b/>
                <w:bCs/>
                <w:color w:val="000000"/>
                <w:sz w:val="21"/>
                <w:szCs w:val="21"/>
              </w:rPr>
              <w:t>Gross Margin</w:t>
            </w:r>
            <w:r>
              <w:rPr>
                <w:color w:val="000000"/>
                <w:sz w:val="21"/>
                <w:szCs w:val="21"/>
              </w:rPr>
              <w:t xml:space="preserve"> — gross profit divided by sales, as a percentage.</w:t>
            </w:r>
          </w:p>
        </w:tc>
      </w:tr>
      <w:tr w:rsidR="00A63D17" w14:paraId="00B4F6D1"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4E15BA1" w14:textId="77777777" w:rsidR="00A63D17" w:rsidRPr="00E317C2" w:rsidRDefault="00000000" w:rsidP="00E317C2">
            <w:pPr>
              <w:spacing w:after="0"/>
              <w:jc w:val="center"/>
              <w:rPr>
                <w:sz w:val="21"/>
                <w:szCs w:val="21"/>
              </w:rPr>
            </w:pPr>
            <w:r>
              <w:rPr>
                <w:b/>
                <w:bCs/>
                <w:sz w:val="21"/>
                <w:szCs w:val="21"/>
              </w:rPr>
              <w:t>Guidance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485164B" w14:textId="77777777" w:rsidR="00A63D17" w:rsidRPr="00E317C2" w:rsidRDefault="00CD3A3A" w:rsidP="00CD3A3A">
            <w:pPr>
              <w:spacing w:after="0"/>
              <w:ind w:left="117"/>
              <w:rPr>
                <w:sz w:val="21"/>
                <w:szCs w:val="21"/>
              </w:rPr>
            </w:pPr>
            <w:r>
              <w:rPr>
                <w:b/>
                <w:bCs/>
                <w:color w:val="000000"/>
                <w:sz w:val="21"/>
                <w:szCs w:val="21"/>
              </w:rPr>
              <w:t>Guidance</w:t>
            </w:r>
            <w:r>
              <w:rPr>
                <w:color w:val="000000"/>
                <w:sz w:val="21"/>
                <w:szCs w:val="21"/>
              </w:rPr>
              <w:t xml:space="preserve"> — a company's official forecast for future sales, earnings, or other metrics.</w:t>
            </w:r>
          </w:p>
        </w:tc>
      </w:tr>
      <w:tr w:rsidR="00A63D17" w14:paraId="06E34E94"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6D72EA" w14:textId="77777777" w:rsidR="00A63D17" w:rsidRPr="00E317C2" w:rsidRDefault="00000000" w:rsidP="00E317C2">
            <w:pPr>
              <w:spacing w:after="0"/>
              <w:jc w:val="center"/>
              <w:rPr>
                <w:sz w:val="21"/>
                <w:szCs w:val="21"/>
              </w:rPr>
            </w:pPr>
            <w:r>
              <w:rPr>
                <w:b/>
                <w:bCs/>
                <w:sz w:val="21"/>
                <w:szCs w:val="21"/>
              </w:rPr>
              <w:t>Moat (Competitive Moat)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6DE3D52" w14:textId="77777777" w:rsidR="00A63D17" w:rsidRPr="00E317C2" w:rsidRDefault="00CD3A3A" w:rsidP="00CD3A3A">
            <w:pPr>
              <w:spacing w:after="0"/>
              <w:ind w:left="117"/>
              <w:rPr>
                <w:sz w:val="21"/>
                <w:szCs w:val="21"/>
              </w:rPr>
            </w:pPr>
            <w:r>
              <w:rPr>
                <w:b/>
                <w:bCs/>
                <w:color w:val="000000"/>
                <w:sz w:val="21"/>
                <w:szCs w:val="21"/>
              </w:rPr>
              <w:t>Moat (Competitive Moat)</w:t>
            </w:r>
            <w:r>
              <w:rPr>
                <w:color w:val="000000"/>
                <w:sz w:val="21"/>
                <w:szCs w:val="21"/>
              </w:rPr>
              <w:t xml:space="preserve"> — a lasting advantage that protects a company from competitors — brand strength, network effects, cost advantages, or high switching costs.</w:t>
            </w:r>
          </w:p>
        </w:tc>
      </w:tr>
      <w:tr w:rsidR="00A63D17" w14:paraId="16EEA805"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94A4ACC" w14:textId="77777777" w:rsidR="00A63D17" w:rsidRPr="00E317C2" w:rsidRDefault="00000000" w:rsidP="00E317C2">
            <w:pPr>
              <w:spacing w:after="0"/>
              <w:jc w:val="center"/>
              <w:rPr>
                <w:sz w:val="21"/>
                <w:szCs w:val="21"/>
              </w:rPr>
            </w:pPr>
            <w:r>
              <w:rPr>
                <w:b/>
                <w:bCs/>
                <w:sz w:val="21"/>
                <w:szCs w:val="21"/>
              </w:rPr>
              <w:t>Net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245572" w14:textId="77777777" w:rsidR="00A63D17" w:rsidRPr="00E317C2" w:rsidRDefault="00CD3A3A" w:rsidP="00CD3A3A">
            <w:pPr>
              <w:spacing w:after="0"/>
              <w:ind w:left="117"/>
              <w:rPr>
                <w:sz w:val="21"/>
                <w:szCs w:val="21"/>
              </w:rPr>
            </w:pPr>
            <w:r>
              <w:rPr>
                <w:b/>
                <w:bCs/>
                <w:color w:val="000000"/>
                <w:sz w:val="21"/>
                <w:szCs w:val="21"/>
              </w:rPr>
              <w:t>Net Margin</w:t>
            </w:r>
            <w:r>
              <w:rPr>
                <w:color w:val="000000"/>
                <w:sz w:val="21"/>
                <w:szCs w:val="21"/>
              </w:rPr>
              <w:t xml:space="preserve"> — net income divided by sales, as a percentage.</w:t>
            </w:r>
          </w:p>
        </w:tc>
      </w:tr>
      <w:tr w:rsidR="00A63D17" w14:paraId="2208D7FC" w14:textId="77777777" w:rsidTr="00E317C2">
        <w:trPr>
          <w:trHeight w:val="65"/>
        </w:trPr>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CB084BB" w14:textId="77777777" w:rsidR="00A63D17" w:rsidRPr="00E317C2" w:rsidRDefault="00000000" w:rsidP="00E317C2">
            <w:pPr>
              <w:spacing w:after="0"/>
              <w:jc w:val="center"/>
              <w:rPr>
                <w:sz w:val="21"/>
                <w:szCs w:val="21"/>
              </w:rPr>
            </w:pPr>
            <w:r>
              <w:rPr>
                <w:b/>
                <w:bCs/>
                <w:sz w:val="21"/>
                <w:szCs w:val="21"/>
              </w:rPr>
              <w:t>Operating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AE0ED9F" w14:textId="77777777" w:rsidR="00A63D17" w:rsidRPr="00E317C2" w:rsidRDefault="00CD3A3A" w:rsidP="00CD3A3A">
            <w:pPr>
              <w:spacing w:after="0"/>
              <w:ind w:left="117"/>
              <w:rPr>
                <w:sz w:val="21"/>
                <w:szCs w:val="21"/>
              </w:rPr>
            </w:pPr>
            <w:r>
              <w:rPr>
                <w:b/>
                <w:bCs/>
                <w:color w:val="000000"/>
                <w:sz w:val="21"/>
                <w:szCs w:val="21"/>
              </w:rPr>
              <w:t>Operating Margin</w:t>
            </w:r>
            <w:r>
              <w:rPr>
                <w:color w:val="000000"/>
                <w:sz w:val="21"/>
                <w:szCs w:val="21"/>
              </w:rPr>
              <w:t xml:space="preserve"> — operating profit divided by sales, as a percentage.</w:t>
            </w:r>
          </w:p>
        </w:tc>
      </w:tr>
      <w:tr w:rsidR="00A63D17" w14:paraId="2FDE858B"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852B5B0" w14:textId="77777777" w:rsidR="00A63D17" w:rsidRPr="00E317C2" w:rsidRDefault="00000000" w:rsidP="00E317C2">
            <w:pPr>
              <w:spacing w:after="0"/>
              <w:jc w:val="center"/>
              <w:rPr>
                <w:sz w:val="21"/>
                <w:szCs w:val="21"/>
              </w:rPr>
            </w:pPr>
            <w:r>
              <w:rPr>
                <w:b/>
                <w:bCs/>
                <w:sz w:val="21"/>
                <w:szCs w:val="21"/>
              </w:rPr>
              <w:t>Working Capital</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811044B" w14:textId="77777777" w:rsidR="00A63D17" w:rsidRPr="00E317C2" w:rsidRDefault="00CD3A3A" w:rsidP="00CD3A3A">
            <w:pPr>
              <w:spacing w:after="0"/>
              <w:ind w:left="117"/>
              <w:rPr>
                <w:sz w:val="21"/>
                <w:szCs w:val="21"/>
              </w:rPr>
            </w:pPr>
            <w:r>
              <w:rPr>
                <w:b/>
                <w:bCs/>
                <w:color w:val="000000"/>
                <w:sz w:val="21"/>
                <w:szCs w:val="21"/>
              </w:rPr>
              <w:t>Working Capital</w:t>
            </w:r>
            <w:r>
              <w:rPr>
                <w:color w:val="000000"/>
                <w:sz w:val="21"/>
                <w:szCs w:val="21"/>
              </w:rPr>
              <w:t xml:space="preserve"> — current assets minus current liabilities — a measure of short-term financial health.</w:t>
            </w:r>
          </w:p>
        </w:tc>
      </w:tr>
    </w:tbl>
    <w:p w14:paraId="06B5E63D" w14:textId="77777777" w:rsidR="008E7260" w:rsidRDefault="008E7260"/>
    <w:p w14:paraId="0B4E633E" w14:textId="77777777" w:rsidR="001E38B7" w:rsidRDefault="001E38B7">
      <w:r>
        <w:br w:type="page"/>
      </w:r>
    </w:p>
    <w:p w14:paraId="5941F406" w14:textId="77777777" w:rsidR="001E38B7" w:rsidRPr="001E38B7" w:rsidRDefault="001E38B7" w:rsidP="001E38B7">
      <w:pPr>
        <w:pStyle w:val="Heading1"/>
      </w:pPr>
      <w:bookmarkStart w:id="68" w:name="_Toc236827013"/>
      <w:r>
        <w:lastRenderedPageBreak/>
        <w:t>INDEX — MASTER RULE REGISTER &amp; WHAT TO AVOID</w:t>
      </w:r>
      <w:bookmarkEnd w:id="68"/>
    </w:p>
    <w:p w14:paraId="523B745A" w14:textId="77777777" w:rsidR="001E38B7" w:rsidRPr="001E38B7" w:rsidRDefault="001E38B7" w:rsidP="001E38B7">
      <w:r>
        <w:rPr>
          <w:i/>
          <w:iCs/>
        </w:rPr>
        <w:t xml:space="preserve">This Index consolidates every numbered </w:t>
      </w:r>
      <w:r>
        <w:rPr>
          <w:b/>
          <w:bCs/>
          <w:i/>
          <w:iCs/>
        </w:rPr>
        <w:t>Hard Rule</w:t>
      </w:r>
      <w:r>
        <w:rPr>
          <w:i/>
          <w:iCs/>
        </w:rPr>
        <w:t xml:space="preserve"> in this </w:t>
      </w:r>
      <w:r>
        <w:rPr>
          <w:b/>
          <w:bCs/>
          <w:i/>
          <w:iCs/>
        </w:rPr>
        <w:t>Operating System</w:t>
      </w:r>
      <w:r>
        <w:rPr>
          <w:i/>
          <w:iCs/>
        </w:rPr>
        <w:t xml:space="preserve">, grouped by the </w:t>
      </w:r>
      <w:r>
        <w:rPr>
          <w:b/>
          <w:bCs/>
          <w:i/>
          <w:iCs/>
        </w:rPr>
        <w:t>Part</w:t>
      </w:r>
      <w:r>
        <w:rPr>
          <w:i/>
          <w:iCs/>
        </w:rPr>
        <w:t xml:space="preserve"> in which it appears, followed by the </w:t>
      </w:r>
      <w:r>
        <w:rPr>
          <w:b/>
          <w:bCs/>
          <w:i/>
          <w:iCs/>
        </w:rPr>
        <w:t>What to Avoid</w:t>
      </w:r>
      <w:r>
        <w:rPr>
          <w:i/>
          <w:iCs/>
        </w:rPr>
        <w:t xml:space="preserve"> reference (</w:t>
      </w:r>
      <w:r>
        <w:rPr>
          <w:b/>
          <w:bCs/>
          <w:i/>
          <w:iCs/>
        </w:rPr>
        <w:t>Part 11</w:t>
      </w:r>
      <w:r>
        <w:rPr>
          <w:i/>
          <w:iCs/>
        </w:rPr>
        <w:t xml:space="preserve">). It is a navigation aid only — the authoritative rule text is the copy within each </w:t>
      </w:r>
      <w:r>
        <w:rPr>
          <w:b/>
          <w:bCs/>
          <w:i/>
          <w:iCs/>
        </w:rPr>
        <w:t>Part</w:t>
      </w:r>
      <w:r>
        <w:rPr>
          <w:i/>
          <w:iCs/>
        </w:rPr>
        <w:t xml:space="preserve">; if this </w:t>
      </w:r>
      <w:r>
        <w:rPr>
          <w:b/>
          <w:bCs/>
          <w:i/>
          <w:iCs/>
        </w:rPr>
        <w:t>Index</w:t>
      </w:r>
      <w:r>
        <w:rPr>
          <w:i/>
          <w:iCs/>
        </w:rPr>
        <w:t xml:space="preserve"> and a </w:t>
      </w:r>
      <w:r>
        <w:rPr>
          <w:b/>
          <w:bCs/>
          <w:i/>
          <w:iCs/>
        </w:rPr>
        <w:t>Part</w:t>
      </w:r>
      <w:r>
        <w:rPr>
          <w:i/>
          <w:iCs/>
        </w:rPr>
        <w:t xml:space="preserve"> ever disagree after a future revision, the text within the </w:t>
      </w:r>
      <w:r>
        <w:rPr>
          <w:b/>
          <w:bCs/>
          <w:i/>
          <w:iCs/>
        </w:rPr>
        <w:t>Part</w:t>
      </w:r>
      <w:r>
        <w:rPr>
          <w:i/>
          <w:iCs/>
        </w:rPr>
        <w:t xml:space="preserve"> governs.</w:t>
      </w:r>
    </w:p>
    <w:p w14:paraId="4DEB894B" w14:textId="77777777" w:rsidR="001E38B7" w:rsidRPr="001E38B7" w:rsidRDefault="001E38B7" w:rsidP="001E38B7">
      <w:pPr>
        <w:pStyle w:val="Heading2"/>
        <w:pBdr>
          <w:top w:val="single" w:sz="4" w:space="1" w:color="auto"/>
        </w:pBdr>
      </w:pPr>
      <w:bookmarkStart w:id="69" w:name="_Toc236827014"/>
      <w:r>
        <w:t>Part 3 — Composite Score &amp; Confidence</w:t>
      </w:r>
      <w:bookmarkEnd w:id="69"/>
    </w:p>
    <w:p w14:paraId="5FFEF1F6" w14:textId="77777777" w:rsidR="001E38B7" w:rsidRPr="001E38B7" w:rsidRDefault="001E38B7" w:rsidP="00281819">
      <w:pPr>
        <w:numPr>
          <w:ilvl w:val="0"/>
          <w:numId w:val="27"/>
        </w:numPr>
      </w:pPr>
      <w:r>
        <w:t xml:space="preserve">A stock with a </w:t>
      </w:r>
      <w:r>
        <w:rPr>
          <w:b/>
          <w:bCs/>
        </w:rPr>
        <w:t>Tier 1</w:t>
      </w:r>
      <w:r>
        <w:t xml:space="preserve"> weighted average </w:t>
      </w:r>
      <w:r>
        <w:rPr>
          <w:u w:val="single"/>
        </w:rPr>
        <w:t>below 3.0</w:t>
      </w:r>
      <w:r>
        <w:t xml:space="preserve"> shall not qualify as </w:t>
      </w:r>
      <w:r>
        <w:rPr>
          <w:b/>
          <w:bCs/>
        </w:rPr>
        <w:t xml:space="preserve">Buy </w:t>
      </w:r>
      <w:r>
        <w:t xml:space="preserve">or </w:t>
      </w:r>
      <w:r>
        <w:rPr>
          <w:b/>
          <w:bCs/>
        </w:rPr>
        <w:t>Strong Buy</w:t>
      </w:r>
      <w:r>
        <w:t xml:space="preserve">. </w:t>
        <w:br/>
        <w:t>[</w:t>
      </w:r>
      <w:r>
        <w:rPr>
          <w:b/>
          <w:bCs/>
        </w:rPr>
        <w:t>Tier 1</w:t>
      </w:r>
      <w:r>
        <w:t xml:space="preserve"> weighted average = (Σ Tier 1 score × weight) ÷ 0.70. A floor of 3.0 is equivalent to a </w:t>
      </w:r>
      <w:r>
        <w:rPr>
          <w:b/>
          <w:bCs/>
        </w:rPr>
        <w:t>Tier 1</w:t>
      </w:r>
      <w:r>
        <w:t xml:space="preserve"> raw weighted contribution of ≥2.10.]</w:t>
      </w:r>
    </w:p>
    <w:p w14:paraId="529563E6" w14:textId="77777777" w:rsidR="001E38B7" w:rsidRPr="001E38B7" w:rsidRDefault="001E38B7" w:rsidP="00281819">
      <w:pPr>
        <w:numPr>
          <w:ilvl w:val="0"/>
          <w:numId w:val="27"/>
        </w:numPr>
      </w:pPr>
      <w:r>
        <w:t xml:space="preserve">Any </w:t>
      </w:r>
      <w:r>
        <w:rPr>
          <w:b/>
          <w:bCs/>
        </w:rPr>
        <w:t>Tier 1</w:t>
      </w:r>
      <w:r>
        <w:t xml:space="preserve"> indicator </w:t>
      </w:r>
      <w:r>
        <w:rPr>
          <w:u w:val="single"/>
        </w:rPr>
        <w:t>scored at 1</w:t>
      </w:r>
      <w:r>
        <w:t xml:space="preserve"> requires a mandatory </w:t>
      </w:r>
      <w:r>
        <w:rPr>
          <w:b/>
          <w:bCs/>
        </w:rPr>
        <w:t>qualitative review</w:t>
      </w:r>
      <w:r>
        <w:t xml:space="preserve"> before any decision.</w:t>
      </w:r>
    </w:p>
    <w:p w14:paraId="48266039" w14:textId="77777777" w:rsidR="001E38B7" w:rsidRPr="001E38B7" w:rsidRDefault="001E38B7" w:rsidP="00281819">
      <w:pPr>
        <w:numPr>
          <w:ilvl w:val="0"/>
          <w:numId w:val="27"/>
        </w:numPr>
      </w:pPr>
      <w:r>
        <w:t xml:space="preserve">Two or more </w:t>
      </w:r>
      <w:r>
        <w:rPr>
          <w:b/>
          <w:bCs/>
        </w:rPr>
        <w:t>Tier 1</w:t>
      </w:r>
      <w:r>
        <w:t xml:space="preserve"> indicators </w:t>
      </w:r>
      <w:r>
        <w:rPr>
          <w:u w:val="single"/>
        </w:rPr>
        <w:t xml:space="preserve">scored at 2.0 </w:t>
      </w:r>
      <w:r>
        <w:t xml:space="preserve">or below shall automatically classify the stock as </w:t>
      </w:r>
      <w:r>
        <w:rPr>
          <w:b/>
          <w:bCs/>
        </w:rPr>
        <w:t>Avoid</w:t>
      </w:r>
      <w:r>
        <w:t>.</w:t>
      </w:r>
    </w:p>
    <w:p w14:paraId="0346333E" w14:textId="77777777" w:rsidR="001E38B7" w:rsidRPr="001E38B7" w:rsidRDefault="001E38B7" w:rsidP="00281819">
      <w:pPr>
        <w:numPr>
          <w:ilvl w:val="0"/>
          <w:numId w:val="27"/>
        </w:numPr>
      </w:pPr>
      <w:r>
        <w:t xml:space="preserve">A </w:t>
      </w:r>
      <w:r>
        <w:rPr>
          <w:b/>
          <w:bCs/>
        </w:rPr>
        <w:t>Composite Score</w:t>
      </w:r>
      <w:r>
        <w:t xml:space="preserve"> shall not support a </w:t>
      </w:r>
      <w:r>
        <w:rPr>
          <w:b/>
          <w:bCs/>
        </w:rPr>
        <w:t>Strong Buy</w:t>
      </w:r>
      <w:r>
        <w:t xml:space="preserve"> classification if two or more </w:t>
      </w:r>
      <w:r>
        <w:rPr>
          <w:b/>
          <w:bCs/>
        </w:rPr>
        <w:t>Tier 1</w:t>
      </w:r>
      <w:r>
        <w:t xml:space="preserve"> indicators are tagged </w:t>
      </w:r>
    </w:p>
    <w:p w14:paraId="51A00003" w14:textId="77777777" w:rsidR="001E38B7" w:rsidRPr="001E38B7" w:rsidRDefault="001E38B7" w:rsidP="00281819">
      <w:pPr>
        <w:numPr>
          <w:ilvl w:val="0"/>
          <w:numId w:val="27"/>
        </w:numPr>
      </w:pPr>
      <w:r>
        <w:t xml:space="preserve">Any </w:t>
      </w:r>
      <w:r>
        <w:rPr>
          <w:b/>
          <w:bCs/>
        </w:rPr>
        <w:t>Relative Strength vs. SPY</w:t>
      </w:r>
      <w:r>
        <w:t xml:space="preserve"> or </w:t>
      </w:r>
      <w:r>
        <w:rPr>
          <w:b/>
          <w:bCs/>
        </w:rPr>
        <w:t>Technical Trend</w:t>
      </w:r>
      <w:r>
        <w:t xml:space="preserve"> indicator scored at 1 — at initial scoring or any later re-score — requires a mandatory </w:t>
      </w:r>
      <w:r>
        <w:rPr>
          <w:b/>
          <w:bCs/>
        </w:rPr>
        <w:t>qualitative review</w:t>
      </w:r>
      <w:r>
        <w:t xml:space="preserve"> before any </w:t>
      </w:r>
      <w:r>
        <w:rPr>
          <w:b/>
          <w:bCs/>
        </w:rPr>
        <w:t>Buy</w:t>
      </w:r>
      <w:r>
        <w:t xml:space="preserve"> or </w:t>
      </w:r>
      <w:r>
        <w:rPr>
          <w:b/>
          <w:bCs/>
        </w:rPr>
        <w:t>Strong Buy</w:t>
      </w:r>
      <w:r>
        <w:t xml:space="preserve"> classification is relied upon, whether for a new entry or a position already held.</w:t>
      </w:r>
    </w:p>
    <w:p w14:paraId="37287E68" w14:textId="77777777" w:rsidR="001E38B7" w:rsidRPr="001E38B7" w:rsidRDefault="001E38B7" w:rsidP="001E38B7">
      <w:pPr>
        <w:pStyle w:val="Heading2"/>
        <w:pBdr>
          <w:top w:val="single" w:sz="4" w:space="1" w:color="auto"/>
        </w:pBdr>
      </w:pPr>
      <w:bookmarkStart w:id="70" w:name="_Toc236827015"/>
      <w:r>
        <w:t>Part 4 — Entry Rules</w:t>
      </w:r>
      <w:bookmarkEnd w:id="70"/>
    </w:p>
    <w:p w14:paraId="27862E0F" w14:textId="77777777" w:rsidR="001E38B7" w:rsidRPr="001E38B7" w:rsidRDefault="001E38B7" w:rsidP="00281819">
      <w:pPr>
        <w:numPr>
          <w:ilvl w:val="0"/>
          <w:numId w:val="27"/>
        </w:numPr>
      </w:pPr>
      <w:r>
        <w:rPr>
          <w:b/>
          <w:bCs/>
        </w:rPr>
        <w:t xml:space="preserve">Composite Score </w:t>
      </w:r>
      <w:r>
        <w:t xml:space="preserve">shall be </w:t>
      </w:r>
      <w:r>
        <w:rPr>
          <w:u w:val="single"/>
        </w:rPr>
        <w:t>65 or higher</w:t>
      </w:r>
      <w:r>
        <w:t>.</w:t>
      </w:r>
    </w:p>
    <w:p w14:paraId="61A1AA7F" w14:textId="77777777" w:rsidR="001E38B7" w:rsidRPr="001E38B7" w:rsidRDefault="001E38B7" w:rsidP="00281819">
      <w:pPr>
        <w:numPr>
          <w:ilvl w:val="0"/>
          <w:numId w:val="27"/>
        </w:numPr>
      </w:pPr>
      <w:r>
        <w:rPr>
          <w:b/>
          <w:bCs/>
        </w:rPr>
        <w:t xml:space="preserve">Tier 1 </w:t>
      </w:r>
      <w:r>
        <w:t xml:space="preserve">weighted average shall be </w:t>
      </w:r>
      <w:r>
        <w:rPr>
          <w:u w:val="single"/>
        </w:rPr>
        <w:t>3.0 or higher</w:t>
      </w:r>
      <w:r>
        <w:t>.</w:t>
      </w:r>
    </w:p>
    <w:p w14:paraId="1216BB0F" w14:textId="77777777" w:rsidR="001E38B7" w:rsidRPr="001E38B7" w:rsidRDefault="001E38B7" w:rsidP="00281819">
      <w:pPr>
        <w:numPr>
          <w:ilvl w:val="0"/>
          <w:numId w:val="27"/>
        </w:numPr>
      </w:pPr>
      <w:r>
        <w:t xml:space="preserve">No </w:t>
      </w:r>
      <w:r>
        <w:rPr>
          <w:b/>
          <w:bCs/>
        </w:rPr>
        <w:t>Tier 1</w:t>
      </w:r>
      <w:r>
        <w:t xml:space="preserve"> indicator shall be </w:t>
      </w:r>
      <w:r>
        <w:rPr>
          <w:u w:val="single"/>
        </w:rPr>
        <w:t>scored at 1</w:t>
      </w:r>
      <w:r>
        <w:t>.</w:t>
      </w:r>
    </w:p>
    <w:p w14:paraId="0D12D7AA" w14:textId="77777777" w:rsidR="001E38B7" w:rsidRPr="001E38B7" w:rsidRDefault="001E38B7" w:rsidP="00281819">
      <w:pPr>
        <w:numPr>
          <w:ilvl w:val="0"/>
          <w:numId w:val="27"/>
        </w:numPr>
      </w:pPr>
      <w:r>
        <w:rPr>
          <w:b/>
          <w:bCs/>
        </w:rPr>
        <w:t>Technical trend</w:t>
      </w:r>
      <w:r>
        <w:t xml:space="preserve"> determines </w:t>
      </w:r>
      <w:r>
        <w:rPr>
          <w:b/>
          <w:bCs/>
        </w:rPr>
        <w:t>entry staging</w:t>
      </w:r>
      <w:r>
        <w:t xml:space="preserve"> – not fundamental eligibility: </w:t>
        <w:br/>
        <w:t xml:space="preserve">If price is above the 200-week moving average or has reclaimed it within the past 6 months, </w:t>
      </w:r>
      <w:r>
        <w:rPr>
          <w:b/>
          <w:bCs/>
        </w:rPr>
        <w:t>standard initial sizing</w:t>
      </w:r>
      <w:r>
        <w:t xml:space="preserve"> is permitted; otherwise, </w:t>
        <w:br/>
      </w:r>
      <w:r>
        <w:rPr>
          <w:u w:val="single"/>
        </w:rPr>
        <w:t>Limit the first purchase to 50%</w:t>
      </w:r>
      <w:r>
        <w:t xml:space="preserve"> of the normal initial size and </w:t>
      </w:r>
      <w:r>
        <w:rPr>
          <w:u w:val="single"/>
        </w:rPr>
        <w:t>require a 90-day technical review</w:t>
      </w:r>
      <w:r>
        <w:t>.</w:t>
      </w:r>
    </w:p>
    <w:p w14:paraId="26E8447D" w14:textId="77777777" w:rsidR="001E38B7" w:rsidRPr="001E38B7" w:rsidRDefault="001E38B7" w:rsidP="00281819">
      <w:pPr>
        <w:numPr>
          <w:ilvl w:val="0"/>
          <w:numId w:val="27"/>
        </w:numPr>
      </w:pPr>
      <w:r>
        <w:t xml:space="preserve">If monthly </w:t>
      </w:r>
      <w:r>
        <w:rPr>
          <w:b/>
          <w:bCs/>
        </w:rPr>
        <w:t>MACD</w:t>
      </w:r>
      <w:r>
        <w:t xml:space="preserve"> is </w:t>
      </w:r>
      <w:r>
        <w:rPr>
          <w:u w:val="single"/>
        </w:rPr>
        <w:t>positive</w:t>
      </w:r>
      <w:r>
        <w:t xml:space="preserve"> or turning positive, standard staging applies. </w:t>
        <w:br/>
        <w:t xml:space="preserve">If </w:t>
      </w:r>
      <w:r>
        <w:rPr>
          <w:u w:val="single"/>
        </w:rPr>
        <w:t>negative</w:t>
      </w:r>
      <w:r>
        <w:t xml:space="preserve">, the position may still be initiated only at the </w:t>
      </w:r>
      <w:r>
        <w:rPr>
          <w:u w:val="single"/>
        </w:rPr>
        <w:t>reduced size</w:t>
      </w:r>
      <w:r>
        <w:t xml:space="preserve"> allowed by the preceding rule.</w:t>
        <w:br/>
        <w:t xml:space="preserve">Technical weakness alone </w:t>
      </w:r>
      <w:r>
        <w:rPr>
          <w:u w:val="single"/>
        </w:rPr>
        <w:t>shall not override</w:t>
      </w:r>
      <w:r>
        <w:t xml:space="preserve"> a qualifying fundamental case.</w:t>
      </w:r>
    </w:p>
    <w:p w14:paraId="37983DF0" w14:textId="77777777" w:rsidR="001E38B7" w:rsidRPr="001E38B7" w:rsidRDefault="001E38B7" w:rsidP="00281819">
      <w:pPr>
        <w:numPr>
          <w:ilvl w:val="0"/>
          <w:numId w:val="27"/>
        </w:numPr>
      </w:pPr>
      <w:r>
        <w:t xml:space="preserve">No near-term </w:t>
      </w:r>
      <w:r>
        <w:rPr>
          <w:b/>
          <w:bCs/>
        </w:rPr>
        <w:t>binary event risk</w:t>
      </w:r>
      <w:r>
        <w:t xml:space="preserve"> shall be present unless the thesis explicitly includes it.</w:t>
      </w:r>
    </w:p>
    <w:p w14:paraId="668CE173" w14:textId="77777777" w:rsidR="001E38B7" w:rsidRPr="001E38B7" w:rsidRDefault="001E38B7" w:rsidP="00281819">
      <w:pPr>
        <w:numPr>
          <w:ilvl w:val="0"/>
          <w:numId w:val="27"/>
        </w:numPr>
      </w:pPr>
      <w:r>
        <w:t xml:space="preserve">At entry, calculate the implied </w:t>
      </w:r>
      <w:r>
        <w:rPr>
          <w:b/>
          <w:bCs/>
        </w:rPr>
        <w:t>5-year annualized total return</w:t>
      </w:r>
      <w:r>
        <w:t xml:space="preserve"> under a documented </w:t>
      </w:r>
      <w:r>
        <w:rPr>
          <w:b/>
          <w:bCs/>
        </w:rPr>
        <w:t>Bear Case</w:t>
      </w:r>
      <w:r>
        <w:t xml:space="preserve"> using the </w:t>
      </w:r>
      <w:r>
        <w:rPr>
          <w:b/>
          <w:bCs/>
        </w:rPr>
        <w:t>Standardized Implied-Return Methodology</w:t>
      </w:r>
      <w:r>
        <w:t xml:space="preserve"> above (</w:t>
      </w:r>
      <w:r>
        <w:rPr>
          <w:b/>
          <w:bCs/>
        </w:rPr>
        <w:t xml:space="preserve">Part 4 – Entry Rules / Standardized Implied Return Methodology</w:t>
      </w:r>
      <w:r>
        <w:t xml:space="preserve">). </w:t>
        <w:br/>
        <w:t xml:space="preserve">For </w:t>
      </w:r>
      <w:r>
        <w:rPr>
          <w:b/>
          <w:bCs/>
        </w:rPr>
        <w:t>non-cyclicals</w:t>
      </w:r>
      <w:r>
        <w:t xml:space="preserve">, reduce the </w:t>
      </w:r>
      <w:r>
        <w:rPr>
          <w:b/>
          <w:bCs/>
        </w:rPr>
        <w:t>Base Case FCF</w:t>
      </w:r>
      <w:r>
        <w:t xml:space="preserve"> growth assumption by at least 50% and apply a conservative terminal multiple.</w:t>
        <w:br/>
        <w:t xml:space="preserve">For </w:t>
      </w:r>
      <w:r>
        <w:rPr>
          <w:b/>
          <w:bCs/>
        </w:rPr>
        <w:t>cyclicals</w:t>
      </w:r>
      <w:r>
        <w:t xml:space="preserve">, use a documented trough-cycle assumption. </w:t>
        <w:br/>
        <w:t xml:space="preserve">The </w:t>
      </w:r>
      <w:r>
        <w:rPr>
          <w:b/>
          <w:bCs/>
        </w:rPr>
        <w:t>Bear Case</w:t>
      </w:r>
      <w:r>
        <w:t xml:space="preserve"> return must be 0% or higher. If negative, do not enter regardless of </w:t>
      </w:r>
      <w:r>
        <w:rPr>
          <w:b/>
          <w:bCs/>
        </w:rPr>
        <w:t>Composite Score</w:t>
      </w:r>
      <w:r>
        <w:t>.</w:t>
      </w:r>
    </w:p>
    <w:p w14:paraId="45B1DAA2" w14:textId="77777777" w:rsidR="001E38B7" w:rsidRPr="001E38B7" w:rsidRDefault="001E38B7" w:rsidP="00281819">
      <w:pPr>
        <w:numPr>
          <w:ilvl w:val="0"/>
          <w:numId w:val="27"/>
        </w:numPr>
      </w:pPr>
      <w:r>
        <w:t xml:space="preserve">At </w:t>
      </w:r>
      <w:r>
        <w:rPr>
          <w:b/>
          <w:bCs/>
        </w:rPr>
        <w:t xml:space="preserve">entry </w:t>
      </w:r>
      <w:r>
        <w:t xml:space="preserve">and at each </w:t>
      </w:r>
      <w:r>
        <w:rPr>
          <w:b/>
          <w:bCs/>
        </w:rPr>
        <w:t>annual</w:t>
      </w:r>
      <w:r>
        <w:t xml:space="preserve"> re-score, document the </w:t>
      </w:r>
      <w:r>
        <w:rPr>
          <w:b/>
          <w:bCs/>
        </w:rPr>
        <w:t xml:space="preserve">Bull, Base, </w:t>
      </w:r>
      <w:r>
        <w:t>and</w:t>
      </w:r>
      <w:r>
        <w:rPr>
          <w:b/>
          <w:bCs/>
        </w:rPr>
        <w:t xml:space="preserve"> Bear</w:t>
      </w:r>
      <w:r>
        <w:t xml:space="preserve"> scenarios described above, each with its own implied 5-year return and a </w:t>
      </w:r>
      <w:r>
        <w:rPr>
          <w:b/>
          <w:bCs/>
        </w:rPr>
        <w:t>Likely/Possible/Unlikely</w:t>
      </w:r>
      <w:r>
        <w:t xml:space="preserve"> tag. </w:t>
        <w:br/>
        <w:t xml:space="preserve">Exactly </w:t>
      </w:r>
      <w:r>
        <w:rPr>
          <w:u w:val="single"/>
        </w:rPr>
        <w:t>one scenario</w:t>
      </w:r>
      <w:r>
        <w:t xml:space="preserve"> may be tagged </w:t>
      </w:r>
      <w:r>
        <w:rPr>
          <w:b/>
          <w:bCs/>
        </w:rPr>
        <w:t>Likely</w:t>
      </w:r>
      <w:r>
        <w:t xml:space="preserve">. </w:t>
        <w:br/>
        <w:t>Do not assign numeric probabilities to these tags.</w:t>
      </w:r>
    </w:p>
    <w:p w14:paraId="531D5B3B" w14:textId="77777777" w:rsidR="001E38B7" w:rsidRPr="001E38B7" w:rsidRDefault="001E38B7" w:rsidP="00281819">
      <w:pPr>
        <w:numPr>
          <w:ilvl w:val="0"/>
          <w:numId w:val="27"/>
        </w:numPr>
      </w:pPr>
      <w:r>
        <w:t xml:space="preserve">Do not initiate a new </w:t>
      </w:r>
      <w:r>
        <w:rPr>
          <w:b/>
          <w:bCs/>
        </w:rPr>
        <w:t>nonfinancial operating-company position</w:t>
      </w:r>
      <w:r>
        <w:t xml:space="preserve"> when </w:t>
      </w:r>
      <w:r>
        <w:rPr>
          <w:b/>
          <w:bCs/>
        </w:rPr>
        <w:t>P/FCF</w:t>
      </w:r>
      <w:r>
        <w:t xml:space="preserve"> </w:t>
      </w:r>
      <w:r>
        <w:rPr>
          <w:u w:val="single"/>
        </w:rPr>
        <w:t>exceeds 50x</w:t>
      </w:r>
      <w:r>
        <w:t xml:space="preserve"> unless both: </w:t>
        <w:br/>
        <w:t xml:space="preserve">(a) documented consensus </w:t>
      </w:r>
      <w:r>
        <w:rPr>
          <w:b/>
          <w:bCs/>
        </w:rPr>
        <w:t>FCF</w:t>
      </w:r>
      <w:r>
        <w:t xml:space="preserve"> growth </w:t>
      </w:r>
      <w:r>
        <w:rPr>
          <w:u w:val="single"/>
        </w:rPr>
        <w:t>exceeds 30% annualized</w:t>
      </w:r>
      <w:r>
        <w:t xml:space="preserve"> for at least the next two years; and </w:t>
        <w:br/>
        <w:t xml:space="preserve">(b) the </w:t>
      </w:r>
      <w:r>
        <w:rPr>
          <w:b/>
          <w:bCs/>
        </w:rPr>
        <w:t xml:space="preserve">Bear Case </w:t>
      </w:r>
      <w:r>
        <w:t xml:space="preserve">above </w:t>
      </w:r>
      <w:r>
        <w:rPr>
          <w:u w:val="single"/>
        </w:rPr>
        <w:t>clears the ≥0% implied-return threshold</w:t>
      </w:r>
      <w:r>
        <w:t xml:space="preserve">. </w:t>
        <w:br/>
        <w:t xml:space="preserve">Apply the </w:t>
      </w:r>
      <w:r>
        <w:rPr>
          <w:b/>
          <w:bCs/>
        </w:rPr>
        <w:t>Part 10 sector-specific valuation</w:t>
      </w:r>
      <w:r>
        <w:t xml:space="preserve"> substitute where </w:t>
      </w:r>
      <w:r>
        <w:rPr>
          <w:b/>
          <w:bCs/>
        </w:rPr>
        <w:t>P/FCF</w:t>
      </w:r>
      <w:r>
        <w:t xml:space="preserve"> is not economically meaningful.</w:t>
      </w:r>
    </w:p>
    <w:p w14:paraId="2841D33B" w14:textId="77777777" w:rsidR="001E38B7" w:rsidRPr="001E38B7" w:rsidRDefault="001E38B7" w:rsidP="00682571">
      <w:pPr>
        <w:pStyle w:val="Heading2"/>
        <w:pBdr>
          <w:top w:val="single" w:sz="4" w:space="1" w:color="auto"/>
        </w:pBdr>
      </w:pPr>
      <w:bookmarkStart w:id="71" w:name="_Toc236827016"/>
      <w:r>
        <w:t>Part 5 — Position Sizing</w:t>
      </w:r>
      <w:bookmarkEnd w:id="71"/>
    </w:p>
    <w:p w14:paraId="00514E63" w14:textId="77777777" w:rsidR="001E38B7" w:rsidRPr="00682571" w:rsidRDefault="001E38B7" w:rsidP="00281819">
      <w:pPr>
        <w:numPr>
          <w:ilvl w:val="0"/>
          <w:numId w:val="27"/>
        </w:numPr>
      </w:pPr>
      <w:r>
        <w:t xml:space="preserve">No </w:t>
      </w:r>
      <w:r>
        <w:rPr>
          <w:b/>
          <w:bCs/>
        </w:rPr>
        <w:t>single position</w:t>
      </w:r>
      <w:r>
        <w:t xml:space="preserve"> shall </w:t>
      </w:r>
      <w:r>
        <w:rPr>
          <w:u w:val="single"/>
        </w:rPr>
        <w:t xml:space="preserve">exceed </w:t>
      </w:r>
      <w:r>
        <w:rPr>
          <w:b/>
          <w:bCs/>
          <w:u w:val="single"/>
        </w:rPr>
        <w:t xml:space="preserve">8% </w:t>
      </w:r>
      <w:r>
        <w:rPr>
          <w:u w:val="single"/>
        </w:rPr>
        <w:t>of portfolio at cost</w:t>
      </w:r>
      <w:r>
        <w:t>.</w:t>
      </w:r>
    </w:p>
    <w:p w14:paraId="4A38D82C" w14:textId="77777777" w:rsidR="001E38B7" w:rsidRPr="00682571" w:rsidRDefault="001E38B7" w:rsidP="00281819">
      <w:pPr>
        <w:numPr>
          <w:ilvl w:val="0"/>
          <w:numId w:val="27"/>
        </w:numPr>
      </w:pPr>
      <w:r>
        <w:t xml:space="preserve">No </w:t>
      </w:r>
      <w:r>
        <w:rPr>
          <w:b/>
          <w:bCs/>
        </w:rPr>
        <w:t>single sector</w:t>
      </w:r>
      <w:r>
        <w:t xml:space="preserve"> shall </w:t>
      </w:r>
      <w:r>
        <w:rPr>
          <w:u w:val="single"/>
        </w:rPr>
        <w:t xml:space="preserve">exceed </w:t>
      </w:r>
      <w:r>
        <w:rPr>
          <w:b/>
          <w:bCs/>
          <w:u w:val="single"/>
        </w:rPr>
        <w:t>25%</w:t>
      </w:r>
      <w:r>
        <w:rPr>
          <w:u w:val="single"/>
        </w:rPr>
        <w:t xml:space="preserve"> of portfolio</w:t>
      </w:r>
      <w:r>
        <w:t>.</w:t>
      </w:r>
      <w:r>
        <w:t xml:space="preserve"> Measure it at market value, on direct holdings (exchange-traded funds are not looked through).</w:t>
      </w:r>
    </w:p>
    <w:p w14:paraId="01C9F046" w14:textId="77777777" w:rsidR="001E38B7" w:rsidRPr="00682571" w:rsidRDefault="001E38B7" w:rsidP="00281819">
      <w:pPr>
        <w:numPr>
          <w:ilvl w:val="0"/>
          <w:numId w:val="27"/>
        </w:numPr>
      </w:pPr>
      <w:r>
        <w:t xml:space="preserve">A </w:t>
      </w:r>
      <w:r>
        <w:rPr>
          <w:u w:val="single"/>
        </w:rPr>
        <w:t xml:space="preserve">minimum of 12 </w:t>
      </w:r>
      <w:r>
        <w:rPr>
          <w:b/>
          <w:bCs/>
          <w:u w:val="single"/>
        </w:rPr>
        <w:t>qualifying</w:t>
      </w:r>
      <w:r>
        <w:rPr>
          <w:u w:val="single"/>
        </w:rPr>
        <w:t xml:space="preserve"> positions</w:t>
      </w:r>
      <w:r>
        <w:t xml:space="preserve"> shall be maintained in a fully invested portfolio. (12 is a floor, not guarantee).</w:t>
      </w:r>
    </w:p>
    <w:p w14:paraId="3B135897" w14:textId="77777777" w:rsidR="001E38B7" w:rsidRPr="00682571" w:rsidRDefault="001E38B7" w:rsidP="00281819">
      <w:pPr>
        <w:numPr>
          <w:ilvl w:val="0"/>
          <w:numId w:val="27"/>
        </w:numPr>
      </w:pPr>
      <w:r>
        <w:rPr>
          <w:b/>
          <w:bCs/>
        </w:rPr>
        <w:t>Cash allocation</w:t>
      </w:r>
      <w:r>
        <w:t xml:space="preserve"> shall be always maintained between </w:t>
      </w:r>
      <w:r>
        <w:rPr>
          <w:b/>
          <w:bCs/>
        </w:rPr>
        <w:t xml:space="preserve">5% - 15%</w:t>
      </w:r>
      <w:r>
        <w:t xml:space="preserve">, for </w:t>
      </w:r>
      <w:r>
        <w:rPr>
          <w:b/>
          <w:bCs/>
        </w:rPr>
        <w:t>dry powder</w:t>
      </w:r>
      <w:r>
        <w:t xml:space="preserve"> and </w:t>
      </w:r>
      <w:r>
        <w:rPr>
          <w:b/>
          <w:bCs/>
        </w:rPr>
        <w:t>risk management</w:t>
      </w:r>
      <w:r>
        <w:t>.</w:t>
      </w:r>
    </w:p>
    <w:p w14:paraId="703A644F" w14:textId="77777777" w:rsidR="001E38B7" w:rsidRPr="00682571" w:rsidRDefault="001E38B7" w:rsidP="00281819">
      <w:pPr>
        <w:numPr>
          <w:ilvl w:val="0"/>
          <w:numId w:val="27"/>
        </w:numPr>
      </w:pPr>
      <w:r>
        <w:t xml:space="preserve">If </w:t>
      </w:r>
      <w:r>
        <w:rPr>
          <w:u w:val="single"/>
        </w:rPr>
        <w:t xml:space="preserve">fewer than 12 qualifying candidates</w:t>
      </w:r>
      <w:r>
        <w:t xml:space="preserve"> (</w:t>
      </w:r>
      <w:r>
        <w:rPr>
          <w:b/>
          <w:bCs/>
        </w:rPr>
        <w:t>Composite Score ≥65</w:t>
      </w:r>
      <w:r>
        <w:t xml:space="preserve">) are available, </w:t>
      </w:r>
      <w:r>
        <w:rPr>
          <w:u w:val="single"/>
        </w:rPr>
        <w:t>do not lower the scoring threshold</w:t>
      </w:r>
      <w:r>
        <w:t xml:space="preserve"> to achieve full investment. Hold the difference in cash. Forcing positions below the threshold to reach a target number of holdings is a systematic error that degrades long-term performance.</w:t>
      </w:r>
    </w:p>
    <w:p w14:paraId="0B27182C" w14:textId="77777777" w:rsidR="001E38B7" w:rsidRPr="00682571" w:rsidRDefault="001E38B7" w:rsidP="00281819">
      <w:pPr>
        <w:numPr>
          <w:ilvl w:val="0"/>
          <w:numId w:val="27"/>
        </w:numPr>
      </w:pPr>
      <w:r>
        <w:t xml:space="preserve">For </w:t>
      </w:r>
      <w:r>
        <w:rPr>
          <w:b/>
          <w:bCs/>
        </w:rPr>
        <w:t>nonfinancial operating companies</w:t>
      </w:r>
      <w:r>
        <w:t xml:space="preserve">, </w:t>
      </w:r>
      <w:r>
        <w:rPr>
          <w:b/>
          <w:bCs/>
        </w:rPr>
        <w:t>Debt/FCF</w:t>
      </w:r>
      <w:r>
        <w:t xml:space="preserve"> above 5x caps the </w:t>
      </w:r>
      <w:r>
        <w:rPr>
          <w:b/>
          <w:bCs/>
        </w:rPr>
        <w:t>Composite Score at 65</w:t>
      </w:r>
      <w:r>
        <w:t xml:space="preserve">, preventing a </w:t>
      </w:r>
      <w:r>
        <w:rPr>
          <w:b/>
          <w:bCs/>
        </w:rPr>
        <w:t>Strong Buy</w:t>
      </w:r>
      <w:r>
        <w:t xml:space="preserve"> classification. The −1% sizing modifier above for </w:t>
      </w:r>
      <w:r>
        <w:rPr>
          <w:b/>
          <w:bCs/>
        </w:rPr>
        <w:t>Debt/FCF</w:t>
      </w:r>
      <w:r>
        <w:t xml:space="preserve"> above 4x remains in effect below this threshold. </w:t>
        <w:br/>
        <w:t xml:space="preserve">For </w:t>
      </w:r>
      <w:r>
        <w:rPr>
          <w:b/>
          <w:bCs/>
        </w:rPr>
        <w:t>financials and other businesses</w:t>
      </w:r>
      <w:r>
        <w:t xml:space="preserve"> where </w:t>
      </w:r>
      <w:r>
        <w:rPr>
          <w:b/>
          <w:bCs/>
        </w:rPr>
        <w:t>Debt/FCF</w:t>
      </w:r>
      <w:r>
        <w:t xml:space="preserve"> is not meaningful, use the </w:t>
      </w:r>
      <w:r>
        <w:rPr>
          <w:b/>
          <w:bCs/>
        </w:rPr>
        <w:t>Part 10 balance-sheet substitute</w:t>
      </w:r>
      <w:r>
        <w:t>.</w:t>
      </w:r>
    </w:p>
    <w:p w14:paraId="75D711FE" w14:textId="77777777" w:rsidR="001E38B7" w:rsidRPr="00682571" w:rsidRDefault="001E38B7" w:rsidP="00281819">
      <w:pPr>
        <w:keepLines/>
        <w:numPr>
          <w:ilvl w:val="0"/>
          <w:numId w:val="27"/>
        </w:numPr>
      </w:pPr>
      <w:r>
        <w:lastRenderedPageBreak/>
        <w:t xml:space="preserve">Use </w:t>
      </w:r>
      <w:r>
        <w:rPr>
          <w:b/>
          <w:bCs/>
        </w:rPr>
        <w:t>5-year weekly beta</w:t>
      </w:r>
      <w:r>
        <w:t xml:space="preserve"> where available and </w:t>
      </w:r>
      <w:r>
        <w:rPr>
          <w:b/>
          <w:bCs/>
        </w:rPr>
        <w:t>2-year weekly</w:t>
      </w:r>
      <w:r>
        <w:t xml:space="preserve"> beta as fallback. </w:t>
        <w:br/>
      </w:r>
      <w:r>
        <w:rPr>
          <w:u w:val="single"/>
        </w:rPr>
        <w:t>Reduce the maximum full-position size</w:t>
      </w:r>
      <w:r>
        <w:t xml:space="preserve"> by </w:t>
      </w:r>
      <w:r>
        <w:rPr>
          <w:b/>
          <w:bCs/>
        </w:rPr>
        <w:t xml:space="preserve">1% for beta 1.40–1.59</w:t>
      </w:r>
      <w:r>
        <w:t xml:space="preserve"> and by </w:t>
      </w:r>
      <w:r>
        <w:rPr>
          <w:b/>
          <w:bCs/>
        </w:rPr>
        <w:t xml:space="preserve">2% for beta 1.60 or higher</w:t>
      </w:r>
      <w:r>
        <w:t xml:space="preserve">. </w:t>
        <w:br/>
        <w:t xml:space="preserve">Total beta </w:t>
      </w:r>
      <w:r>
        <w:rPr>
          <w:b/>
          <w:bCs/>
        </w:rPr>
        <w:t>adjustment is capped at 2%</w:t>
      </w:r>
      <w:r>
        <w:t xml:space="preserve">. Beta is a sizing input only – investigate material disagreement across data sources and assign </w:t>
      </w:r>
      <w:r>
        <w:rPr>
          <w:b/>
          <w:bCs/>
        </w:rPr>
        <w:t>Low Confidence</w:t>
      </w:r>
      <w:r>
        <w:t xml:space="preserve"> when no reliable estimate exists.</w:t>
      </w:r>
    </w:p>
    <w:p w14:paraId="56DA3E73" w14:textId="77777777" w:rsidR="001E38B7" w:rsidRPr="00682571" w:rsidRDefault="001E38B7" w:rsidP="00682571">
      <w:pPr>
        <w:pStyle w:val="Heading2"/>
        <w:pBdr>
          <w:top w:val="single" w:sz="4" w:space="1" w:color="auto"/>
        </w:pBdr>
      </w:pPr>
      <w:bookmarkStart w:id="72" w:name="_Toc236827017"/>
      <w:r>
        <w:t>Part 6 — Exit &amp; Sell Discipline</w:t>
      </w:r>
      <w:bookmarkEnd w:id="72"/>
    </w:p>
    <w:p w14:paraId="0D9AA150" w14:textId="77777777" w:rsidR="00546D78" w:rsidRPr="00072631" w:rsidRDefault="00546D78" w:rsidP="00072631">
      <w:pPr>
        <w:spacing w:before="120"/>
        <w:rPr>
          <w:b/>
          <w:bCs/>
          <w:i/>
          <w:iCs/>
          <w:sz w:val="22"/>
          <w:szCs w:val="22"/>
        </w:rPr>
      </w:pPr>
      <w:r>
        <w:rPr>
          <w:b/>
          <w:bCs/>
          <w:i/>
          <w:iCs/>
          <w:sz w:val="22"/>
          <w:szCs w:val="22"/>
        </w:rPr>
        <w:t>Sell Triggers — Fundamental (act within 30 days of confirmation)</w:t>
      </w:r>
    </w:p>
    <w:p w14:paraId="002B443F" w14:textId="77777777" w:rsidR="001E38B7" w:rsidRPr="00682571" w:rsidRDefault="001E38B7" w:rsidP="00281819">
      <w:pPr>
        <w:numPr>
          <w:ilvl w:val="0"/>
          <w:numId w:val="27"/>
        </w:numPr>
      </w:pPr>
      <w:r>
        <w:rPr>
          <w:b/>
          <w:bCs/>
        </w:rPr>
        <w:t xml:space="preserve">FCF Yield &amp; Trend </w:t>
      </w:r>
      <w:r>
        <w:t xml:space="preserve">falls to </w:t>
      </w:r>
      <w:r>
        <w:rPr>
          <w:u w:val="single"/>
        </w:rPr>
        <w:t>1 for two consecutive quarters</w:t>
      </w:r>
      <w:r>
        <w:t>.</w:t>
      </w:r>
    </w:p>
    <w:p w14:paraId="16E5D19F" w14:textId="77777777" w:rsidR="001E38B7" w:rsidRPr="00682571" w:rsidRDefault="001E38B7" w:rsidP="00281819">
      <w:pPr>
        <w:numPr>
          <w:ilvl w:val="0"/>
          <w:numId w:val="27"/>
        </w:numPr>
      </w:pPr>
      <w:r>
        <w:rPr>
          <w:b/>
          <w:bCs/>
        </w:rPr>
        <w:t>Competitive Moat</w:t>
      </w:r>
      <w:r>
        <w:t xml:space="preserve"> </w:t>
      </w:r>
      <w:r>
        <w:rPr>
          <w:u w:val="single"/>
        </w:rPr>
        <w:t>degrades from durable to absent</w:t>
      </w:r>
      <w:r>
        <w:t>.</w:t>
      </w:r>
    </w:p>
    <w:p w14:paraId="09A7851A" w14:textId="77777777" w:rsidR="001E38B7" w:rsidRPr="00682571" w:rsidRDefault="001E38B7" w:rsidP="00281819">
      <w:pPr>
        <w:numPr>
          <w:ilvl w:val="0"/>
          <w:numId w:val="27"/>
        </w:numPr>
      </w:pPr>
      <w:r>
        <w:rPr>
          <w:b/>
          <w:bCs/>
        </w:rPr>
        <w:t>ROIC</w:t>
      </w:r>
      <w:r>
        <w:t xml:space="preserve"> falls </w:t>
      </w:r>
      <w:r>
        <w:rPr>
          <w:u w:val="single"/>
        </w:rPr>
        <w:t xml:space="preserve">below </w:t>
      </w:r>
      <w:r>
        <w:rPr>
          <w:b/>
          <w:bCs/>
          <w:u w:val="single"/>
        </w:rPr>
        <w:t>WACC</w:t>
      </w:r>
      <w:r>
        <w:rPr>
          <w:u w:val="single"/>
        </w:rPr>
        <w:t xml:space="preserve"> for two consecutive years</w:t>
      </w:r>
      <w:r>
        <w:t>.</w:t>
      </w:r>
    </w:p>
    <w:p w14:paraId="7AA9EB19" w14:textId="77777777" w:rsidR="001E38B7" w:rsidRPr="00682571" w:rsidRDefault="001E38B7" w:rsidP="00281819">
      <w:pPr>
        <w:numPr>
          <w:ilvl w:val="0"/>
          <w:numId w:val="27"/>
        </w:numPr>
      </w:pPr>
      <w:r>
        <w:rPr>
          <w:b/>
          <w:bCs/>
        </w:rPr>
        <w:t>Management quality</w:t>
      </w:r>
      <w:r>
        <w:t xml:space="preserve"> </w:t>
      </w:r>
      <w:r>
        <w:rPr>
          <w:u w:val="single"/>
        </w:rPr>
        <w:t xml:space="preserve">falls to 1 because of </w:t>
      </w:r>
      <w:r>
        <w:rPr>
          <w:b/>
          <w:bCs/>
          <w:u w:val="single"/>
        </w:rPr>
        <w:t>destructive capital allocation</w:t>
      </w:r>
      <w:r>
        <w:t>.</w:t>
      </w:r>
    </w:p>
    <w:p w14:paraId="63AD1A5E" w14:textId="77777777" w:rsidR="001E38B7" w:rsidRDefault="001E38B7" w:rsidP="00281819">
      <w:pPr>
        <w:numPr>
          <w:ilvl w:val="0"/>
          <w:numId w:val="27"/>
        </w:numPr>
      </w:pPr>
      <w:r>
        <w:rPr>
          <w:b/>
          <w:bCs/>
        </w:rPr>
        <w:t>Revenue growth</w:t>
      </w:r>
      <w:r>
        <w:t xml:space="preserve"> </w:t>
      </w:r>
      <w:r>
        <w:rPr>
          <w:u w:val="single"/>
        </w:rPr>
        <w:t>turns negative for two consecutive quarters</w:t>
      </w:r>
      <w:r>
        <w:t xml:space="preserve"> without a credible cyclical explanation (see </w:t>
      </w:r>
      <w:r>
        <w:rPr>
          <w:b/>
          <w:bCs/>
        </w:rPr>
        <w:t>Part 4, Cyclical Business Adjustment</w:t>
      </w:r>
      <w:r>
        <w:t xml:space="preserve"> — documented cycle rationale applies here equally).</w:t>
      </w:r>
    </w:p>
    <w:p w14:paraId="02D976F9" w14:textId="77777777" w:rsidR="00546D78" w:rsidRPr="00072631" w:rsidRDefault="00546D78" w:rsidP="00072631">
      <w:pPr>
        <w:spacing w:before="120"/>
        <w:rPr>
          <w:b/>
          <w:bCs/>
          <w:i/>
          <w:iCs/>
          <w:sz w:val="22"/>
          <w:szCs w:val="22"/>
        </w:rPr>
      </w:pPr>
      <w:r>
        <w:rPr>
          <w:b/>
          <w:bCs/>
          <w:i/>
          <w:iCs/>
          <w:sz w:val="22"/>
          <w:szCs w:val="22"/>
        </w:rPr>
        <w:t>Sell Triggers — Valuation (trim or sell when price exceeds intrinsic value)</w:t>
      </w:r>
    </w:p>
    <w:p w14:paraId="6BB5D45E" w14:textId="77777777" w:rsidR="001E38B7" w:rsidRPr="00682571" w:rsidRDefault="001E38B7" w:rsidP="00281819">
      <w:pPr>
        <w:numPr>
          <w:ilvl w:val="0"/>
          <w:numId w:val="27"/>
        </w:numPr>
      </w:pPr>
      <w:r>
        <w:rPr>
          <w:b/>
          <w:bCs/>
        </w:rPr>
        <w:t>Debt-to-FCF</w:t>
      </w:r>
      <w:r>
        <w:t xml:space="preserve"> </w:t>
      </w:r>
      <w:r>
        <w:rPr>
          <w:u w:val="single"/>
        </w:rPr>
        <w:t>exceeds 6x</w:t>
      </w:r>
      <w:r>
        <w:t xml:space="preserve"> with no credible deleveraging path.</w:t>
      </w:r>
    </w:p>
    <w:p w14:paraId="39A116E8" w14:textId="77777777" w:rsidR="001E38B7" w:rsidRPr="00682571" w:rsidRDefault="001E38B7" w:rsidP="00281819">
      <w:pPr>
        <w:numPr>
          <w:ilvl w:val="0"/>
          <w:numId w:val="27"/>
        </w:numPr>
      </w:pPr>
      <w:r>
        <w:rPr>
          <w:b/>
          <w:bCs/>
        </w:rPr>
        <w:t>P/FCF</w:t>
      </w:r>
      <w:r>
        <w:t xml:space="preserve"> </w:t>
      </w:r>
      <w:r>
        <w:rPr>
          <w:u w:val="single"/>
        </w:rPr>
        <w:t>rises above 50x</w:t>
      </w:r>
      <w:r>
        <w:t xml:space="preserve"> while </w:t>
      </w:r>
      <w:r>
        <w:rPr>
          <w:b/>
          <w:bCs/>
        </w:rPr>
        <w:t>FCF growth</w:t>
      </w:r>
      <w:r>
        <w:t xml:space="preserve"> is </w:t>
      </w:r>
      <w:r>
        <w:rPr>
          <w:u w:val="single"/>
        </w:rPr>
        <w:t>below 15%.</w:t>
      </w:r>
    </w:p>
    <w:p w14:paraId="73F89D51" w14:textId="77777777" w:rsidR="001E38B7" w:rsidRPr="00682571" w:rsidRDefault="001E38B7" w:rsidP="00281819">
      <w:pPr>
        <w:numPr>
          <w:ilvl w:val="0"/>
          <w:numId w:val="27"/>
        </w:numPr>
      </w:pPr>
      <w:r>
        <w:t xml:space="preserve">Implied </w:t>
      </w:r>
      <w:r>
        <w:rPr>
          <w:b/>
          <w:bCs/>
        </w:rPr>
        <w:t>5-year annualized return</w:t>
      </w:r>
      <w:r>
        <w:t xml:space="preserve"> </w:t>
      </w:r>
      <w:r>
        <w:rPr>
          <w:u w:val="single"/>
        </w:rPr>
        <w:t>falls below 7%.</w:t>
      </w:r>
    </w:p>
    <w:p w14:paraId="23B820DE" w14:textId="77777777" w:rsidR="001E38B7" w:rsidRPr="00682571" w:rsidRDefault="001E38B7" w:rsidP="00281819">
      <w:pPr>
        <w:numPr>
          <w:ilvl w:val="0"/>
          <w:numId w:val="27"/>
        </w:numPr>
      </w:pPr>
      <w:r>
        <w:rPr>
          <w:b/>
          <w:bCs/>
        </w:rPr>
        <w:t>Position size</w:t>
      </w:r>
      <w:r>
        <w:t xml:space="preserve"> grows </w:t>
      </w:r>
      <w:r>
        <w:rPr>
          <w:u w:val="single"/>
        </w:rPr>
        <w:t>above the maximum full position</w:t>
      </w:r>
      <w:r>
        <w:t xml:space="preserve"> because of appreciation.</w:t>
      </w:r>
    </w:p>
    <w:p w14:paraId="69D1A276" w14:textId="77777777" w:rsidR="001E38B7" w:rsidRPr="00682571" w:rsidRDefault="001E38B7" w:rsidP="00281819">
      <w:pPr>
        <w:numPr>
          <w:ilvl w:val="0"/>
          <w:numId w:val="27"/>
        </w:numPr>
        <w:ind w:right="-162"/>
      </w:pPr>
      <w:r>
        <w:t xml:space="preserve">A re-score from </w:t>
      </w:r>
      <w:r>
        <w:rPr>
          <w:b/>
          <w:bCs/>
        </w:rPr>
        <w:t>Strong Buy</w:t>
      </w:r>
      <w:r>
        <w:t xml:space="preserve"> to </w:t>
      </w:r>
      <w:r>
        <w:rPr>
          <w:b/>
          <w:bCs/>
        </w:rPr>
        <w:t>Buy</w:t>
      </w:r>
      <w:r>
        <w:t xml:space="preserve"> requires trimming </w:t>
      </w:r>
      <w:r>
        <w:rPr>
          <w:u w:val="single"/>
        </w:rPr>
        <w:t xml:space="preserve">only to the </w:t>
      </w:r>
      <w:r>
        <w:rPr>
          <w:b/>
          <w:bCs/>
          <w:u w:val="single"/>
        </w:rPr>
        <w:t>Buy</w:t>
      </w:r>
      <w:r>
        <w:rPr>
          <w:u w:val="single"/>
        </w:rPr>
        <w:t xml:space="preserve"> maximum full position within 30 days</w:t>
      </w:r>
      <w:r>
        <w:t xml:space="preserve">. </w:t>
        <w:br/>
        <w:t xml:space="preserve">A re-score to </w:t>
      </w:r>
      <w:r>
        <w:rPr>
          <w:b/>
          <w:bCs/>
        </w:rPr>
        <w:t>Watch List</w:t>
      </w:r>
      <w:r>
        <w:t xml:space="preserve"> (50–64) </w:t>
      </w:r>
      <w:r>
        <w:rPr>
          <w:u w:val="single"/>
        </w:rPr>
        <w:t>does not force an immediate sale</w:t>
      </w:r>
      <w:r>
        <w:t xml:space="preserve"> – additions stop, 90-day review process below begins. </w:t>
        <w:br/>
      </w:r>
      <w:r>
        <w:rPr>
          <w:b/>
          <w:bCs/>
        </w:rPr>
        <w:t>Scores below 50</w:t>
      </w:r>
      <w:r>
        <w:t xml:space="preserve"> </w:t>
      </w:r>
      <w:r>
        <w:rPr>
          <w:u w:val="single"/>
        </w:rPr>
        <w:t>follow the rules immediately below</w:t>
      </w:r>
      <w:r>
        <w:t>.</w:t>
      </w:r>
    </w:p>
    <w:p w14:paraId="2A528374" w14:textId="77777777" w:rsidR="001E38B7" w:rsidRPr="00682571" w:rsidRDefault="001E38B7" w:rsidP="00281819">
      <w:pPr>
        <w:numPr>
          <w:ilvl w:val="0"/>
          <w:numId w:val="27"/>
        </w:numPr>
      </w:pPr>
      <w:r>
        <w:t xml:space="preserve">If the </w:t>
      </w:r>
      <w:r>
        <w:rPr>
          <w:b/>
          <w:bCs/>
        </w:rPr>
        <w:t>Composite Score</w:t>
      </w:r>
      <w:r>
        <w:t xml:space="preserve"> </w:t>
      </w:r>
      <w:r>
        <w:rPr>
          <w:u w:val="single"/>
        </w:rPr>
        <w:t>falls to 35–49</w:t>
      </w:r>
      <w:r>
        <w:t xml:space="preserve">, classify the holding as </w:t>
      </w:r>
      <w:r>
        <w:rPr>
          <w:b/>
          <w:bCs/>
        </w:rPr>
        <w:t>Exit Review</w:t>
      </w:r>
      <w:r>
        <w:t xml:space="preserve"> and establish a dated </w:t>
      </w:r>
      <w:r>
        <w:rPr>
          <w:b/>
          <w:bCs/>
        </w:rPr>
        <w:t>90-day remediation plan</w:t>
      </w:r>
      <w:r>
        <w:t xml:space="preserve"> only when a credible, specifically documented path back to at least 50 exists; otherwise </w:t>
      </w:r>
      <w:r>
        <w:rPr>
          <w:b/>
          <w:bCs/>
        </w:rPr>
        <w:t>sell within 30 days</w:t>
      </w:r>
      <w:r>
        <w:t>.</w:t>
      </w:r>
    </w:p>
    <w:p w14:paraId="3A89B2E9" w14:textId="77777777" w:rsidR="001E38B7" w:rsidRPr="00682571" w:rsidRDefault="001E38B7" w:rsidP="00281819">
      <w:pPr>
        <w:numPr>
          <w:ilvl w:val="0"/>
          <w:numId w:val="27"/>
        </w:numPr>
      </w:pPr>
      <w:r>
        <w:t xml:space="preserve">A </w:t>
      </w:r>
      <w:r>
        <w:rPr>
          <w:b/>
          <w:bCs/>
        </w:rPr>
        <w:t>holding scored 50–64</w:t>
      </w:r>
      <w:r>
        <w:t xml:space="preserve"> is a </w:t>
      </w:r>
      <w:r>
        <w:rPr>
          <w:b/>
          <w:bCs/>
        </w:rPr>
        <w:t>Probationary Hold</w:t>
      </w:r>
      <w:r>
        <w:t xml:space="preserve">: no additions are permitted and a </w:t>
      </w:r>
      <w:r>
        <w:rPr>
          <w:u w:val="single"/>
        </w:rPr>
        <w:t>90-day re-score is required</w:t>
      </w:r>
      <w:r>
        <w:t xml:space="preserve">. </w:t>
        <w:br/>
        <w:t xml:space="preserve">If it </w:t>
      </w:r>
      <w:r>
        <w:rPr>
          <w:b/>
          <w:bCs/>
        </w:rPr>
        <w:t>falls below 50</w:t>
      </w:r>
      <w:r>
        <w:t xml:space="preserve">, </w:t>
      </w:r>
      <w:r>
        <w:rPr>
          <w:u w:val="single"/>
        </w:rPr>
        <w:t>apply the preceding rule</w:t>
      </w:r>
      <w:r>
        <w:t xml:space="preserve">. </w:t>
        <w:br/>
        <w:t xml:space="preserve">An approved </w:t>
      </w:r>
      <w:r>
        <w:rPr>
          <w:b/>
          <w:bCs/>
        </w:rPr>
        <w:t>Exit Review</w:t>
      </w:r>
      <w:r>
        <w:t xml:space="preserve"> holding that has not returned to at least 50 by its 90-day deadline must be sold within 30 days; no extension is permitted.</w:t>
      </w:r>
    </w:p>
    <w:p w14:paraId="3A89B2E9" w14:textId="77777777" w:rsidR="001E38B7" w:rsidRPr="00682571" w:rsidRDefault="001E38B7" w:rsidP="00281819">
      <w:pPr>
        <w:numPr>
          <w:ilvl w:val="0"/>
          <w:numId w:val="27"/>
        </w:numPr>
      </w:pPr>
      <w:r>
        <w:rPr>
          <w:b/>
        </w:rPr>
        <w:t>Early Partial Trim</w:t>
      </w:r>
      <w:r>
        <w:rPr/>
        <w:t xml:space="preserve"> (Probationary Hold only): if, before the 90-day re-score, the same Tier 1 or Tier 2 indicator(s) that caused entry are </w:t>
      </w:r>
      <w:r>
        <w:rPr>
          <w:b/>
        </w:rPr>
        <w:t>reconfirmed unimproved or worse</w:t>
      </w:r>
      <w:r>
        <w:rPr/>
        <w:t xml:space="preserve"> by a new filing, scheduled re-score, or equivalent documented evidence, </w:t>
      </w:r>
      <w:r>
        <w:rPr>
          <w:u w:val="single"/>
        </w:rPr>
        <w:t>trim the position by one-third</w:t>
      </w:r>
      <w:r>
        <w:rPr/>
        <w:t xml:space="preserve"> of the share count held at entry.</w:t>
      </w:r>
      <w:r>
        <w:br/>
      </w:r>
      <w:r>
        <w:rPr>
          <w:b/>
        </w:rPr>
        <w:t>This may recur up to twice more</w:t>
      </w:r>
      <w:r>
        <w:rPr/>
        <w:t xml:space="preserve"> in the same 90-day window on further reconfirmation, for a maximum of </w:t>
      </w:r>
      <w:r>
        <w:rPr>
          <w:u w:val="single"/>
        </w:rPr>
        <w:t>three trims (full liquidation in the worst case)</w:t>
      </w:r>
      <w:r>
        <w:rPr/>
        <w:t>.</w:t>
      </w:r>
      <w:r>
        <w:br/>
      </w:r>
      <w:r>
        <w:rPr>
          <w:u w:val="single"/>
        </w:rPr>
        <w:t>Trims already taken are not reversed by a later recovery</w:t>
      </w:r>
      <w:r>
        <w:rPr/>
        <w:t xml:space="preserve">; recovery to 65 or above ends further trims under this rule. Does not apply to price movement alone — an unconfirmed decline remains governed by </w:t>
      </w:r>
      <w:r>
        <w:rPr>
          <w:b/>
        </w:rPr>
        <w:t>Hold Through</w:t>
      </w:r>
      <w:r>
        <w:rPr/>
        <w:t>, above.</w:t>
      </w:r>
    </w:p>
    <w:p w14:paraId="4FA17035" w14:textId="77777777" w:rsidR="001E38B7" w:rsidRDefault="001E38B7" w:rsidP="00281819">
      <w:pPr>
        <w:numPr>
          <w:ilvl w:val="0"/>
          <w:numId w:val="27"/>
        </w:numPr>
      </w:pPr>
      <w:r>
        <w:t xml:space="preserve">If the </w:t>
      </w:r>
      <w:r>
        <w:rPr>
          <w:b/>
          <w:bCs/>
        </w:rPr>
        <w:t>Composite Score</w:t>
      </w:r>
      <w:r>
        <w:t xml:space="preserve"> </w:t>
      </w:r>
      <w:r>
        <w:rPr>
          <w:u w:val="single"/>
        </w:rPr>
        <w:t>falls below 35</w:t>
      </w:r>
      <w:r>
        <w:t xml:space="preserve">, </w:t>
      </w:r>
      <w:r>
        <w:rPr>
          <w:b/>
          <w:bCs/>
        </w:rPr>
        <w:t>sell within 30 days</w:t>
      </w:r>
      <w:r>
        <w:t xml:space="preserve"> unless a more urgent fundamental trigger requires earlier action.</w:t>
      </w:r>
    </w:p>
    <w:p w14:paraId="7F5A79BE" w14:textId="77777777" w:rsidR="00072631" w:rsidRPr="00072631" w:rsidRDefault="00072631" w:rsidP="00072631">
      <w:pPr>
        <w:spacing w:before="120"/>
        <w:rPr>
          <w:b/>
          <w:bCs/>
          <w:i/>
          <w:iCs/>
          <w:sz w:val="22"/>
          <w:szCs w:val="22"/>
        </w:rPr>
      </w:pPr>
      <w:r>
        <w:rPr>
          <w:b/>
          <w:bCs/>
          <w:i/>
          <w:iCs/>
          <w:sz w:val="22"/>
          <w:szCs w:val="22"/>
        </w:rPr>
        <w:t>Opportunity-Cost Replacement</w:t>
      </w:r>
    </w:p>
    <w:p w14:paraId="4CFD5BB8" w14:textId="77777777" w:rsidR="000C3002" w:rsidRDefault="001E38B7" w:rsidP="00281819">
      <w:pPr>
        <w:numPr>
          <w:ilvl w:val="0"/>
          <w:numId w:val="27"/>
        </w:numPr>
        <w:spacing w:after="0"/>
      </w:pPr>
      <w:r>
        <w:t xml:space="preserve">A lower-ranked holding may be replaced only when all conditions are met: </w:t>
      </w:r>
    </w:p>
    <w:p w14:paraId="2EB478B0" w14:textId="77777777" w:rsidR="000C3002" w:rsidRDefault="001E38B7" w:rsidP="00546D78">
      <w:pPr>
        <w:pStyle w:val="ListParagraph"/>
        <w:numPr>
          <w:ilvl w:val="0"/>
          <w:numId w:val="21"/>
        </w:numPr>
        <w:spacing w:after="0"/>
      </w:pPr>
      <w:r>
        <w:t xml:space="preserve">the </w:t>
      </w:r>
      <w:r>
        <w:rPr>
          <w:u w:val="single"/>
        </w:rPr>
        <w:t>new opportunity clears</w:t>
      </w:r>
      <w:r>
        <w:t xml:space="preserve"> the </w:t>
      </w:r>
      <w:r>
        <w:rPr>
          <w:b/>
          <w:bCs/>
        </w:rPr>
        <w:t>Entry Checklist</w:t>
      </w:r>
      <w:r>
        <w:t xml:space="preserve"> and </w:t>
      </w:r>
      <w:r>
        <w:rPr>
          <w:b/>
          <w:bCs/>
        </w:rPr>
        <w:t>Valuation Ceiling</w:t>
      </w:r>
      <w:r>
        <w:t xml:space="preserve"> (</w:t>
      </w:r>
      <w:r>
        <w:rPr>
          <w:b/>
          <w:bCs/>
        </w:rPr>
        <w:t>Part 4</w:t>
      </w:r>
      <w:r>
        <w:t xml:space="preserve">); </w:t>
      </w:r>
    </w:p>
    <w:p w14:paraId="5C86BF6B" w14:textId="77777777" w:rsidR="000C3002" w:rsidRDefault="001E38B7" w:rsidP="00546D78">
      <w:pPr>
        <w:pStyle w:val="ListParagraph"/>
        <w:numPr>
          <w:ilvl w:val="0"/>
          <w:numId w:val="21"/>
        </w:numPr>
        <w:spacing w:after="0"/>
      </w:pPr>
      <w:r>
        <w:t xml:space="preserve">the score </w:t>
      </w:r>
      <w:r>
        <w:rPr>
          <w:b/>
          <w:bCs/>
        </w:rPr>
        <w:t>gap is at least 15 points</w:t>
      </w:r>
      <w:r>
        <w:t xml:space="preserve"> </w:t>
      </w:r>
      <w:r>
        <w:rPr>
          <w:u w:val="single"/>
        </w:rPr>
        <w:t>across two consecutive quarterly re-scores</w:t>
      </w:r>
      <w:r>
        <w:t xml:space="preserve">; </w:t>
      </w:r>
    </w:p>
    <w:p w14:paraId="386A50A7" w14:textId="77777777" w:rsidR="000C3002" w:rsidRDefault="001E38B7" w:rsidP="00546D78">
      <w:pPr>
        <w:pStyle w:val="ListParagraph"/>
        <w:numPr>
          <w:ilvl w:val="0"/>
          <w:numId w:val="21"/>
        </w:numPr>
        <w:spacing w:after="0"/>
      </w:pPr>
      <w:r>
        <w:t xml:space="preserve">the </w:t>
      </w:r>
      <w:r>
        <w:rPr>
          <w:b/>
          <w:bCs/>
        </w:rPr>
        <w:t>existing holding</w:t>
      </w:r>
      <w:r>
        <w:t xml:space="preserve"> is </w:t>
      </w:r>
      <w:r>
        <w:rPr>
          <w:u w:val="single"/>
        </w:rPr>
        <w:t xml:space="preserve">not protected by </w:t>
      </w:r>
      <w:r>
        <w:rPr>
          <w:b/>
          <w:bCs/>
          <w:u w:val="single"/>
        </w:rPr>
        <w:t>Hold Through</w:t>
      </w:r>
      <w:r>
        <w:t xml:space="preserve">; </w:t>
      </w:r>
    </w:p>
    <w:p w14:paraId="61A4D5E8" w14:textId="77777777" w:rsidR="000C3002" w:rsidRDefault="001E38B7" w:rsidP="00546D78">
      <w:pPr>
        <w:pStyle w:val="ListParagraph"/>
        <w:numPr>
          <w:ilvl w:val="0"/>
          <w:numId w:val="21"/>
        </w:numPr>
        <w:spacing w:after="0"/>
      </w:pPr>
      <w:r>
        <w:rPr>
          <w:b/>
          <w:bCs/>
        </w:rPr>
        <w:t>available cash</w:t>
      </w:r>
      <w:r>
        <w:t xml:space="preserve"> </w:t>
      </w:r>
      <w:r>
        <w:rPr>
          <w:u w:val="single"/>
        </w:rPr>
        <w:t>cannot fund the required initial size</w:t>
      </w:r>
      <w:r>
        <w:t xml:space="preserve"> or doing so would breach a hard cap; and </w:t>
      </w:r>
    </w:p>
    <w:p w14:paraId="0BAF0AD0" w14:textId="77777777" w:rsidR="001E38B7" w:rsidRPr="00682571" w:rsidRDefault="001E38B7" w:rsidP="000C3002">
      <w:pPr>
        <w:pStyle w:val="ListParagraph"/>
        <w:numPr>
          <w:ilvl w:val="0"/>
          <w:numId w:val="21"/>
        </w:numPr>
      </w:pPr>
      <w:r>
        <w:t xml:space="preserve">the </w:t>
      </w:r>
      <w:r>
        <w:rPr>
          <w:b/>
          <w:bCs/>
        </w:rPr>
        <w:t xml:space="preserve">comparison, tax effect, </w:t>
      </w:r>
      <w:r>
        <w:t xml:space="preserve">and </w:t>
      </w:r>
      <w:r>
        <w:rPr>
          <w:b/>
          <w:bCs/>
        </w:rPr>
        <w:t>capital constraint</w:t>
      </w:r>
      <w:r>
        <w:t xml:space="preserve"> are </w:t>
      </w:r>
      <w:r>
        <w:rPr>
          <w:u w:val="single"/>
        </w:rPr>
        <w:t>documented before execution</w:t>
      </w:r>
      <w:r>
        <w:t>.</w:t>
      </w:r>
    </w:p>
    <w:p w14:paraId="553E85C2" w14:textId="77777777" w:rsidR="001E38B7" w:rsidRDefault="001E38B7" w:rsidP="00281819">
      <w:pPr>
        <w:numPr>
          <w:ilvl w:val="0"/>
          <w:numId w:val="27"/>
        </w:numPr>
      </w:pPr>
      <w:r>
        <w:t xml:space="preserve">This </w:t>
      </w:r>
      <w:r>
        <w:rPr>
          <w:b/>
          <w:bCs/>
        </w:rPr>
        <w:t>opportunity-cost replacement process</w:t>
      </w:r>
      <w:r>
        <w:t xml:space="preserve"> shall not be invoked m</w:t>
      </w:r>
      <w:r>
        <w:rPr>
          <w:u w:val="single"/>
        </w:rPr>
        <w:t>ore than once per holding in any rolling 12-month period</w:t>
      </w:r>
      <w:r>
        <w:t>, to prevent compounding turnover from repeated marginal comparisons.</w:t>
      </w:r>
    </w:p>
    <w:p w14:paraId="5A9E4628" w14:textId="77777777" w:rsidR="00BD47F2" w:rsidRDefault="00BD47F2">
      <w:pPr>
        <w:rPr>
          <w:b/>
          <w:bCs/>
          <w:color w:val="1F3864"/>
          <w:sz w:val="22"/>
          <w:szCs w:val="22"/>
        </w:rPr>
      </w:pPr>
      <w:bookmarkStart w:id="73" w:name="_Toc236827018"/>
      <w:r>
        <w:br w:type="page"/>
      </w:r>
    </w:p>
    <w:p w14:paraId="04F64ED7" w14:textId="77777777" w:rsidR="001E38B7" w:rsidRDefault="001E38B7" w:rsidP="000C3002">
      <w:pPr>
        <w:pStyle w:val="Heading2"/>
        <w:pBdr>
          <w:top w:val="single" w:sz="4" w:space="1" w:color="auto"/>
        </w:pBdr>
      </w:pPr>
      <w:r>
        <w:lastRenderedPageBreak/>
        <w:t>Part 7 — Portfolio Risk Management</w:t>
      </w:r>
      <w:bookmarkEnd w:id="73"/>
    </w:p>
    <w:p w14:paraId="783B4D91" w14:textId="77777777" w:rsidR="003C0E2A" w:rsidRPr="003C0E2A" w:rsidRDefault="003C0E2A" w:rsidP="005B72F2">
      <w:pPr>
        <w:spacing w:after="0"/>
        <w:rPr>
          <w:b/>
          <w:bCs/>
          <w:i/>
          <w:iCs/>
          <w:sz w:val="22"/>
          <w:szCs w:val="22"/>
        </w:rPr>
      </w:pPr>
      <w:r>
        <w:rPr>
          <w:b/>
          <w:bCs/>
          <w:i/>
          <w:iCs/>
          <w:sz w:val="22"/>
          <w:szCs w:val="22"/>
        </w:rPr>
        <w:t>Correlation Cap</w:t>
      </w:r>
    </w:p>
    <w:p w14:paraId="161BAE1D" w14:textId="77777777" w:rsidR="001E38B7" w:rsidRDefault="001E38B7" w:rsidP="005B72F2">
      <w:pPr>
        <w:numPr>
          <w:ilvl w:val="0"/>
          <w:numId w:val="27"/>
        </w:numPr>
        <w:ind w:right="-162"/>
      </w:pPr>
      <w:r>
        <w:rPr>
          <w:b/>
          <w:bCs/>
        </w:rPr>
        <w:t xml:space="preserve">Quarterly – </w:t>
      </w:r>
      <w:r>
        <w:t xml:space="preserve"> </w:t>
      </w:r>
      <w:r>
        <w:rPr>
          <w:u w:val="single"/>
        </w:rPr>
        <w:t>calculate pairwise correlations</w:t>
      </w:r>
      <w:r>
        <w:t xml:space="preserve"> using weekly total returns over the longest common period up to 36 months, with a 24-month target and 12-month minimum. </w:t>
        <w:br/>
        <w:t xml:space="preserve">- Flag any cluster of three or more holdings with pairwise correlation above </w:t>
      </w:r>
      <w:r>
        <w:rPr>
          <w:b/>
          <w:bCs/>
        </w:rPr>
        <w:t>0.70</w:t>
      </w:r>
      <w:r>
        <w:t xml:space="preserve">, document the shared economic risk driver. </w:t>
        <w:br/>
        <w:t xml:space="preserve">- A new position that expands a flagged cluster must be initiated at </w:t>
      </w:r>
      <w:r>
        <w:rPr>
          <w:b/>
          <w:bCs/>
        </w:rPr>
        <w:t>50%</w:t>
      </w:r>
      <w:r>
        <w:t xml:space="preserve"> of normal initial size, and aggregate exposure to</w:t>
        <w:br/>
        <w:t xml:space="preserve">     that cluster shall not exceed </w:t>
      </w:r>
      <w:r>
        <w:rPr>
          <w:b/>
          <w:bCs/>
        </w:rPr>
        <w:t>20%</w:t>
      </w:r>
      <w:r>
        <w:t xml:space="preserve"> without written approval. </w:t>
        <w:br/>
        <w:t xml:space="preserve">- Correlation is a </w:t>
      </w:r>
      <w:r>
        <w:rPr>
          <w:b/>
          <w:bCs/>
        </w:rPr>
        <w:t>risk-review trigger</w:t>
      </w:r>
      <w:r>
        <w:t xml:space="preserve">, </w:t>
      </w:r>
      <w:r>
        <w:rPr>
          <w:u w:val="single"/>
        </w:rPr>
        <w:t>not an automatic forced sale</w:t>
      </w:r>
      <w:r>
        <w:t>.</w:t>
      </w:r>
    </w:p>
    <w:p w14:paraId="3EF33A5E" w14:textId="77777777" w:rsidR="003C0E2A" w:rsidRPr="003C0E2A" w:rsidRDefault="003C0E2A" w:rsidP="005B72F2">
      <w:pPr>
        <w:spacing w:before="120" w:after="0"/>
        <w:rPr>
          <w:b/>
          <w:bCs/>
          <w:i/>
          <w:iCs/>
          <w:sz w:val="22"/>
          <w:szCs w:val="22"/>
        </w:rPr>
      </w:pPr>
      <w:r>
        <w:rPr>
          <w:b/>
          <w:bCs/>
          <w:i/>
          <w:iCs/>
          <w:sz w:val="22"/>
          <w:szCs w:val="22"/>
        </w:rPr>
        <w:t>Portfolio Drawdown Response</w:t>
      </w:r>
    </w:p>
    <w:p w14:paraId="14130BF5" w14:textId="77777777" w:rsidR="001E38B7" w:rsidRPr="000C3002" w:rsidRDefault="001E38B7" w:rsidP="00281819">
      <w:pPr>
        <w:numPr>
          <w:ilvl w:val="0"/>
          <w:numId w:val="27"/>
        </w:numPr>
      </w:pPr>
      <w:r>
        <w:rPr>
          <w:b/>
          <w:bCs/>
        </w:rPr>
        <w:t>Portfolio drawdown restrictions</w:t>
      </w:r>
      <w:r>
        <w:t xml:space="preserve"> on new deployment </w:t>
      </w:r>
      <w:r>
        <w:rPr>
          <w:u w:val="single"/>
        </w:rPr>
        <w:t>apply automatically</w:t>
      </w:r>
      <w:r>
        <w:t xml:space="preserve"> and are </w:t>
      </w:r>
      <w:r>
        <w:rPr>
          <w:u w:val="single"/>
        </w:rPr>
        <w:t>not overridden by individual conviction</w:t>
      </w:r>
      <w:r>
        <w:t>.</w:t>
        <w:br/>
        <w:t xml:space="preserve">Higher cash levels are targets reached through the </w:t>
      </w:r>
      <w:r>
        <w:rPr>
          <w:b/>
          <w:bCs/>
        </w:rPr>
        <w:t>Cash-Raising Waterfall</w:t>
      </w:r>
      <w:r>
        <w:t xml:space="preserve"> below – they do not require indiscriminate sale of fundamentally intact holdings. </w:t>
        <w:br/>
      </w:r>
      <w:r>
        <w:rPr>
          <w:u w:val="single"/>
        </w:rPr>
        <w:t>Normal portfolio deployment resumes</w:t>
      </w:r>
      <w:r>
        <w:t xml:space="preserve"> when the </w:t>
      </w:r>
      <w:r>
        <w:rPr>
          <w:b/>
          <w:bCs/>
        </w:rPr>
        <w:t>regime-exit test</w:t>
      </w:r>
      <w:r>
        <w:t xml:space="preserve"> is met.</w:t>
        <w:br/>
      </w:r>
      <w:r>
        <w:rPr>
          <w:b/>
          <w:bCs/>
        </w:rPr>
        <w:t>Security-specific sizing restrictions</w:t>
      </w:r>
      <w:r>
        <w:t xml:space="preserve"> </w:t>
      </w:r>
      <w:r>
        <w:rPr>
          <w:u w:val="single"/>
        </w:rPr>
        <w:t>remain until the relevant holding is re-scored</w:t>
      </w:r>
      <w:r>
        <w:t>.</w:t>
      </w:r>
    </w:p>
    <w:p w14:paraId="39BE6762" w14:textId="77777777" w:rsidR="001E38B7" w:rsidRPr="000C3002" w:rsidRDefault="001E38B7" w:rsidP="000C3002">
      <w:pPr>
        <w:pStyle w:val="Heading2"/>
        <w:pBdr>
          <w:top w:val="single" w:sz="4" w:space="1" w:color="auto"/>
        </w:pBdr>
      </w:pPr>
      <w:bookmarkStart w:id="74" w:name="_Toc236827019"/>
      <w:r>
        <w:t>Part 8 — Tax-Aware Portfolio Management</w:t>
      </w:r>
      <w:bookmarkEnd w:id="74"/>
    </w:p>
    <w:p w14:paraId="5890E8FA" w14:textId="77777777" w:rsidR="001E38B7" w:rsidRPr="000C3002" w:rsidRDefault="001E38B7" w:rsidP="00281819">
      <w:pPr>
        <w:numPr>
          <w:ilvl w:val="0"/>
          <w:numId w:val="27"/>
        </w:numPr>
      </w:pPr>
      <w:r>
        <w:t xml:space="preserve">A sell mandated by a </w:t>
      </w:r>
      <w:r>
        <w:rPr>
          <w:b/>
          <w:bCs/>
        </w:rPr>
        <w:t>fundamental deterioration trigger</w:t>
      </w:r>
      <w:r>
        <w:t xml:space="preserve"> (</w:t>
      </w:r>
      <w:r>
        <w:rPr>
          <w:b/>
          <w:bCs/>
        </w:rPr>
        <w:t>Part 6</w:t>
      </w:r>
      <w:r>
        <w:t>) shall execute within its required window regardless of holding period or tax lot.</w:t>
      </w:r>
    </w:p>
    <w:p w14:paraId="4A469882" w14:textId="77777777" w:rsidR="001E38B7" w:rsidRPr="000C3002" w:rsidRDefault="001E38B7" w:rsidP="00281819">
      <w:pPr>
        <w:numPr>
          <w:ilvl w:val="0"/>
          <w:numId w:val="27"/>
        </w:numPr>
      </w:pPr>
      <w:r>
        <w:t xml:space="preserve">A </w:t>
      </w:r>
      <w:r>
        <w:rPr>
          <w:b/>
          <w:bCs/>
        </w:rPr>
        <w:t>discretionary trim</w:t>
      </w:r>
      <w:r>
        <w:t xml:space="preserve"> (valuation-driven, sizing, or sector-cap) may be delayed up to 30 days to allow a lot to reach long-term holding status, provided the delay does not violate any hard rule.</w:t>
      </w:r>
    </w:p>
    <w:p w14:paraId="11559D54" w14:textId="77777777" w:rsidR="001E38B7" w:rsidRPr="000C3002" w:rsidRDefault="001E38B7" w:rsidP="00281819">
      <w:pPr>
        <w:numPr>
          <w:ilvl w:val="0"/>
          <w:numId w:val="27"/>
        </w:numPr>
      </w:pPr>
      <w:r>
        <w:t xml:space="preserve">When trimming a multi-lot position, use </w:t>
      </w:r>
      <w:r>
        <w:rPr>
          <w:b/>
          <w:bCs/>
        </w:rPr>
        <w:t>specific-lot identification</w:t>
      </w:r>
      <w:r>
        <w:t xml:space="preserve"> and select the lot or combination expected to minimize after-tax cost. </w:t>
        <w:br/>
        <w:t xml:space="preserve">Do not assume highest basis is always optimal – consider </w:t>
      </w:r>
      <w:r>
        <w:rPr>
          <w:b/>
          <w:bCs/>
        </w:rPr>
        <w:t>loss harvesting</w:t>
      </w:r>
      <w:r>
        <w:t xml:space="preserve">, </w:t>
      </w:r>
      <w:r>
        <w:rPr>
          <w:b/>
          <w:bCs/>
        </w:rPr>
        <w:t>short- and long-term rates</w:t>
      </w:r>
      <w:r>
        <w:t xml:space="preserve">, </w:t>
      </w:r>
      <w:r>
        <w:rPr>
          <w:b/>
          <w:bCs/>
        </w:rPr>
        <w:t>carryforwards</w:t>
      </w:r>
      <w:r>
        <w:t xml:space="preserve">, and </w:t>
      </w:r>
      <w:r>
        <w:rPr>
          <w:b/>
          <w:bCs/>
        </w:rPr>
        <w:t>account-level constraints</w:t>
      </w:r>
      <w:r>
        <w:t xml:space="preserve">. </w:t>
        <w:br/>
        <w:t xml:space="preserve">Confirm the lot selection with the broker before sale.</w:t>
      </w:r>
    </w:p>
    <w:p w14:paraId="1C815AC9" w14:textId="77777777" w:rsidR="001E38B7" w:rsidRPr="000C3002" w:rsidRDefault="001E38B7" w:rsidP="00281819">
      <w:pPr>
        <w:numPr>
          <w:ilvl w:val="0"/>
          <w:numId w:val="27"/>
        </w:numPr>
      </w:pPr>
      <w:r>
        <w:t xml:space="preserve">Losses in </w:t>
      </w:r>
      <w:r>
        <w:rPr>
          <w:b/>
          <w:bCs/>
        </w:rPr>
        <w:t xml:space="preserve">Probationary Hold, Exit Review, </w:t>
      </w:r>
      <w:r>
        <w:t xml:space="preserve">or </w:t>
      </w:r>
      <w:r>
        <w:rPr>
          <w:b/>
          <w:bCs/>
        </w:rPr>
        <w:t>underwater positions</w:t>
      </w:r>
      <w:r>
        <w:t xml:space="preserve"> may be harvested before a mandatory sell deadline only when the replacement is not substantially identical and the transaction is coordinated across relevant household accounts. </w:t>
        <w:br/>
      </w:r>
      <w:r>
        <w:rPr>
          <w:b/>
          <w:bCs/>
        </w:rPr>
        <w:t>Redeploy proceeds</w:t>
      </w:r>
      <w:r>
        <w:t xml:space="preserve"> subject to the target cash allocation and all portfolio risk rules.</w:t>
      </w:r>
    </w:p>
    <w:p w14:paraId="29849E7F" w14:textId="77777777" w:rsidR="001E38B7" w:rsidRPr="000C3002" w:rsidRDefault="001E38B7" w:rsidP="00281819">
      <w:pPr>
        <w:numPr>
          <w:ilvl w:val="0"/>
          <w:numId w:val="27"/>
        </w:numPr>
      </w:pPr>
      <w:r>
        <w:rPr>
          <w:b/>
          <w:bCs/>
        </w:rPr>
        <w:t>Tax considerations</w:t>
      </w:r>
      <w:r>
        <w:t xml:space="preserve"> shall never independently trigger a trade. </w:t>
        <w:br/>
        <w:t xml:space="preserve">They only govern the timing and lot selection of a decision already justified elsewhere in this </w:t>
      </w:r>
      <w:r>
        <w:rPr>
          <w:b/>
          <w:bCs/>
        </w:rPr>
        <w:t>Operating System</w:t>
      </w:r>
      <w:r>
        <w:t>.</w:t>
      </w:r>
    </w:p>
    <w:p w14:paraId="5FC140EE" w14:textId="77777777" w:rsidR="001E38B7" w:rsidRPr="008016D7" w:rsidRDefault="001E38B7" w:rsidP="008016D7">
      <w:pPr>
        <w:pStyle w:val="Heading2"/>
        <w:pBdr>
          <w:top w:val="single" w:sz="4" w:space="1" w:color="auto"/>
        </w:pBdr>
      </w:pPr>
      <w:bookmarkStart w:id="75" w:name="_Toc236827020"/>
      <w:r>
        <w:t>Part 9 — Review Schedule, Documentation &amp; Governance</w:t>
      </w:r>
      <w:bookmarkEnd w:id="75"/>
    </w:p>
    <w:p w14:paraId="13E4DFA7" w14:textId="77777777" w:rsidR="001E38B7" w:rsidRPr="008016D7" w:rsidRDefault="001E38B7" w:rsidP="00281819">
      <w:pPr>
        <w:numPr>
          <w:ilvl w:val="0"/>
          <w:numId w:val="27"/>
        </w:numPr>
      </w:pPr>
      <w:r>
        <w:rPr>
          <w:b/>
          <w:bCs/>
        </w:rPr>
        <w:t>Quarterly</w:t>
      </w:r>
      <w:r>
        <w:t xml:space="preserve">: </w:t>
      </w:r>
      <w:r>
        <w:rPr>
          <w:u w:val="single"/>
        </w:rPr>
        <w:t>review all</w:t>
      </w:r>
      <w:r>
        <w:t xml:space="preserve"> </w:t>
      </w:r>
      <w:r>
        <w:rPr>
          <w:b/>
          <w:bCs/>
        </w:rPr>
        <w:t>Watch List</w:t>
      </w:r>
      <w:r>
        <w:t xml:space="preserve"> names and </w:t>
      </w:r>
      <w:r>
        <w:rPr>
          <w:u w:val="single"/>
        </w:rPr>
        <w:t>re-score any holding affected</w:t>
      </w:r>
      <w:r>
        <w:t xml:space="preserve"> by material news.</w:t>
      </w:r>
    </w:p>
    <w:p w14:paraId="4E64C071" w14:textId="77777777" w:rsidR="001E38B7" w:rsidRPr="008016D7" w:rsidRDefault="001E38B7" w:rsidP="00281819">
      <w:pPr>
        <w:numPr>
          <w:ilvl w:val="0"/>
          <w:numId w:val="27"/>
        </w:numPr>
      </w:pPr>
      <w:r>
        <w:rPr>
          <w:b/>
          <w:bCs/>
        </w:rPr>
        <w:t>Annually</w:t>
      </w:r>
      <w:r>
        <w:t xml:space="preserve">: </w:t>
      </w:r>
      <w:r>
        <w:rPr>
          <w:u w:val="single"/>
        </w:rPr>
        <w:t>complete a full re-score</w:t>
      </w:r>
      <w:r>
        <w:t xml:space="preserve"> of every portfolio position and review every exit from the prior year.</w:t>
      </w:r>
    </w:p>
    <w:p w14:paraId="0A37806D" w14:textId="77777777" w:rsidR="001E38B7" w:rsidRPr="008016D7" w:rsidRDefault="001E38B7" w:rsidP="00281819">
      <w:pPr>
        <w:numPr>
          <w:ilvl w:val="0"/>
          <w:numId w:val="27"/>
        </w:numPr>
      </w:pPr>
      <w:r>
        <w:rPr>
          <w:b/>
          <w:bCs/>
        </w:rPr>
        <w:t>After every exit</w:t>
      </w:r>
      <w:r>
        <w:t xml:space="preserve">: </w:t>
      </w:r>
      <w:r>
        <w:rPr>
          <w:u w:val="single"/>
        </w:rPr>
        <w:t>record the sell reason and the outcome</w:t>
      </w:r>
      <w:r>
        <w:t xml:space="preserve"> versus the original thesis.</w:t>
      </w:r>
    </w:p>
    <w:p w14:paraId="0E46931E" w14:textId="77777777" w:rsidR="001E38B7" w:rsidRPr="008016D7" w:rsidRDefault="001E38B7" w:rsidP="00281819">
      <w:pPr>
        <w:numPr>
          <w:ilvl w:val="0"/>
          <w:numId w:val="27"/>
        </w:numPr>
      </w:pPr>
      <w:r>
        <w:rPr>
          <w:b/>
          <w:bCs/>
        </w:rPr>
        <w:t>After any loss</w:t>
      </w:r>
      <w:r>
        <w:t xml:space="preserve"> greater than </w:t>
      </w:r>
      <w:r>
        <w:rPr>
          <w:b/>
          <w:bCs/>
        </w:rPr>
        <w:t>20%</w:t>
      </w:r>
      <w:r>
        <w:t xml:space="preserve"> from cost: run a </w:t>
      </w:r>
      <w:r>
        <w:rPr>
          <w:b/>
          <w:bCs/>
        </w:rPr>
        <w:t>post-mortem</w:t>
      </w:r>
      <w:r>
        <w:t xml:space="preserve"> and identify missed warning signals.</w:t>
      </w:r>
    </w:p>
    <w:p w14:paraId="44869E3F" w14:textId="77777777" w:rsidR="001E38B7" w:rsidRPr="008016D7" w:rsidRDefault="001E38B7" w:rsidP="00281819">
      <w:pPr>
        <w:numPr>
          <w:ilvl w:val="0"/>
          <w:numId w:val="27"/>
        </w:numPr>
      </w:pPr>
      <w:r>
        <w:rPr>
          <w:b/>
          <w:bCs/>
        </w:rPr>
        <w:t>Every 2 years</w:t>
      </w:r>
      <w:r>
        <w:t xml:space="preserve">: </w:t>
      </w:r>
      <w:r>
        <w:rPr>
          <w:u w:val="single"/>
        </w:rPr>
        <w:t>review indicator weights and adjust only with documented evidence</w:t>
      </w:r>
      <w:r>
        <w:t xml:space="preserve"> from multiple positions over time.</w:t>
      </w:r>
    </w:p>
    <w:p w14:paraId="7B71A123" w14:textId="77777777" w:rsidR="001E38B7" w:rsidRPr="001E38B7" w:rsidRDefault="001E38B7" w:rsidP="008016D7">
      <w:pPr>
        <w:pStyle w:val="Heading2"/>
        <w:pBdr>
          <w:top w:val="single" w:sz="4" w:space="1" w:color="auto"/>
        </w:pBdr>
      </w:pPr>
      <w:bookmarkStart w:id="76" w:name="_Toc236827021"/>
      <w:r>
        <w:t>Part 10 — Sector Adaptations &amp; Operating Definitions</w:t>
      </w:r>
      <w:bookmarkEnd w:id="76"/>
    </w:p>
    <w:p w14:paraId="513FBC24" w14:textId="77777777" w:rsidR="001E38B7" w:rsidRPr="008016D7" w:rsidRDefault="001E38B7" w:rsidP="005B72F2">
      <w:pPr>
        <w:numPr>
          <w:ilvl w:val="0"/>
          <w:numId w:val="27"/>
        </w:numPr>
        <w:ind w:right="-72"/>
      </w:pPr>
      <w:r>
        <w:t xml:space="preserve">For </w:t>
      </w:r>
      <w:r>
        <w:rPr>
          <w:b/>
          <w:bCs/>
        </w:rPr>
        <w:t>banks</w:t>
      </w:r>
      <w:r>
        <w:t xml:space="preserve">, a </w:t>
      </w:r>
      <w:r>
        <w:rPr>
          <w:b/>
          <w:bCs/>
        </w:rPr>
        <w:t>CET1</w:t>
      </w:r>
      <w:r>
        <w:t xml:space="preserve"> (</w:t>
      </w:r>
      <w:r>
        <w:rPr>
          <w:b/>
          <w:bCs/>
        </w:rPr>
        <w:t>Common Equity Tier 1</w:t>
      </w:r>
      <w:r>
        <w:t xml:space="preserve">) ratio below 9% caps </w:t>
      </w:r>
      <w:r>
        <w:rPr>
          <w:b/>
          <w:bCs/>
        </w:rPr>
        <w:t>Composite Score</w:t>
      </w:r>
      <w:r>
        <w:t xml:space="preserve"> at 65, preventing </w:t>
      </w:r>
      <w:r>
        <w:rPr>
          <w:b/>
          <w:bCs/>
        </w:rPr>
        <w:t>Strong Buy</w:t>
      </w:r>
      <w:r>
        <w:t xml:space="preserve"> classification. </w:t>
        <w:br/>
        <w:t xml:space="preserve">For </w:t>
      </w:r>
      <w:r>
        <w:rPr>
          <w:b/>
          <w:bCs/>
        </w:rPr>
        <w:t>insurers</w:t>
      </w:r>
      <w:r>
        <w:t xml:space="preserve">, an </w:t>
      </w:r>
      <w:r>
        <w:rPr>
          <w:b/>
          <w:bCs/>
        </w:rPr>
        <w:t>RBC</w:t>
      </w:r>
      <w:r>
        <w:t xml:space="preserve"> (</w:t>
      </w:r>
      <w:r>
        <w:rPr>
          <w:b/>
          <w:bCs/>
        </w:rPr>
        <w:t>Risk-Based Capital</w:t>
      </w:r>
      <w:r>
        <w:t xml:space="preserve">) ratio below </w:t>
      </w:r>
      <w:r>
        <w:rPr>
          <w:b/>
          <w:bCs/>
        </w:rPr>
        <w:t>350%</w:t>
      </w:r>
      <w:r>
        <w:t xml:space="preserve"> applies the same cap. </w:t>
        <w:br/>
        <w:t xml:space="preserve">For </w:t>
      </w:r>
      <w:r>
        <w:rPr>
          <w:b/>
          <w:bCs/>
        </w:rPr>
        <w:t xml:space="preserve">brokers </w:t>
      </w:r>
      <w:r>
        <w:t xml:space="preserve">and </w:t>
      </w:r>
      <w:r>
        <w:rPr>
          <w:b/>
          <w:bCs/>
        </w:rPr>
        <w:t>asset managers</w:t>
      </w:r>
      <w:r>
        <w:t xml:space="preserve">, net leverage excluding client matched-book financing above 3x tangible equity (or </w:t>
        <w:br/>
        <w:t xml:space="preserve">      </w:t>
      </w:r>
      <w:r>
        <w:rPr>
          <w:b/>
          <w:bCs/>
        </w:rPr>
        <w:t>Debt/EBITDA</w:t>
      </w:r>
      <w:r>
        <w:t xml:space="preserve"> above 3x for fee-based asset managers) applies the same cap. </w:t>
        <w:br/>
        <w:t xml:space="preserve">These thresholds are </w:t>
      </w:r>
      <w:r>
        <w:rPr>
          <w:b/>
          <w:bCs/>
        </w:rPr>
        <w:t>reasoned defaults</w:t>
      </w:r>
      <w:r>
        <w:t xml:space="preserve">, </w:t>
      </w:r>
      <w:r>
        <w:rPr>
          <w:u w:val="single"/>
        </w:rPr>
        <w:t>not derived from empirical backtesting</w:t>
      </w:r>
      <w:r>
        <w:t>, and shall be reviewed and confirmed before being relied upon.</w:t>
      </w:r>
    </w:p>
    <w:p w14:paraId="152197A8" w14:textId="77777777" w:rsidR="005B72F2" w:rsidRDefault="001E38B7" w:rsidP="005B72F2">
      <w:pPr>
        <w:numPr>
          <w:ilvl w:val="0"/>
          <w:numId w:val="27"/>
        </w:numPr>
      </w:pPr>
      <w:r>
        <w:t xml:space="preserve">Do not initiate a new </w:t>
      </w:r>
      <w:r>
        <w:rPr>
          <w:b/>
          <w:bCs/>
        </w:rPr>
        <w:t>financial-company position</w:t>
      </w:r>
      <w:r>
        <w:t xml:space="preserve"> when its sector-appropriate valuation multiple exceeds: </w:t>
        <w:br/>
      </w:r>
      <w:r>
        <w:rPr>
          <w:b/>
          <w:bCs/>
        </w:rPr>
        <w:t>P/TBV</w:t>
      </w:r>
      <w:r>
        <w:t xml:space="preserve"> of 2.5x for </w:t>
      </w:r>
      <w:r>
        <w:rPr>
          <w:b/>
          <w:bCs/>
        </w:rPr>
        <w:t>banks</w:t>
      </w:r>
      <w:r>
        <w:t xml:space="preserve">; </w:t>
        <w:br/>
      </w:r>
      <w:r>
        <w:rPr>
          <w:b/>
          <w:bCs/>
        </w:rPr>
        <w:t>P/B</w:t>
      </w:r>
      <w:r>
        <w:t xml:space="preserve"> of 2.0x or </w:t>
      </w:r>
      <w:r>
        <w:rPr>
          <w:b/>
          <w:bCs/>
        </w:rPr>
        <w:t>P/E</w:t>
      </w:r>
      <w:r>
        <w:t xml:space="preserve"> of 20x for </w:t>
      </w:r>
      <w:r>
        <w:rPr>
          <w:b/>
          <w:bCs/>
        </w:rPr>
        <w:t>insurers</w:t>
      </w:r>
      <w:r>
        <w:t xml:space="preserve">; or </w:t>
        <w:br/>
      </w:r>
      <w:r>
        <w:rPr>
          <w:b/>
          <w:bCs/>
        </w:rPr>
        <w:t>P/E</w:t>
      </w:r>
      <w:r>
        <w:t xml:space="preserve"> of 25x for </w:t>
      </w:r>
      <w:r>
        <w:rPr>
          <w:b/>
          <w:bCs/>
        </w:rPr>
        <w:t xml:space="preserve">brokers </w:t>
      </w:r>
      <w:r>
        <w:t>and</w:t>
      </w:r>
      <w:r>
        <w:rPr>
          <w:b/>
          <w:bCs/>
        </w:rPr>
        <w:t xml:space="preserve"> asset managers</w:t>
      </w:r>
      <w:r>
        <w:t xml:space="preserve"> — unless both a documented </w:t>
      </w:r>
      <w:r>
        <w:rPr>
          <w:b/>
          <w:bCs/>
        </w:rPr>
        <w:t>ROE/growth</w:t>
      </w:r>
      <w:r>
        <w:t xml:space="preserve"> justification and a tested sector-specific </w:t>
      </w:r>
      <w:r>
        <w:rPr>
          <w:b/>
          <w:bCs/>
        </w:rPr>
        <w:t>Bear Case</w:t>
      </w:r>
      <w:r>
        <w:t xml:space="preserve"> clear the same threshold required by the </w:t>
      </w:r>
      <w:r>
        <w:rPr>
          <w:b/>
          <w:bCs/>
        </w:rPr>
        <w:t>Bear-Case Implied Return Test</w:t>
      </w:r>
      <w:r>
        <w:t xml:space="preserve"> (</w:t>
      </w:r>
      <w:r>
        <w:rPr>
          <w:b/>
          <w:bCs/>
        </w:rPr>
        <w:t>Part 4</w:t>
      </w:r>
      <w:r>
        <w:t xml:space="preserve">). </w:t>
        <w:br/>
        <w:t>These thresholds are reasoned defaults, not derived from empirical backtesting, and shall be reviewed and confirmed before being relied upon.</w:t>
        <w:br w:type="page"/>
      </w:r>
    </w:p>
    <w:p w14:paraId="44C3D50F" w14:textId="77777777" w:rsidR="001E38B7" w:rsidRPr="003F0A84" w:rsidRDefault="001E38B7" w:rsidP="003F0A84">
      <w:pPr>
        <w:pStyle w:val="Heading2"/>
        <w:pBdr>
          <w:top w:val="single" w:sz="4" w:space="1" w:color="auto"/>
        </w:pBdr>
      </w:pPr>
      <w:bookmarkStart w:id="77" w:name="_Toc236827022"/>
      <w:r>
        <w:lastRenderedPageBreak/>
        <w:t>Part 11 — What to Avoid</w:t>
      </w:r>
      <w:bookmarkEnd w:id="77"/>
    </w:p>
    <w:p w14:paraId="27D16FCD" w14:textId="77777777" w:rsidR="001E38B7" w:rsidRPr="001E38B7" w:rsidRDefault="001E38B7" w:rsidP="001E38B7">
      <w:r>
        <w:t xml:space="preserve">These exclusions define what the system will not reward. </w:t>
        <w:br/>
        <w:t>Avoiding low-quality signals and weak process habits is part of preserving long-term performance.</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35"/>
      </w:tblGrid>
      <w:tr w:rsidR="001E38B7" w:rsidRPr="001E38B7" w14:paraId="3A1092A9" w14:textId="77777777" w:rsidTr="003F0A84">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left w:w="29" w:type="dxa"/>
            </w:tcMar>
            <w:vAlign w:val="center"/>
          </w:tcPr>
          <w:p w14:paraId="28BACCA9" w14:textId="77777777" w:rsidR="001E38B7" w:rsidRPr="001E38B7" w:rsidRDefault="001E38B7" w:rsidP="003F0A84">
            <w:pPr>
              <w:jc w:val="center"/>
            </w:pPr>
            <w:r>
              <w:rPr>
                <w:b/>
                <w:bCs/>
              </w:rPr>
              <w:t>Avoid</w:t>
            </w:r>
          </w:p>
        </w:tc>
        <w:tc>
          <w:tcPr>
            <w:tcW w:w="8035" w:type="dxa"/>
            <w:tcBorders>
              <w:top w:val="single" w:sz="4" w:space="0" w:color="999999"/>
              <w:left w:val="single" w:sz="4" w:space="0" w:color="999999"/>
              <w:bottom w:val="single" w:sz="4" w:space="0" w:color="999999"/>
              <w:right w:val="single" w:sz="4" w:space="0" w:color="999999"/>
            </w:tcBorders>
            <w:shd w:val="clear" w:color="auto" w:fill="1F3864"/>
            <w:tcMar>
              <w:left w:w="58" w:type="dxa"/>
            </w:tcMar>
            <w:vAlign w:val="center"/>
          </w:tcPr>
          <w:p w14:paraId="214A4A49" w14:textId="77777777" w:rsidR="001E38B7" w:rsidRPr="001E38B7" w:rsidRDefault="001E38B7" w:rsidP="003F0A84">
            <w:pPr>
              <w:jc w:val="center"/>
            </w:pPr>
            <w:r>
              <w:rPr>
                <w:b/>
                <w:bCs/>
              </w:rPr>
              <w:t>Why</w:t>
            </w:r>
          </w:p>
        </w:tc>
      </w:tr>
      <w:tr w:rsidR="001E38B7" w:rsidRPr="001E38B7" w14:paraId="73BD03D8"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28D72374" w14:textId="77777777" w:rsidR="001E38B7" w:rsidRPr="001E38B7" w:rsidRDefault="001E38B7" w:rsidP="003F0A84">
            <w:pPr>
              <w:jc w:val="center"/>
            </w:pPr>
            <w:r>
              <w:rPr>
                <w:b/>
                <w:bCs/>
              </w:rPr>
              <w:t>P/E ratio as primary filter</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6077EC9C" w14:textId="77777777" w:rsidR="001E38B7" w:rsidRPr="001E38B7" w:rsidRDefault="001E38B7" w:rsidP="001E38B7">
            <w:r>
              <w:t>Can be distorted by cyclicality, accounting estimates, and capital structure. Use only as a secondary cross-check; it does not measure reinvestment needs or cash conversion.</w:t>
            </w:r>
          </w:p>
        </w:tc>
      </w:tr>
      <w:tr w:rsidR="001E38B7" w:rsidRPr="001E38B7" w14:paraId="567D2840"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35497A3E" w14:textId="77777777" w:rsidR="001E38B7" w:rsidRPr="001E38B7" w:rsidRDefault="001E38B7" w:rsidP="003F0A84">
            <w:pPr>
              <w:jc w:val="center"/>
            </w:pPr>
            <w:r>
              <w:rPr>
                <w:b/>
                <w:bCs/>
              </w:rPr>
              <w:t>Analyst 12-month price targets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5EE37144" w14:textId="77777777" w:rsidR="001E38B7" w:rsidRPr="001E38B7" w:rsidRDefault="001E38B7" w:rsidP="001E38B7">
            <w:r>
              <w:t>Short-horizon targets vary materially by analyst and are not reliable enough to drive a 3–10 year decision. Use only as a sentiment and estimate-dispersion check.</w:t>
            </w:r>
          </w:p>
        </w:tc>
      </w:tr>
      <w:tr w:rsidR="001E38B7" w:rsidRPr="001E38B7" w14:paraId="0C0E2689"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A7E0455" w14:textId="77777777" w:rsidR="001E38B7" w:rsidRPr="001E38B7" w:rsidRDefault="001E38B7" w:rsidP="003F0A84">
            <w:pPr>
              <w:jc w:val="center"/>
            </w:pPr>
            <w:r>
              <w:rPr>
                <w:b/>
                <w:bCs/>
              </w:rPr>
              <w:t>Earnings surprises as primary signal</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6F78E5A0" w14:textId="77777777" w:rsidR="001E38B7" w:rsidRPr="001E38B7" w:rsidRDefault="001E38B7" w:rsidP="001E38B7">
            <w:r>
              <w:t>May affect short-term price behavior but is insufficient for a multi-year thesis. Both earnings and FCF require quality-of-reporting review; neither is immune to distortion.</w:t>
            </w:r>
          </w:p>
        </w:tc>
      </w:tr>
      <w:tr w:rsidR="001E38B7" w:rsidRPr="001E38B7" w14:paraId="65BC1127"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5E90F8B" w14:textId="77777777" w:rsidR="001E38B7" w:rsidRPr="001E38B7" w:rsidRDefault="001E38B7" w:rsidP="003F0A84">
            <w:pPr>
              <w:jc w:val="center"/>
            </w:pPr>
            <w:r>
              <w:rPr>
                <w:b/>
                <w:bCs/>
              </w:rPr>
              <w:t>Narrative momentum ("AI will change everything")</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2905FCB2" w14:textId="77777777" w:rsidR="001E38B7" w:rsidRPr="001E38B7" w:rsidRDefault="001E38B7" w:rsidP="001E38B7">
            <w:r>
              <w:t>Narratives can be economically important, but prices may incorporate optimistic expectations quickly. Require evidence in revenue, margins, cash generation, and implied return.</w:t>
            </w:r>
          </w:p>
        </w:tc>
      </w:tr>
      <w:tr w:rsidR="001E38B7" w:rsidRPr="001E38B7" w14:paraId="5243BC8B"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7AEAF2DC" w14:textId="77777777" w:rsidR="001E38B7" w:rsidRPr="001E38B7" w:rsidRDefault="001E38B7" w:rsidP="003F0A84">
            <w:pPr>
              <w:jc w:val="center"/>
            </w:pPr>
            <w:r>
              <w:rPr>
                <w:b/>
                <w:bCs/>
              </w:rPr>
              <w:t>Averaging down into deteriorating fundamentals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2273DF21" w14:textId="77777777" w:rsidR="001E38B7" w:rsidRPr="001E38B7" w:rsidRDefault="001E38B7" w:rsidP="001E38B7">
            <w:r>
              <w:t>Distinguish price decline (often opportunity) from fundamental deterioration (reason to sell). Never add when Tier 1 scores are falling.</w:t>
            </w:r>
          </w:p>
        </w:tc>
      </w:tr>
      <w:tr w:rsidR="001E38B7" w:rsidRPr="001E38B7" w14:paraId="2F157444"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0BA50C3F" w14:textId="77777777" w:rsidR="001E38B7" w:rsidRPr="001E38B7" w:rsidRDefault="001E38B7" w:rsidP="003F0A84">
            <w:pPr>
              <w:jc w:val="center"/>
            </w:pPr>
            <w:r>
              <w:rPr>
                <w:b/>
                <w:bCs/>
              </w:rPr>
              <w:t>Over-diversification below conviction threshold</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55D38801" w14:textId="77777777" w:rsidR="001E38B7" w:rsidRPr="001E38B7" w:rsidRDefault="001E38B7" w:rsidP="001E38B7">
            <w:r>
              <w:t>Excessive position count can dilute monitoring quality and conviction, but diversification benefits depend on weights and correlations, not a fixed stock count. Hold only qualifying ideas and comply with portfolio risk limits.</w:t>
            </w:r>
          </w:p>
        </w:tc>
      </w:tr>
      <w:tr w:rsidR="001E38B7" w:rsidRPr="001E38B7" w14:paraId="60DB5542"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651A2FBD" w14:textId="77777777" w:rsidR="001E38B7" w:rsidRPr="001E38B7" w:rsidRDefault="001E38B7" w:rsidP="003F0A84">
            <w:pPr>
              <w:jc w:val="center"/>
            </w:pPr>
            <w:r>
              <w:rPr>
                <w:b/>
                <w:bCs/>
              </w:rPr>
              <w:t>Market timing as a primary strategy</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38A65A19" w14:textId="77777777" w:rsidR="001E38B7" w:rsidRPr="001E38B7" w:rsidRDefault="001E38B7" w:rsidP="001E38B7">
            <w:r>
              <w:t xml:space="preserve">Market-timing studies are highly period-dependent, and the best and worst days often cluster. Use the macro-overlay to adjust staging and risk, not as an all-in/all-out forecast.</w:t>
            </w:r>
          </w:p>
        </w:tc>
      </w:tr>
    </w:tbl>
    <w:p w14:paraId="5962BF8F" w14:textId="77777777" w:rsidR="001E38B7" w:rsidRPr="001E38B7" w:rsidRDefault="001E38B7" w:rsidP="001E38B7"/>
    <w:p w14:paraId="3C5BB115" w14:textId="77777777" w:rsidR="001E38B7" w:rsidRDefault="00236E18">
      <w:r>
        <w:rPr>
          <w:noProof/>
        </w:rPr>
        <w:object w:dxaOrig="9360" w:dyaOrig="360" w14:anchorId="2EBAC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05pt;height:17.8pt;mso-width-percent:0;mso-height-percent:0;mso-width-percent:0;mso-height-percent:0" o:ole="">
            <v:imagedata r:id="rId15" o:title=""/>
          </v:shape>
          <o:OLEObject Type="Embed" ProgID="Word.Document.12" ShapeID="_x0000_i1025" DrawAspect="Content" ObjectID="_1849168413" r:id="rId16">
            <o:FieldCodes>\s</o:FieldCodes>
          </o:OLEObject>
        </w:object>
      </w:r>
    </w:p>
    <w:sectPr w:rsidR="001E38B7" w:rsidSect="00CD3A3A">
      <w:footerReference w:type="default" r:id="rId17"/>
      <w:pgSz w:w="12240" w:h="15840"/>
      <w:pgMar w:top="540" w:right="720" w:bottom="720" w:left="1152" w:header="540" w:footer="3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41D5ED" w14:textId="77777777" w:rsidR="00236E18" w:rsidRDefault="00236E18">
      <w:pPr>
        <w:spacing w:after="0"/>
      </w:pPr>
      <w:r>
        <w:separator/>
      </w:r>
    </w:p>
  </w:endnote>
  <w:endnote w:type="continuationSeparator" w:id="0">
    <w:p w14:paraId="6BB4878B" w14:textId="77777777" w:rsidR="00236E18" w:rsidRDefault="00236E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BF411" w14:textId="77777777" w:rsidR="00E317C2" w:rsidRDefault="00E31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9CADB" w14:textId="77777777" w:rsidR="00E317C2" w:rsidRDefault="00E317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66CEB" w14:textId="77777777" w:rsidR="00E317C2" w:rsidRDefault="00E317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D3C5A" w14:textId="77777777" w:rsidR="00A63D17" w:rsidRDefault="00000000">
    <w:pPr>
      <w:pBdr>
        <w:top w:val="single" w:sz="4" w:space="1" w:color="auto"/>
      </w:pBdr>
      <w:tabs>
        <w:tab w:val="right" w:pos="10080"/>
      </w:tabs>
      <w:spacing w:before="120"/>
    </w:pPr>
    <w:r>
      <w:rPr>
        <w:sz w:val="18"/>
        <w:szCs w:val="18"/>
      </w:rPr>
      <w:fldChar w:fldCharType="begin"/>
    </w:r>
    <w:r>
      <w:rPr>
        <w:sz w:val="18"/>
        <w:szCs w:val="18"/>
      </w:rPr>
      <w:instrText xml:space="preserve"> FILENAME  \* MERGEFORMAT </w:instrText>
    </w:r>
    <w:r>
      <w:rPr>
        <w:sz w:val="18"/>
        <w:szCs w:val="18"/>
      </w:rPr>
      <w:fldChar w:fldCharType="separate"/>
    </w:r>
    <w:r w:rsidR="00422958">
      <w:rPr>
        <w:noProof/>
        <w:sz w:val="18"/>
        <w:szCs w:val="18"/>
      </w:rPr>
      <w:t>LANDRY_SYSTEM_v1-02_FINAL.docx</w:t>
    </w:r>
    <w:r>
      <w:rPr>
        <w:sz w:val="18"/>
        <w:szCs w:val="18"/>
      </w:rPr>
      <w:fldChar w:fldCharType="end"/>
    </w:r>
    <w:r>
      <w:rPr>
        <w:sz w:val="18"/>
        <w:szCs w:val="18"/>
      </w:rPr>
      <w:tab/>
    </w:r>
    <w:r>
      <w:rPr>
        <w:sz w:val="18"/>
        <w:szCs w:val="18"/>
      </w:rPr>
      <w:fldChar w:fldCharType="begin"/>
    </w:r>
    <w:r>
      <w:rPr>
        <w:sz w:val="18"/>
        <w:szCs w:val="18"/>
      </w:rPr>
      <w:instrText>PAGE</w:instrText>
    </w:r>
    <w:r>
      <w:rPr>
        <w:sz w:val="18"/>
        <w:szCs w:val="18"/>
      </w:rPr>
      <w:fldChar w:fldCharType="separate"/>
    </w:r>
    <w:r w:rsidR="00E34BC5">
      <w:rPr>
        <w:noProof/>
        <w:sz w:val="18"/>
        <w:szCs w:val="18"/>
      </w:rPr>
      <w:t>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E34BC5">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B429C" w14:textId="35E69629" w:rsidR="00A63D17" w:rsidRDefault="00E34BC5" w:rsidP="00E34BC5">
    <w:pPr>
      <w:pBdr>
        <w:top w:val="single" w:sz="4" w:space="1" w:color="auto"/>
      </w:pBdr>
      <w:tabs>
        <w:tab w:val="right" w:pos="10080"/>
      </w:tabs>
      <w:spacing w:before="120"/>
    </w:pPr>
    <w:r>
      <w:rPr>
        <w:sz w:val="18"/>
        <w:szCs w:val="18"/>
      </w:rPr>
      <w:fldChar w:fldCharType="begin"/>
    </w:r>
    <w:r>
      <w:rPr>
        <w:sz w:val="18"/>
        <w:szCs w:val="18"/>
      </w:rPr>
      <w:instrText xml:space="preserve"> FILENAME  \* MERGEFORMAT </w:instrText>
    </w:r>
    <w:r>
      <w:rPr>
        <w:sz w:val="18"/>
        <w:szCs w:val="18"/>
      </w:rPr>
      <w:fldChar w:fldCharType="separate"/>
    </w:r>
    <w:r w:rsidR="00422958">
      <w:rPr>
        <w:noProof/>
        <w:sz w:val="18"/>
        <w:szCs w:val="18"/>
      </w:rPr>
      <w:t>LANDRY_SYSTEM_v1-02_FINAL.docx</w:t>
    </w:r>
    <w:r>
      <w:rPr>
        <w:sz w:val="18"/>
        <w:szCs w:val="18"/>
      </w:rPr>
      <w:fldChar w:fldCharType="end"/>
    </w:r>
    <w:r>
      <w:rPr>
        <w:sz w:val="18"/>
        <w:szCs w:val="18"/>
      </w:rPr>
      <w:tab/>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E145A" w14:textId="77777777" w:rsidR="00236E18" w:rsidRDefault="00236E18">
      <w:pPr>
        <w:spacing w:after="0"/>
      </w:pPr>
      <w:r>
        <w:separator/>
      </w:r>
    </w:p>
  </w:footnote>
  <w:footnote w:type="continuationSeparator" w:id="0">
    <w:p w14:paraId="01DE8BE4" w14:textId="77777777" w:rsidR="00236E18" w:rsidRDefault="00236E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74F59" w14:textId="77777777" w:rsidR="00E317C2" w:rsidRDefault="00E31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F0824" w14:textId="77777777" w:rsidR="00E317C2" w:rsidRDefault="00E317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936A" w14:textId="77777777" w:rsidR="00E317C2" w:rsidRDefault="00E31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C02F7"/>
    <w:multiLevelType w:val="hybridMultilevel"/>
    <w:tmpl w:val="381E2E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E4270"/>
    <w:multiLevelType w:val="hybridMultilevel"/>
    <w:tmpl w:val="289EBD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463F65"/>
    <w:multiLevelType w:val="hybridMultilevel"/>
    <w:tmpl w:val="68FC184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763766"/>
    <w:multiLevelType w:val="hybridMultilevel"/>
    <w:tmpl w:val="0AFA5E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11016E"/>
    <w:multiLevelType w:val="hybridMultilevel"/>
    <w:tmpl w:val="EBA0E2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FE2A3B"/>
    <w:multiLevelType w:val="hybridMultilevel"/>
    <w:tmpl w:val="EFAE7E1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91D69AF"/>
    <w:multiLevelType w:val="hybridMultilevel"/>
    <w:tmpl w:val="C324D9BC"/>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AFA0080"/>
    <w:multiLevelType w:val="hybridMultilevel"/>
    <w:tmpl w:val="B5C84C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7A252B"/>
    <w:multiLevelType w:val="hybridMultilevel"/>
    <w:tmpl w:val="4132946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E56F9D"/>
    <w:multiLevelType w:val="hybridMultilevel"/>
    <w:tmpl w:val="8A601A62"/>
    <w:lvl w:ilvl="0" w:tplc="682E3952">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8147A8"/>
    <w:multiLevelType w:val="hybridMultilevel"/>
    <w:tmpl w:val="6414CCB6"/>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106395"/>
    <w:multiLevelType w:val="hybridMultilevel"/>
    <w:tmpl w:val="549C68EE"/>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2" w15:restartNumberingAfterBreak="0">
    <w:nsid w:val="45A17C80"/>
    <w:multiLevelType w:val="hybridMultilevel"/>
    <w:tmpl w:val="1A34B3AA"/>
    <w:lvl w:ilvl="0" w:tplc="FC2CCE42">
      <w:start w:val="1"/>
      <w:numFmt w:val="decimal"/>
      <w:lvlText w:val="%1."/>
      <w:lvlJc w:val="left"/>
      <w:pPr>
        <w:ind w:left="360" w:hanging="360"/>
      </w:pPr>
      <w:rPr>
        <w:b/>
        <w:bCs/>
        <w:color w:val="1F3864"/>
      </w:rPr>
    </w:lvl>
    <w:lvl w:ilvl="1" w:tplc="30D4999E">
      <w:numFmt w:val="decimal"/>
      <w:lvlText w:val=""/>
      <w:lvlJc w:val="left"/>
    </w:lvl>
    <w:lvl w:ilvl="2" w:tplc="C690FA34">
      <w:numFmt w:val="decimal"/>
      <w:lvlText w:val=""/>
      <w:lvlJc w:val="left"/>
    </w:lvl>
    <w:lvl w:ilvl="3" w:tplc="31F0337A">
      <w:numFmt w:val="decimal"/>
      <w:lvlText w:val=""/>
      <w:lvlJc w:val="left"/>
    </w:lvl>
    <w:lvl w:ilvl="4" w:tplc="1CDEBDBC">
      <w:numFmt w:val="decimal"/>
      <w:lvlText w:val=""/>
      <w:lvlJc w:val="left"/>
    </w:lvl>
    <w:lvl w:ilvl="5" w:tplc="7F24281E">
      <w:numFmt w:val="decimal"/>
      <w:lvlText w:val=""/>
      <w:lvlJc w:val="left"/>
    </w:lvl>
    <w:lvl w:ilvl="6" w:tplc="62224ABA">
      <w:numFmt w:val="decimal"/>
      <w:lvlText w:val=""/>
      <w:lvlJc w:val="left"/>
    </w:lvl>
    <w:lvl w:ilvl="7" w:tplc="142AE618">
      <w:numFmt w:val="decimal"/>
      <w:lvlText w:val=""/>
      <w:lvlJc w:val="left"/>
    </w:lvl>
    <w:lvl w:ilvl="8" w:tplc="D374B422">
      <w:numFmt w:val="decimal"/>
      <w:lvlText w:val=""/>
      <w:lvlJc w:val="left"/>
    </w:lvl>
  </w:abstractNum>
  <w:abstractNum w:abstractNumId="13" w15:restartNumberingAfterBreak="0">
    <w:nsid w:val="4A8E00CD"/>
    <w:multiLevelType w:val="hybridMultilevel"/>
    <w:tmpl w:val="F1EEF59A"/>
    <w:lvl w:ilvl="0" w:tplc="C8A87A6E">
      <w:start w:val="1"/>
      <w:numFmt w:val="bullet"/>
      <w:lvlText w:val="●"/>
      <w:lvlJc w:val="left"/>
      <w:pPr>
        <w:ind w:left="720" w:hanging="360"/>
      </w:pPr>
    </w:lvl>
    <w:lvl w:ilvl="1" w:tplc="41F48598">
      <w:start w:val="1"/>
      <w:numFmt w:val="bullet"/>
      <w:lvlText w:val="○"/>
      <w:lvlJc w:val="left"/>
      <w:pPr>
        <w:ind w:left="1440" w:hanging="360"/>
      </w:pPr>
    </w:lvl>
    <w:lvl w:ilvl="2" w:tplc="92B479B0">
      <w:start w:val="1"/>
      <w:numFmt w:val="bullet"/>
      <w:lvlText w:val="■"/>
      <w:lvlJc w:val="left"/>
      <w:pPr>
        <w:ind w:left="2160" w:hanging="360"/>
      </w:pPr>
    </w:lvl>
    <w:lvl w:ilvl="3" w:tplc="BD6A1FAC">
      <w:start w:val="1"/>
      <w:numFmt w:val="bullet"/>
      <w:lvlText w:val="●"/>
      <w:lvlJc w:val="left"/>
      <w:pPr>
        <w:ind w:left="2880" w:hanging="360"/>
      </w:pPr>
    </w:lvl>
    <w:lvl w:ilvl="4" w:tplc="4B6826C2">
      <w:start w:val="1"/>
      <w:numFmt w:val="bullet"/>
      <w:lvlText w:val="○"/>
      <w:lvlJc w:val="left"/>
      <w:pPr>
        <w:ind w:left="3600" w:hanging="360"/>
      </w:pPr>
    </w:lvl>
    <w:lvl w:ilvl="5" w:tplc="2460E2C2">
      <w:start w:val="1"/>
      <w:numFmt w:val="bullet"/>
      <w:lvlText w:val="■"/>
      <w:lvlJc w:val="left"/>
      <w:pPr>
        <w:ind w:left="4320" w:hanging="360"/>
      </w:pPr>
    </w:lvl>
    <w:lvl w:ilvl="6" w:tplc="E2B4BAF0">
      <w:start w:val="1"/>
      <w:numFmt w:val="bullet"/>
      <w:lvlText w:val="●"/>
      <w:lvlJc w:val="left"/>
      <w:pPr>
        <w:ind w:left="5040" w:hanging="360"/>
      </w:pPr>
    </w:lvl>
    <w:lvl w:ilvl="7" w:tplc="01789DC2">
      <w:start w:val="1"/>
      <w:numFmt w:val="bullet"/>
      <w:lvlText w:val="●"/>
      <w:lvlJc w:val="left"/>
      <w:pPr>
        <w:ind w:left="5760" w:hanging="360"/>
      </w:pPr>
    </w:lvl>
    <w:lvl w:ilvl="8" w:tplc="A75044FA">
      <w:start w:val="1"/>
      <w:numFmt w:val="bullet"/>
      <w:lvlText w:val="●"/>
      <w:lvlJc w:val="left"/>
      <w:pPr>
        <w:ind w:left="6480" w:hanging="360"/>
      </w:pPr>
    </w:lvl>
  </w:abstractNum>
  <w:abstractNum w:abstractNumId="14" w15:restartNumberingAfterBreak="0">
    <w:nsid w:val="4DBA2967"/>
    <w:multiLevelType w:val="hybridMultilevel"/>
    <w:tmpl w:val="33BC027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EA111D"/>
    <w:multiLevelType w:val="hybridMultilevel"/>
    <w:tmpl w:val="ADA64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1871B3"/>
    <w:multiLevelType w:val="hybridMultilevel"/>
    <w:tmpl w:val="76C4D2C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D13CA8"/>
    <w:multiLevelType w:val="hybridMultilevel"/>
    <w:tmpl w:val="75D83C28"/>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8" w15:restartNumberingAfterBreak="0">
    <w:nsid w:val="5B0C342C"/>
    <w:multiLevelType w:val="hybridMultilevel"/>
    <w:tmpl w:val="E1F032EA"/>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D111013"/>
    <w:multiLevelType w:val="hybridMultilevel"/>
    <w:tmpl w:val="BF8CE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239C7"/>
    <w:multiLevelType w:val="hybridMultilevel"/>
    <w:tmpl w:val="EFAE7E16"/>
    <w:lvl w:ilvl="0" w:tplc="FFFFFFFF">
      <w:start w:val="1"/>
      <w:numFmt w:val="decimal"/>
      <w:lvlText w:val="%1."/>
      <w:lvlJc w:val="left"/>
      <w:pPr>
        <w:ind w:left="360" w:hanging="360"/>
      </w:pPr>
      <w:rPr>
        <w:rFonts w:hint="default"/>
        <w:b/>
        <w:bCs/>
        <w:color w:val="1F3864"/>
      </w:rPr>
    </w:lvl>
    <w:lvl w:ilvl="1" w:tplc="5C1285AC">
      <w:numFmt w:val="decimal"/>
      <w:lvlText w:val=""/>
      <w:lvlJc w:val="left"/>
    </w:lvl>
    <w:lvl w:ilvl="2" w:tplc="89B8B740">
      <w:numFmt w:val="decimal"/>
      <w:lvlText w:val=""/>
      <w:lvlJc w:val="left"/>
    </w:lvl>
    <w:lvl w:ilvl="3" w:tplc="B7689F48">
      <w:numFmt w:val="decimal"/>
      <w:lvlText w:val=""/>
      <w:lvlJc w:val="left"/>
    </w:lvl>
    <w:lvl w:ilvl="4" w:tplc="17B6E6A2">
      <w:numFmt w:val="decimal"/>
      <w:lvlText w:val=""/>
      <w:lvlJc w:val="left"/>
    </w:lvl>
    <w:lvl w:ilvl="5" w:tplc="7E8AD080">
      <w:numFmt w:val="decimal"/>
      <w:lvlText w:val=""/>
      <w:lvlJc w:val="left"/>
    </w:lvl>
    <w:lvl w:ilvl="6" w:tplc="734CC754">
      <w:numFmt w:val="decimal"/>
      <w:lvlText w:val=""/>
      <w:lvlJc w:val="left"/>
    </w:lvl>
    <w:lvl w:ilvl="7" w:tplc="61849B18">
      <w:numFmt w:val="decimal"/>
      <w:lvlText w:val=""/>
      <w:lvlJc w:val="left"/>
    </w:lvl>
    <w:lvl w:ilvl="8" w:tplc="75189BB2">
      <w:numFmt w:val="decimal"/>
      <w:lvlText w:val=""/>
      <w:lvlJc w:val="left"/>
    </w:lvl>
  </w:abstractNum>
  <w:abstractNum w:abstractNumId="21" w15:restartNumberingAfterBreak="0">
    <w:nsid w:val="639B7412"/>
    <w:multiLevelType w:val="hybridMultilevel"/>
    <w:tmpl w:val="29F2AF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65E01B9"/>
    <w:multiLevelType w:val="hybridMultilevel"/>
    <w:tmpl w:val="A84CFF2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1B3E77"/>
    <w:multiLevelType w:val="hybridMultilevel"/>
    <w:tmpl w:val="90440620"/>
    <w:lvl w:ilvl="0" w:tplc="4172276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F13E6B"/>
    <w:multiLevelType w:val="hybridMultilevel"/>
    <w:tmpl w:val="933AA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DD5A94"/>
    <w:multiLevelType w:val="hybridMultilevel"/>
    <w:tmpl w:val="6FA8FE3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696AFD"/>
    <w:multiLevelType w:val="hybridMultilevel"/>
    <w:tmpl w:val="69F09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85FEF"/>
    <w:multiLevelType w:val="hybridMultilevel"/>
    <w:tmpl w:val="6E12435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0164381"/>
    <w:multiLevelType w:val="hybridMultilevel"/>
    <w:tmpl w:val="CE9846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191041"/>
    <w:multiLevelType w:val="hybridMultilevel"/>
    <w:tmpl w:val="73DE879C"/>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1C730B8"/>
    <w:multiLevelType w:val="hybridMultilevel"/>
    <w:tmpl w:val="C44064DA"/>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20B4DFD"/>
    <w:multiLevelType w:val="hybridMultilevel"/>
    <w:tmpl w:val="A724B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B164F4"/>
    <w:multiLevelType w:val="hybridMultilevel"/>
    <w:tmpl w:val="4B4067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66E1E8C"/>
    <w:multiLevelType w:val="hybridMultilevel"/>
    <w:tmpl w:val="1EEA77F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2344485">
    <w:abstractNumId w:val="13"/>
    <w:lvlOverride w:ilvl="0">
      <w:startOverride w:val="1"/>
    </w:lvlOverride>
  </w:num>
  <w:num w:numId="2" w16cid:durableId="1516919811">
    <w:abstractNumId w:val="12"/>
    <w:lvlOverride w:ilvl="0">
      <w:startOverride w:val="1"/>
    </w:lvlOverride>
  </w:num>
  <w:num w:numId="3" w16cid:durableId="925962215">
    <w:abstractNumId w:val="10"/>
  </w:num>
  <w:num w:numId="4" w16cid:durableId="523252820">
    <w:abstractNumId w:val="9"/>
  </w:num>
  <w:num w:numId="5" w16cid:durableId="151145375">
    <w:abstractNumId w:val="22"/>
  </w:num>
  <w:num w:numId="6" w16cid:durableId="1945729009">
    <w:abstractNumId w:val="8"/>
  </w:num>
  <w:num w:numId="7" w16cid:durableId="2034719365">
    <w:abstractNumId w:val="16"/>
  </w:num>
  <w:num w:numId="8" w16cid:durableId="2100984612">
    <w:abstractNumId w:val="19"/>
  </w:num>
  <w:num w:numId="9" w16cid:durableId="414327101">
    <w:abstractNumId w:val="25"/>
  </w:num>
  <w:num w:numId="10" w16cid:durableId="1773696701">
    <w:abstractNumId w:val="33"/>
  </w:num>
  <w:num w:numId="11" w16cid:durableId="206377948">
    <w:abstractNumId w:val="4"/>
  </w:num>
  <w:num w:numId="12" w16cid:durableId="1159031473">
    <w:abstractNumId w:val="11"/>
  </w:num>
  <w:num w:numId="13" w16cid:durableId="157504887">
    <w:abstractNumId w:val="32"/>
  </w:num>
  <w:num w:numId="14" w16cid:durableId="460877593">
    <w:abstractNumId w:val="17"/>
  </w:num>
  <w:num w:numId="15" w16cid:durableId="1113592352">
    <w:abstractNumId w:val="2"/>
  </w:num>
  <w:num w:numId="16" w16cid:durableId="87241510">
    <w:abstractNumId w:val="28"/>
  </w:num>
  <w:num w:numId="17" w16cid:durableId="1946812768">
    <w:abstractNumId w:val="0"/>
  </w:num>
  <w:num w:numId="18" w16cid:durableId="89739247">
    <w:abstractNumId w:val="14"/>
  </w:num>
  <w:num w:numId="19" w16cid:durableId="1287345832">
    <w:abstractNumId w:val="20"/>
  </w:num>
  <w:num w:numId="20" w16cid:durableId="1864172855">
    <w:abstractNumId w:val="20"/>
  </w:num>
  <w:num w:numId="21" w16cid:durableId="1768691418">
    <w:abstractNumId w:val="26"/>
  </w:num>
  <w:num w:numId="22" w16cid:durableId="370617831">
    <w:abstractNumId w:val="12"/>
  </w:num>
  <w:num w:numId="23" w16cid:durableId="754667735">
    <w:abstractNumId w:val="6"/>
  </w:num>
  <w:num w:numId="24" w16cid:durableId="848639833">
    <w:abstractNumId w:val="18"/>
  </w:num>
  <w:num w:numId="25" w16cid:durableId="612907250">
    <w:abstractNumId w:val="27"/>
  </w:num>
  <w:num w:numId="26" w16cid:durableId="836457068">
    <w:abstractNumId w:val="29"/>
  </w:num>
  <w:num w:numId="27" w16cid:durableId="889152625">
    <w:abstractNumId w:val="30"/>
  </w:num>
  <w:num w:numId="28" w16cid:durableId="1216115144">
    <w:abstractNumId w:val="5"/>
  </w:num>
  <w:num w:numId="29" w16cid:durableId="1061707812">
    <w:abstractNumId w:val="1"/>
  </w:num>
  <w:num w:numId="30" w16cid:durableId="1909261882">
    <w:abstractNumId w:val="23"/>
  </w:num>
  <w:num w:numId="31" w16cid:durableId="1029914398">
    <w:abstractNumId w:val="7"/>
  </w:num>
  <w:num w:numId="32" w16cid:durableId="1209486492">
    <w:abstractNumId w:val="24"/>
  </w:num>
  <w:num w:numId="33" w16cid:durableId="1141654455">
    <w:abstractNumId w:val="3"/>
  </w:num>
  <w:num w:numId="34" w16cid:durableId="682437156">
    <w:abstractNumId w:val="15"/>
  </w:num>
  <w:num w:numId="35" w16cid:durableId="851648649">
    <w:abstractNumId w:val="21"/>
  </w:num>
  <w:num w:numId="36" w16cid:durableId="1969583717">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17"/>
    <w:rsid w:val="000013F9"/>
    <w:rsid w:val="00066663"/>
    <w:rsid w:val="00072631"/>
    <w:rsid w:val="000848C2"/>
    <w:rsid w:val="000C3002"/>
    <w:rsid w:val="001312AB"/>
    <w:rsid w:val="001E38B7"/>
    <w:rsid w:val="002219D7"/>
    <w:rsid w:val="00236E18"/>
    <w:rsid w:val="00281819"/>
    <w:rsid w:val="002908CE"/>
    <w:rsid w:val="002E3E81"/>
    <w:rsid w:val="00304492"/>
    <w:rsid w:val="0039525F"/>
    <w:rsid w:val="003A5611"/>
    <w:rsid w:val="003C0E2A"/>
    <w:rsid w:val="003D554C"/>
    <w:rsid w:val="003F0A84"/>
    <w:rsid w:val="00422958"/>
    <w:rsid w:val="00464CB0"/>
    <w:rsid w:val="00481D38"/>
    <w:rsid w:val="00495F00"/>
    <w:rsid w:val="004B5C1E"/>
    <w:rsid w:val="004E72C6"/>
    <w:rsid w:val="00541765"/>
    <w:rsid w:val="00546D78"/>
    <w:rsid w:val="005B0A81"/>
    <w:rsid w:val="005B72F2"/>
    <w:rsid w:val="005F7A22"/>
    <w:rsid w:val="00611FC5"/>
    <w:rsid w:val="0061545E"/>
    <w:rsid w:val="00682571"/>
    <w:rsid w:val="006D11E0"/>
    <w:rsid w:val="006F5F08"/>
    <w:rsid w:val="00745EAC"/>
    <w:rsid w:val="00786A9A"/>
    <w:rsid w:val="007F1E56"/>
    <w:rsid w:val="008016D7"/>
    <w:rsid w:val="008215E3"/>
    <w:rsid w:val="008D67E3"/>
    <w:rsid w:val="008E7260"/>
    <w:rsid w:val="009025DA"/>
    <w:rsid w:val="00944F1A"/>
    <w:rsid w:val="00992909"/>
    <w:rsid w:val="00A00997"/>
    <w:rsid w:val="00A30B7C"/>
    <w:rsid w:val="00A63D17"/>
    <w:rsid w:val="00AD5195"/>
    <w:rsid w:val="00AF2BB4"/>
    <w:rsid w:val="00B71629"/>
    <w:rsid w:val="00B962C2"/>
    <w:rsid w:val="00BD47F2"/>
    <w:rsid w:val="00C36C8B"/>
    <w:rsid w:val="00CA4563"/>
    <w:rsid w:val="00CD3A3A"/>
    <w:rsid w:val="00D00483"/>
    <w:rsid w:val="00D07152"/>
    <w:rsid w:val="00D418EE"/>
    <w:rsid w:val="00E317C2"/>
    <w:rsid w:val="00E34BC5"/>
    <w:rsid w:val="00EB5F3C"/>
    <w:rsid w:val="00ED39AF"/>
    <w:rsid w:val="00FF3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7696"/>
  <w15:docId w15:val="{493AF2CA-EC75-3841-8F0B-9CCD4809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34BC5"/>
    <w:pPr>
      <w:keepNext/>
      <w:spacing w:before="280" w:after="100"/>
      <w:outlineLvl w:val="0"/>
    </w:pPr>
    <w:rPr>
      <w:b/>
      <w:bCs/>
      <w:color w:val="1F3864"/>
      <w:sz w:val="28"/>
      <w:szCs w:val="28"/>
    </w:rPr>
  </w:style>
  <w:style w:type="paragraph" w:styleId="Heading2">
    <w:name w:val="heading 2"/>
    <w:uiPriority w:val="9"/>
    <w:unhideWhenUsed/>
    <w:qFormat/>
    <w:rsid w:val="00E34BC5"/>
    <w:pPr>
      <w:keepNext/>
      <w:spacing w:before="200" w:after="6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317C2"/>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317C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17C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4BC5"/>
    <w:pPr>
      <w:tabs>
        <w:tab w:val="center" w:pos="4680"/>
        <w:tab w:val="right" w:pos="9360"/>
      </w:tabs>
      <w:spacing w:after="0"/>
    </w:pPr>
  </w:style>
  <w:style w:type="character" w:customStyle="1" w:styleId="HeaderChar">
    <w:name w:val="Header Char"/>
    <w:basedOn w:val="DefaultParagraphFont"/>
    <w:link w:val="Header"/>
    <w:uiPriority w:val="99"/>
    <w:rsid w:val="00E34BC5"/>
  </w:style>
  <w:style w:type="paragraph" w:styleId="Footer">
    <w:name w:val="footer"/>
    <w:basedOn w:val="Normal"/>
    <w:link w:val="FooterChar"/>
    <w:uiPriority w:val="99"/>
    <w:unhideWhenUsed/>
    <w:rsid w:val="00E34BC5"/>
    <w:pPr>
      <w:tabs>
        <w:tab w:val="center" w:pos="4680"/>
        <w:tab w:val="right" w:pos="9360"/>
      </w:tabs>
      <w:spacing w:after="0"/>
    </w:pPr>
  </w:style>
  <w:style w:type="character" w:customStyle="1" w:styleId="FooterChar">
    <w:name w:val="Footer Char"/>
    <w:basedOn w:val="DefaultParagraphFont"/>
    <w:link w:val="Footer"/>
    <w:uiPriority w:val="99"/>
    <w:rsid w:val="00E34BC5"/>
  </w:style>
  <w:style w:type="character" w:styleId="BookTitle">
    <w:name w:val="Book Title"/>
    <w:basedOn w:val="DefaultParagraphFont"/>
    <w:uiPriority w:val="33"/>
    <w:qFormat/>
    <w:rsid w:val="00E317C2"/>
    <w:rPr>
      <w:b/>
      <w:bCs/>
      <w:i/>
      <w:iCs/>
      <w:spacing w:val="5"/>
    </w:rPr>
  </w:style>
  <w:style w:type="paragraph" w:styleId="Caption">
    <w:name w:val="caption"/>
    <w:basedOn w:val="Normal"/>
    <w:next w:val="Normal"/>
    <w:uiPriority w:val="35"/>
    <w:semiHidden/>
    <w:unhideWhenUsed/>
    <w:qFormat/>
    <w:rsid w:val="00E317C2"/>
    <w:pPr>
      <w:spacing w:after="200"/>
    </w:pPr>
    <w:rPr>
      <w:i/>
      <w:iCs/>
      <w:color w:val="0E2841" w:themeColor="text2"/>
      <w:sz w:val="18"/>
      <w:szCs w:val="18"/>
    </w:rPr>
  </w:style>
  <w:style w:type="character" w:styleId="Emphasis">
    <w:name w:val="Emphasis"/>
    <w:basedOn w:val="DefaultParagraphFont"/>
    <w:uiPriority w:val="20"/>
    <w:qFormat/>
    <w:rsid w:val="00E317C2"/>
    <w:rPr>
      <w:i/>
      <w:iCs/>
    </w:rPr>
  </w:style>
  <w:style w:type="character" w:customStyle="1" w:styleId="Heading7Char">
    <w:name w:val="Heading 7 Char"/>
    <w:basedOn w:val="DefaultParagraphFont"/>
    <w:link w:val="Heading7"/>
    <w:uiPriority w:val="9"/>
    <w:semiHidden/>
    <w:rsid w:val="00E317C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317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17C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317C2"/>
    <w:rPr>
      <w:i/>
      <w:iCs/>
      <w:color w:val="156082" w:themeColor="accent1"/>
    </w:rPr>
  </w:style>
  <w:style w:type="paragraph" w:styleId="IntenseQuote">
    <w:name w:val="Intense Quote"/>
    <w:basedOn w:val="Normal"/>
    <w:next w:val="Normal"/>
    <w:link w:val="IntenseQuoteChar"/>
    <w:uiPriority w:val="30"/>
    <w:qFormat/>
    <w:rsid w:val="00E317C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317C2"/>
    <w:rPr>
      <w:i/>
      <w:iCs/>
      <w:color w:val="156082" w:themeColor="accent1"/>
    </w:rPr>
  </w:style>
  <w:style w:type="character" w:styleId="IntenseReference">
    <w:name w:val="Intense Reference"/>
    <w:basedOn w:val="DefaultParagraphFont"/>
    <w:uiPriority w:val="32"/>
    <w:qFormat/>
    <w:rsid w:val="00E317C2"/>
    <w:rPr>
      <w:b/>
      <w:bCs/>
      <w:smallCaps/>
      <w:color w:val="156082" w:themeColor="accent1"/>
      <w:spacing w:val="5"/>
    </w:rPr>
  </w:style>
  <w:style w:type="paragraph" w:styleId="NoSpacing">
    <w:name w:val="No Spacing"/>
    <w:uiPriority w:val="1"/>
    <w:qFormat/>
    <w:rsid w:val="00E317C2"/>
    <w:pPr>
      <w:spacing w:after="0"/>
    </w:pPr>
  </w:style>
  <w:style w:type="paragraph" w:styleId="Quote">
    <w:name w:val="Quote"/>
    <w:basedOn w:val="Normal"/>
    <w:next w:val="Normal"/>
    <w:link w:val="QuoteChar"/>
    <w:uiPriority w:val="29"/>
    <w:qFormat/>
    <w:rsid w:val="00E317C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317C2"/>
    <w:rPr>
      <w:i/>
      <w:iCs/>
      <w:color w:val="404040" w:themeColor="text1" w:themeTint="BF"/>
    </w:rPr>
  </w:style>
  <w:style w:type="character" w:styleId="Strong">
    <w:name w:val="Strong"/>
    <w:basedOn w:val="DefaultParagraphFont"/>
    <w:uiPriority w:val="22"/>
    <w:qFormat/>
    <w:rsid w:val="00E317C2"/>
    <w:rPr>
      <w:b/>
      <w:bCs/>
    </w:rPr>
  </w:style>
  <w:style w:type="paragraph" w:styleId="Subtitle">
    <w:name w:val="Subtitle"/>
    <w:basedOn w:val="Normal"/>
    <w:next w:val="Normal"/>
    <w:link w:val="SubtitleChar"/>
    <w:uiPriority w:val="11"/>
    <w:qFormat/>
    <w:rsid w:val="00E317C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317C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E317C2"/>
    <w:rPr>
      <w:i/>
      <w:iCs/>
      <w:color w:val="404040" w:themeColor="text1" w:themeTint="BF"/>
    </w:rPr>
  </w:style>
  <w:style w:type="character" w:styleId="SubtleReference">
    <w:name w:val="Subtle Reference"/>
    <w:basedOn w:val="DefaultParagraphFont"/>
    <w:uiPriority w:val="31"/>
    <w:qFormat/>
    <w:rsid w:val="00E317C2"/>
    <w:rPr>
      <w:smallCaps/>
      <w:color w:val="5A5A5A" w:themeColor="text1" w:themeTint="A5"/>
    </w:rPr>
  </w:style>
  <w:style w:type="paragraph" w:styleId="TOCHeading">
    <w:name w:val="TOC Heading"/>
    <w:basedOn w:val="Heading1"/>
    <w:next w:val="Normal"/>
    <w:uiPriority w:val="39"/>
    <w:unhideWhenUsed/>
    <w:qFormat/>
    <w:rsid w:val="00E317C2"/>
    <w:pPr>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219D7"/>
    <w:pPr>
      <w:spacing w:before="120" w:after="120"/>
    </w:pPr>
    <w:rPr>
      <w:rFonts w:asciiTheme="minorHAnsi" w:hAnsiTheme="minorHAnsi"/>
      <w:b/>
      <w:bCs/>
      <w:caps/>
    </w:rPr>
  </w:style>
  <w:style w:type="paragraph" w:styleId="TOC2">
    <w:name w:val="toc 2"/>
    <w:basedOn w:val="Normal"/>
    <w:next w:val="Normal"/>
    <w:autoRedefine/>
    <w:uiPriority w:val="39"/>
    <w:unhideWhenUsed/>
    <w:rsid w:val="002219D7"/>
    <w:pPr>
      <w:spacing w:after="0"/>
      <w:ind w:left="200"/>
    </w:pPr>
    <w:rPr>
      <w:rFonts w:asciiTheme="minorHAnsi" w:hAnsiTheme="minorHAnsi"/>
      <w:smallCaps/>
    </w:rPr>
  </w:style>
  <w:style w:type="paragraph" w:styleId="TOC3">
    <w:name w:val="toc 3"/>
    <w:basedOn w:val="Normal"/>
    <w:next w:val="Normal"/>
    <w:autoRedefine/>
    <w:uiPriority w:val="39"/>
    <w:semiHidden/>
    <w:unhideWhenUsed/>
    <w:rsid w:val="002219D7"/>
    <w:pPr>
      <w:spacing w:after="0"/>
      <w:ind w:left="400"/>
    </w:pPr>
    <w:rPr>
      <w:rFonts w:asciiTheme="minorHAnsi" w:hAnsiTheme="minorHAnsi"/>
      <w:i/>
      <w:iCs/>
    </w:rPr>
  </w:style>
  <w:style w:type="paragraph" w:styleId="TOC4">
    <w:name w:val="toc 4"/>
    <w:basedOn w:val="Normal"/>
    <w:next w:val="Normal"/>
    <w:autoRedefine/>
    <w:uiPriority w:val="39"/>
    <w:semiHidden/>
    <w:unhideWhenUsed/>
    <w:rsid w:val="002219D7"/>
    <w:pPr>
      <w:spacing w:after="0"/>
      <w:ind w:left="600"/>
    </w:pPr>
    <w:rPr>
      <w:rFonts w:asciiTheme="minorHAnsi" w:hAnsiTheme="minorHAnsi"/>
      <w:sz w:val="18"/>
      <w:szCs w:val="18"/>
    </w:rPr>
  </w:style>
  <w:style w:type="paragraph" w:styleId="TOC5">
    <w:name w:val="toc 5"/>
    <w:basedOn w:val="Normal"/>
    <w:next w:val="Normal"/>
    <w:autoRedefine/>
    <w:uiPriority w:val="39"/>
    <w:semiHidden/>
    <w:unhideWhenUsed/>
    <w:rsid w:val="002219D7"/>
    <w:pPr>
      <w:spacing w:after="0"/>
      <w:ind w:left="800"/>
    </w:pPr>
    <w:rPr>
      <w:rFonts w:asciiTheme="minorHAnsi" w:hAnsiTheme="minorHAnsi"/>
      <w:sz w:val="18"/>
      <w:szCs w:val="18"/>
    </w:rPr>
  </w:style>
  <w:style w:type="paragraph" w:styleId="TOC6">
    <w:name w:val="toc 6"/>
    <w:basedOn w:val="Normal"/>
    <w:next w:val="Normal"/>
    <w:autoRedefine/>
    <w:uiPriority w:val="39"/>
    <w:semiHidden/>
    <w:unhideWhenUsed/>
    <w:rsid w:val="002219D7"/>
    <w:pPr>
      <w:spacing w:after="0"/>
      <w:ind w:left="1000"/>
    </w:pPr>
    <w:rPr>
      <w:rFonts w:asciiTheme="minorHAnsi" w:hAnsiTheme="minorHAnsi"/>
      <w:sz w:val="18"/>
      <w:szCs w:val="18"/>
    </w:rPr>
  </w:style>
  <w:style w:type="paragraph" w:styleId="TOC7">
    <w:name w:val="toc 7"/>
    <w:basedOn w:val="Normal"/>
    <w:next w:val="Normal"/>
    <w:autoRedefine/>
    <w:uiPriority w:val="39"/>
    <w:semiHidden/>
    <w:unhideWhenUsed/>
    <w:rsid w:val="002219D7"/>
    <w:pPr>
      <w:spacing w:after="0"/>
      <w:ind w:left="1200"/>
    </w:pPr>
    <w:rPr>
      <w:rFonts w:asciiTheme="minorHAnsi" w:hAnsiTheme="minorHAnsi"/>
      <w:sz w:val="18"/>
      <w:szCs w:val="18"/>
    </w:rPr>
  </w:style>
  <w:style w:type="paragraph" w:styleId="TOC8">
    <w:name w:val="toc 8"/>
    <w:basedOn w:val="Normal"/>
    <w:next w:val="Normal"/>
    <w:autoRedefine/>
    <w:uiPriority w:val="39"/>
    <w:semiHidden/>
    <w:unhideWhenUsed/>
    <w:rsid w:val="002219D7"/>
    <w:pPr>
      <w:spacing w:after="0"/>
      <w:ind w:left="1400"/>
    </w:pPr>
    <w:rPr>
      <w:rFonts w:asciiTheme="minorHAnsi" w:hAnsiTheme="minorHAnsi"/>
      <w:sz w:val="18"/>
      <w:szCs w:val="18"/>
    </w:rPr>
  </w:style>
  <w:style w:type="paragraph" w:styleId="TOC9">
    <w:name w:val="toc 9"/>
    <w:basedOn w:val="Normal"/>
    <w:next w:val="Normal"/>
    <w:autoRedefine/>
    <w:uiPriority w:val="39"/>
    <w:semiHidden/>
    <w:unhideWhenUsed/>
    <w:rsid w:val="002219D7"/>
    <w:pPr>
      <w:spacing w:after="0"/>
      <w:ind w:left="160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53D97-A6B6-B141-8C48-5AAC8FCB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13006</Words>
  <Characters>73354</Characters>
  <Application>Microsoft Office Word</Application>
  <DocSecurity>0</DocSecurity>
  <Lines>1438</Lines>
  <Paragraphs>1015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Landry</cp:lastModifiedBy>
  <cp:revision>2</cp:revision>
  <dcterms:created xsi:type="dcterms:W3CDTF">2026-08-25T18:07:00Z</dcterms:created>
  <dcterms:modified xsi:type="dcterms:W3CDTF">2026-08-25T18:07:00Z</dcterms:modified>
</cp:coreProperties>
</file>