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eastAsia="Calibri" w:cs="Calibri"/>
          <w:b/>
          <w:color w:val="1F3864"/>
          <w:sz w:val="36"/>
        </w:rPr>
        <w:t>THE LANDRY SYSTEM — HARD RULES LIST</w:t>
      </w:r>
    </w:p>
    <w:p>
      <w:pPr>
        <w:pBdr>
          <w:bottom w:val="single" w:sz="8" w:space="4" w:color="1F3864"/>
        </w:pBdr>
        <w:spacing w:after="80"/>
      </w:pPr>
      <w:r>
        <w:rPr>
          <w:rFonts w:ascii="Calibri" w:hAnsi="Calibri" w:eastAsia="Calibri" w:cs="Calibri"/>
          <w:color w:val="595959"/>
          <w:sz w:val="21"/>
        </w:rPr>
        <w:t>Version 1.05 (revised 2026-10-08)  |  51 numbered Hard Rules, Parts 3–10  |  Printed October 8, 2026</w:t>
      </w:r>
    </w:p>
    <w:p>
      <w:pPr>
        <w:spacing w:before="0" w:after="40"/>
      </w:pPr>
      <w:r>
        <w:rPr>
          <w:rFonts w:ascii="Calibri" w:hAnsi="Calibri" w:eastAsia="Calibri" w:cs="Calibri"/>
          <w:i/>
          <w:color w:val="595959"/>
          <w:sz w:val="19"/>
        </w:rPr>
        <w:t>Condensed from the Master Rule Register of LANDRY_SYSTEM_v1-05_FINAL.docx; every threshold is the rulebook’s own. Rule numbers are one running sequence: inserting a rule renumbers every later one (v1.04 inserted Rule 5, so the entry rules are now 6–14 and the sell triggers 22–35). v1.05 renumbered nothing: it added the Part 6 Stop-Review Ladder, an un-numbered Hard Rules block like Hold Through (see the quick reference), and put Rule 16's sector cap at market value on direct holdings. If this list and the text inside a Part ever differ, the Part governs.</w:t>
      </w:r>
    </w:p>
    <w:p>
      <w:pPr>
        <w:spacing w:before="0" w:after="120"/>
      </w:pPr>
      <w:r>
        <w:rPr>
          <w:rFonts w:ascii="Calibri" w:hAnsi="Calibri" w:eastAsia="Calibri" w:cs="Calibri"/>
          <w:i/>
          <w:color w:val="595959"/>
          <w:sz w:val="19"/>
        </w:rPr>
        <w:t>From v1.04: no rule number changed. From v1.03: Rules 1–4 are unchanged; every v1.03 rule from 5 onward is one number higher.</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620"/>
        <w:gridCol w:w="9748"/>
      </w:tblGrid>
      <w:tr>
        <w:trPr>
          <w:cantSplit/>
        </w:trPr>
        <w:tc>
          <w:tcPr>
            <w:tcW w:w="10368" w:type="dxa"/>
            <w:gridSpan w:val="2"/>
            <w:shd w:val="clear" w:color="auto" w:fill="DCE6F1"/>
          </w:tcPr>
          <w:p>
            <w:pPr>
              <w:keepNext/>
              <w:spacing w:before="0" w:after="0" w:line="240" w:lineRule="auto"/>
            </w:pPr>
            <w:r>
              <w:rPr>
                <w:rFonts w:ascii="Calibri" w:hAnsi="Calibri" w:eastAsia="Calibri" w:cs="Calibri"/>
                <w:b/>
                <w:color w:val="1F3864"/>
                <w:sz w:val="24"/>
              </w:rPr>
              <w:t>PART 3 — Composite Score &amp; Confidence</w:t>
            </w:r>
          </w:p>
        </w:tc>
      </w:tr>
      <w:tr>
        <w:trPr>
          <w:cantSplit/>
        </w:trPr>
        <w:tc>
          <w:tcPr>
            <w:tcW w:w="620" w:type="dxa"/>
          </w:tcPr>
          <w:p>
            <w:pPr>
              <w:keepNext/>
              <w:spacing w:before="0" w:after="0" w:line="240" w:lineRule="auto"/>
              <w:jc w:val="center"/>
            </w:pPr>
            <w:r>
              <w:rPr>
                <w:rFonts w:ascii="Calibri" w:hAnsi="Calibri" w:eastAsia="Calibri" w:cs="Calibri"/>
                <w:b/>
                <w:color w:val="1F3864"/>
                <w:sz w:val="21"/>
              </w:rPr>
              <w:t>1</w:t>
            </w:r>
          </w:p>
        </w:tc>
        <w:tc>
          <w:tcPr>
            <w:tcW w:w="9748" w:type="dxa"/>
          </w:tcPr>
          <w:p>
            <w:pPr>
              <w:keepNext/>
              <w:spacing w:before="0" w:after="0" w:line="240" w:lineRule="auto"/>
            </w:pPr>
            <w:r>
              <w:rPr>
                <w:rFonts w:ascii="Calibri" w:hAnsi="Calibri" w:eastAsia="Calibri" w:cs="Calibri"/>
                <w:b/>
                <w:sz w:val="21"/>
              </w:rPr>
              <w:t xml:space="preserve">Tier 1 floor. </w:t>
            </w:r>
            <w:r>
              <w:rPr>
                <w:rFonts w:ascii="Calibri" w:hAnsi="Calibri" w:eastAsia="Calibri" w:cs="Calibri"/>
                <w:sz w:val="21"/>
              </w:rPr>
              <w:t>A Tier 1 weighted average below 3.0 cannot qualify as Buy or Strong Buy. (Tier 1 weighted average = Σ Tier 1 score × weight ÷ 0.70.)</w:t>
            </w:r>
          </w:p>
        </w:tc>
      </w:tr>
      <w:tr>
        <w:trPr>
          <w:cantSplit/>
        </w:trPr>
        <w:tc>
          <w:tcPr>
            <w:tcW w:w="620" w:type="dxa"/>
          </w:tcPr>
          <w:p>
            <w:pPr>
              <w:keepNext/>
              <w:spacing w:before="0" w:after="0" w:line="240" w:lineRule="auto"/>
              <w:jc w:val="center"/>
            </w:pPr>
            <w:r>
              <w:rPr>
                <w:rFonts w:ascii="Calibri" w:hAnsi="Calibri" w:eastAsia="Calibri" w:cs="Calibri"/>
                <w:b/>
                <w:color w:val="1F3864"/>
                <w:sz w:val="21"/>
              </w:rPr>
              <w:t>2</w:t>
            </w:r>
          </w:p>
        </w:tc>
        <w:tc>
          <w:tcPr>
            <w:tcW w:w="9748" w:type="dxa"/>
          </w:tcPr>
          <w:p>
            <w:pPr>
              <w:keepNext/>
              <w:spacing w:before="0" w:after="0" w:line="240" w:lineRule="auto"/>
            </w:pPr>
            <w:r>
              <w:rPr>
                <w:rFonts w:ascii="Calibri" w:hAnsi="Calibri" w:eastAsia="Calibri" w:cs="Calibri"/>
                <w:b/>
                <w:sz w:val="21"/>
              </w:rPr>
              <w:t xml:space="preserve">Tier 1 score of 1. </w:t>
            </w:r>
            <w:r>
              <w:rPr>
                <w:rFonts w:ascii="Calibri" w:hAnsi="Calibri" w:eastAsia="Calibri" w:cs="Calibri"/>
                <w:sz w:val="21"/>
              </w:rPr>
              <w:t>Any Tier 1 indicator scored at 1 requires a mandatory qualitative review before any decision.</w:t>
            </w:r>
          </w:p>
        </w:tc>
      </w:tr>
      <w:tr>
        <w:trPr>
          <w:cantSplit/>
        </w:trPr>
        <w:tc>
          <w:tcPr>
            <w:tcW w:w="620" w:type="dxa"/>
          </w:tcPr>
          <w:p>
            <w:pPr>
              <w:keepNext/>
              <w:spacing w:before="0" w:after="0" w:line="240" w:lineRule="auto"/>
              <w:jc w:val="center"/>
            </w:pPr>
            <w:r>
              <w:rPr>
                <w:rFonts w:ascii="Calibri" w:hAnsi="Calibri" w:eastAsia="Calibri" w:cs="Calibri"/>
                <w:b/>
                <w:color w:val="1F3864"/>
                <w:sz w:val="21"/>
              </w:rPr>
              <w:t>3</w:t>
            </w:r>
          </w:p>
        </w:tc>
        <w:tc>
          <w:tcPr>
            <w:tcW w:w="9748" w:type="dxa"/>
          </w:tcPr>
          <w:p>
            <w:pPr>
              <w:keepNext/>
              <w:spacing w:before="0" w:after="0" w:line="240" w:lineRule="auto"/>
            </w:pPr>
            <w:r>
              <w:rPr>
                <w:rFonts w:ascii="Calibri" w:hAnsi="Calibri" w:eastAsia="Calibri" w:cs="Calibri"/>
                <w:b/>
                <w:sz w:val="21"/>
              </w:rPr>
              <w:t xml:space="preserve">Two weak Tier 1s. </w:t>
            </w:r>
            <w:r>
              <w:rPr>
                <w:rFonts w:ascii="Calibri" w:hAnsi="Calibri" w:eastAsia="Calibri" w:cs="Calibri"/>
                <w:sz w:val="21"/>
              </w:rPr>
              <w:t>Two or more Tier 1 indicators scored at 2.0 or below automatically classify the stock as Avoid.</w:t>
            </w:r>
          </w:p>
        </w:tc>
      </w:tr>
      <w:tr>
        <w:trPr>
          <w:cantSplit/>
        </w:trPr>
        <w:tc>
          <w:tcPr>
            <w:tcW w:w="620" w:type="dxa"/>
          </w:tcPr>
          <w:p>
            <w:pPr>
              <w:keepNext/>
              <w:spacing w:before="0" w:after="0" w:line="240" w:lineRule="auto"/>
              <w:jc w:val="center"/>
            </w:pPr>
            <w:r>
              <w:rPr>
                <w:rFonts w:ascii="Calibri" w:hAnsi="Calibri" w:eastAsia="Calibri" w:cs="Calibri"/>
                <w:b/>
                <w:color w:val="1F3864"/>
                <w:sz w:val="21"/>
              </w:rPr>
              <w:t>4</w:t>
            </w:r>
          </w:p>
        </w:tc>
        <w:tc>
          <w:tcPr>
            <w:tcW w:w="9748" w:type="dxa"/>
          </w:tcPr>
          <w:p>
            <w:pPr>
              <w:keepNext/>
              <w:spacing w:before="0" w:after="0" w:line="240" w:lineRule="auto"/>
            </w:pPr>
            <w:r>
              <w:rPr>
                <w:rFonts w:ascii="Calibri" w:hAnsi="Calibri" w:eastAsia="Calibri" w:cs="Calibri"/>
                <w:b/>
                <w:sz w:val="21"/>
              </w:rPr>
              <w:t xml:space="preserve">Low-confidence cap. </w:t>
            </w:r>
            <w:r>
              <w:rPr>
                <w:rFonts w:ascii="Calibri" w:hAnsi="Calibri" w:eastAsia="Calibri" w:cs="Calibri"/>
                <w:sz w:val="21"/>
              </w:rPr>
              <w:t>Two or more Tier 1 indicators tagged Low Confidence: no Strong Buy. Cap the classification at Buy until re-scored with better data.</w:t>
            </w:r>
          </w:p>
        </w:tc>
      </w:tr>
      <w:tr>
        <w:trPr>
          <w:cantSplit/>
        </w:trPr>
        <w:tc>
          <w:tcPr>
            <w:tcW w:w="620" w:type="dxa"/>
          </w:tcPr>
          <w:p>
            <w:pPr>
              <w:keepNext w:val="0"/>
              <w:spacing w:before="0" w:after="0" w:line="240" w:lineRule="auto"/>
              <w:jc w:val="center"/>
            </w:pPr>
            <w:r>
              <w:rPr>
                <w:rFonts w:ascii="Calibri" w:hAnsi="Calibri" w:eastAsia="Calibri" w:cs="Calibri"/>
                <w:b/>
                <w:color w:val="1F3864"/>
                <w:sz w:val="21"/>
              </w:rPr>
              <w:t>5</w:t>
            </w:r>
          </w:p>
        </w:tc>
        <w:tc>
          <w:tcPr>
            <w:tcW w:w="9748" w:type="dxa"/>
          </w:tcPr>
          <w:p>
            <w:pPr>
              <w:keepNext w:val="0"/>
              <w:spacing w:before="0" w:after="0" w:line="240" w:lineRule="auto"/>
            </w:pPr>
            <w:r>
              <w:rPr>
                <w:rFonts w:ascii="Calibri" w:hAnsi="Calibri" w:eastAsia="Calibri" w:cs="Calibri"/>
                <w:b/>
                <w:sz w:val="21"/>
              </w:rPr>
              <w:t xml:space="preserve">Technical / momentum floor. </w:t>
            </w:r>
            <w:r>
              <w:rPr>
                <w:rFonts w:ascii="Calibri" w:hAnsi="Calibri" w:eastAsia="Calibri" w:cs="Calibri"/>
                <w:sz w:val="21"/>
              </w:rPr>
              <w:t>Relative Strength vs. SPY or Technical Trend scored at 1, at initial scoring or any later re-score, requires a mandatory qualitative review before a Buy or Strong Buy classification is relied upon, for a new entry or a position already held. Not an automatic reclassification: document the conclusion (reaffirmed, resized, or referred to Part 6) in the Journal.</w:t>
            </w:r>
          </w:p>
        </w:tc>
      </w:tr>
    </w:tbl>
    <w:p>
      <w:pPr>
        <w:spacing w:after="0" w:before="0"/>
      </w:pPr>
      <w:r>
        <w:rPr>
          <w:rFonts w:ascii="Calibri" w:hAnsi="Calibri" w:eastAsia="Calibri" w:cs="Calibri"/>
          <w:sz w:val="8"/>
        </w:rPr>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620"/>
        <w:gridCol w:w="9748"/>
      </w:tblGrid>
      <w:tr>
        <w:trPr>
          <w:cantSplit/>
        </w:trPr>
        <w:tc>
          <w:tcPr>
            <w:tcW w:w="10368" w:type="dxa"/>
            <w:gridSpan w:val="2"/>
            <w:shd w:val="clear" w:color="auto" w:fill="DCE6F1"/>
          </w:tcPr>
          <w:p>
            <w:pPr>
              <w:keepNext/>
              <w:spacing w:before="0" w:after="0" w:line="240" w:lineRule="auto"/>
            </w:pPr>
            <w:r>
              <w:rPr>
                <w:rFonts w:ascii="Calibri" w:hAnsi="Calibri" w:eastAsia="Calibri" w:cs="Calibri"/>
                <w:b/>
                <w:color w:val="1F3864"/>
                <w:sz w:val="24"/>
              </w:rPr>
              <w:t>PART 4 — Entry Rules</w:t>
            </w:r>
          </w:p>
        </w:tc>
      </w:tr>
      <w:tr>
        <w:trPr>
          <w:cantSplit/>
        </w:trPr>
        <w:tc>
          <w:tcPr>
            <w:tcW w:w="620" w:type="dxa"/>
          </w:tcPr>
          <w:p>
            <w:pPr>
              <w:keepNext/>
              <w:spacing w:before="0" w:after="0" w:line="240" w:lineRule="auto"/>
              <w:jc w:val="center"/>
            </w:pPr>
            <w:r>
              <w:rPr>
                <w:rFonts w:ascii="Calibri" w:hAnsi="Calibri" w:eastAsia="Calibri" w:cs="Calibri"/>
                <w:b/>
                <w:color w:val="1F3864"/>
                <w:sz w:val="21"/>
              </w:rPr>
              <w:t>6</w:t>
            </w:r>
          </w:p>
        </w:tc>
        <w:tc>
          <w:tcPr>
            <w:tcW w:w="9748" w:type="dxa"/>
          </w:tcPr>
          <w:p>
            <w:pPr>
              <w:keepNext/>
              <w:spacing w:before="0" w:after="0" w:line="240" w:lineRule="auto"/>
            </w:pPr>
            <w:r>
              <w:rPr>
                <w:rFonts w:ascii="Calibri" w:hAnsi="Calibri" w:eastAsia="Calibri" w:cs="Calibri"/>
                <w:b/>
                <w:sz w:val="21"/>
              </w:rPr>
              <w:t xml:space="preserve">Composite. </w:t>
            </w:r>
            <w:r>
              <w:rPr>
                <w:rFonts w:ascii="Calibri" w:hAnsi="Calibri" w:eastAsia="Calibri" w:cs="Calibri"/>
                <w:sz w:val="21"/>
              </w:rPr>
              <w:t>Composite Score of 65 or higher.</w:t>
            </w:r>
          </w:p>
        </w:tc>
      </w:tr>
      <w:tr>
        <w:trPr>
          <w:cantSplit/>
        </w:trPr>
        <w:tc>
          <w:tcPr>
            <w:tcW w:w="620" w:type="dxa"/>
          </w:tcPr>
          <w:p>
            <w:pPr>
              <w:keepNext/>
              <w:spacing w:before="0" w:after="0" w:line="240" w:lineRule="auto"/>
              <w:jc w:val="center"/>
            </w:pPr>
            <w:r>
              <w:rPr>
                <w:rFonts w:ascii="Calibri" w:hAnsi="Calibri" w:eastAsia="Calibri" w:cs="Calibri"/>
                <w:b/>
                <w:color w:val="1F3864"/>
                <w:sz w:val="21"/>
              </w:rPr>
              <w:t>7</w:t>
            </w:r>
          </w:p>
        </w:tc>
        <w:tc>
          <w:tcPr>
            <w:tcW w:w="9748" w:type="dxa"/>
          </w:tcPr>
          <w:p>
            <w:pPr>
              <w:keepNext/>
              <w:spacing w:before="0" w:after="0" w:line="240" w:lineRule="auto"/>
            </w:pPr>
            <w:r>
              <w:rPr>
                <w:rFonts w:ascii="Calibri" w:hAnsi="Calibri" w:eastAsia="Calibri" w:cs="Calibri"/>
                <w:b/>
                <w:sz w:val="21"/>
              </w:rPr>
              <w:t xml:space="preserve">Tier 1 average. </w:t>
            </w:r>
            <w:r>
              <w:rPr>
                <w:rFonts w:ascii="Calibri" w:hAnsi="Calibri" w:eastAsia="Calibri" w:cs="Calibri"/>
                <w:sz w:val="21"/>
              </w:rPr>
              <w:t>Tier 1 weighted average of 3.0 or higher.</w:t>
            </w:r>
          </w:p>
        </w:tc>
      </w:tr>
      <w:tr>
        <w:trPr>
          <w:cantSplit/>
        </w:trPr>
        <w:tc>
          <w:tcPr>
            <w:tcW w:w="620" w:type="dxa"/>
          </w:tcPr>
          <w:p>
            <w:pPr>
              <w:keepNext/>
              <w:spacing w:before="0" w:after="0" w:line="240" w:lineRule="auto"/>
              <w:jc w:val="center"/>
            </w:pPr>
            <w:r>
              <w:rPr>
                <w:rFonts w:ascii="Calibri" w:hAnsi="Calibri" w:eastAsia="Calibri" w:cs="Calibri"/>
                <w:b/>
                <w:color w:val="1F3864"/>
                <w:sz w:val="21"/>
              </w:rPr>
              <w:t>8</w:t>
            </w:r>
          </w:p>
        </w:tc>
        <w:tc>
          <w:tcPr>
            <w:tcW w:w="9748" w:type="dxa"/>
          </w:tcPr>
          <w:p>
            <w:pPr>
              <w:keepNext/>
              <w:spacing w:before="0" w:after="0" w:line="240" w:lineRule="auto"/>
            </w:pPr>
            <w:r>
              <w:rPr>
                <w:rFonts w:ascii="Calibri" w:hAnsi="Calibri" w:eastAsia="Calibri" w:cs="Calibri"/>
                <w:b/>
                <w:sz w:val="21"/>
              </w:rPr>
              <w:t xml:space="preserve">No Tier 1 at 1. </w:t>
            </w:r>
            <w:r>
              <w:rPr>
                <w:rFonts w:ascii="Calibri" w:hAnsi="Calibri" w:eastAsia="Calibri" w:cs="Calibri"/>
                <w:sz w:val="21"/>
              </w:rPr>
              <w:t>No Tier 1 indicator scored at 1.</w:t>
            </w:r>
          </w:p>
        </w:tc>
      </w:tr>
      <w:tr>
        <w:trPr>
          <w:cantSplit/>
        </w:trPr>
        <w:tc>
          <w:tcPr>
            <w:tcW w:w="620" w:type="dxa"/>
          </w:tcPr>
          <w:p>
            <w:pPr>
              <w:keepNext/>
              <w:spacing w:before="0" w:after="0" w:line="240" w:lineRule="auto"/>
              <w:jc w:val="center"/>
            </w:pPr>
            <w:r>
              <w:rPr>
                <w:rFonts w:ascii="Calibri" w:hAnsi="Calibri" w:eastAsia="Calibri" w:cs="Calibri"/>
                <w:b/>
                <w:color w:val="1F3864"/>
                <w:sz w:val="21"/>
              </w:rPr>
              <w:t>9</w:t>
            </w:r>
          </w:p>
        </w:tc>
        <w:tc>
          <w:tcPr>
            <w:tcW w:w="9748" w:type="dxa"/>
          </w:tcPr>
          <w:p>
            <w:pPr>
              <w:keepNext/>
              <w:spacing w:before="0" w:after="0" w:line="240" w:lineRule="auto"/>
            </w:pPr>
            <w:r>
              <w:rPr>
                <w:rFonts w:ascii="Calibri" w:hAnsi="Calibri" w:eastAsia="Calibri" w:cs="Calibri"/>
                <w:b/>
                <w:sz w:val="21"/>
              </w:rPr>
              <w:t xml:space="preserve">Technical staging. </w:t>
            </w:r>
            <w:r>
              <w:rPr>
                <w:rFonts w:ascii="Calibri" w:hAnsi="Calibri" w:eastAsia="Calibri" w:cs="Calibri"/>
                <w:sz w:val="21"/>
              </w:rPr>
              <w:t>Price above the 200-week moving average, or reclaimed within the past 6 months: standard initial sizing. Otherwise the first purchase is limited to 50% of the normal initial size, with a 90-day technical review.</w:t>
            </w:r>
          </w:p>
        </w:tc>
      </w:tr>
      <w:tr>
        <w:trPr>
          <w:cantSplit/>
        </w:trPr>
        <w:tc>
          <w:tcPr>
            <w:tcW w:w="620" w:type="dxa"/>
          </w:tcPr>
          <w:p>
            <w:pPr>
              <w:keepNext/>
              <w:spacing w:before="0" w:after="0" w:line="240" w:lineRule="auto"/>
              <w:jc w:val="center"/>
            </w:pPr>
            <w:r>
              <w:rPr>
                <w:rFonts w:ascii="Calibri" w:hAnsi="Calibri" w:eastAsia="Calibri" w:cs="Calibri"/>
                <w:b/>
                <w:color w:val="1F3864"/>
                <w:sz w:val="21"/>
              </w:rPr>
              <w:t>10</w:t>
            </w:r>
          </w:p>
        </w:tc>
        <w:tc>
          <w:tcPr>
            <w:tcW w:w="9748" w:type="dxa"/>
          </w:tcPr>
          <w:p>
            <w:pPr>
              <w:keepNext/>
              <w:spacing w:before="0" w:after="0" w:line="240" w:lineRule="auto"/>
            </w:pPr>
            <w:r>
              <w:rPr>
                <w:rFonts w:ascii="Calibri" w:hAnsi="Calibri" w:eastAsia="Calibri" w:cs="Calibri"/>
                <w:b/>
                <w:sz w:val="21"/>
              </w:rPr>
              <w:t xml:space="preserve">Monthly MACD. </w:t>
            </w:r>
            <w:r>
              <w:rPr>
                <w:rFonts w:ascii="Calibri" w:hAnsi="Calibri" w:eastAsia="Calibri" w:cs="Calibri"/>
                <w:sz w:val="21"/>
              </w:rPr>
              <w:t>Positive or turning positive: standard staging. Negative: initiate only at the reduced size in Rule 9. Technical weakness alone does not override a qualifying fundamental case.</w:t>
            </w:r>
          </w:p>
        </w:tc>
      </w:tr>
      <w:tr>
        <w:trPr>
          <w:cantSplit/>
        </w:trPr>
        <w:tc>
          <w:tcPr>
            <w:tcW w:w="620" w:type="dxa"/>
          </w:tcPr>
          <w:p>
            <w:pPr>
              <w:keepNext/>
              <w:spacing w:before="0" w:after="0" w:line="240" w:lineRule="auto"/>
              <w:jc w:val="center"/>
            </w:pPr>
            <w:r>
              <w:rPr>
                <w:rFonts w:ascii="Calibri" w:hAnsi="Calibri" w:eastAsia="Calibri" w:cs="Calibri"/>
                <w:b/>
                <w:color w:val="1F3864"/>
                <w:sz w:val="21"/>
              </w:rPr>
              <w:t>11</w:t>
            </w:r>
          </w:p>
        </w:tc>
        <w:tc>
          <w:tcPr>
            <w:tcW w:w="9748" w:type="dxa"/>
          </w:tcPr>
          <w:p>
            <w:pPr>
              <w:keepNext/>
              <w:spacing w:before="0" w:after="0" w:line="240" w:lineRule="auto"/>
            </w:pPr>
            <w:r>
              <w:rPr>
                <w:rFonts w:ascii="Calibri" w:hAnsi="Calibri" w:eastAsia="Calibri" w:cs="Calibri"/>
                <w:b/>
                <w:sz w:val="21"/>
              </w:rPr>
              <w:t xml:space="preserve">Binary events. </w:t>
            </w:r>
            <w:r>
              <w:rPr>
                <w:rFonts w:ascii="Calibri" w:hAnsi="Calibri" w:eastAsia="Calibri" w:cs="Calibri"/>
                <w:sz w:val="21"/>
              </w:rPr>
              <w:t>No near-term binary event risk unless the thesis explicitly includes it.</w:t>
            </w:r>
          </w:p>
        </w:tc>
      </w:tr>
      <w:tr>
        <w:trPr>
          <w:cantSplit/>
        </w:trPr>
        <w:tc>
          <w:tcPr>
            <w:tcW w:w="620" w:type="dxa"/>
          </w:tcPr>
          <w:p>
            <w:pPr>
              <w:keepNext/>
              <w:spacing w:before="0" w:after="0" w:line="240" w:lineRule="auto"/>
              <w:jc w:val="center"/>
            </w:pPr>
            <w:r>
              <w:rPr>
                <w:rFonts w:ascii="Calibri" w:hAnsi="Calibri" w:eastAsia="Calibri" w:cs="Calibri"/>
                <w:b/>
                <w:color w:val="1F3864"/>
                <w:sz w:val="21"/>
              </w:rPr>
              <w:t>12</w:t>
            </w:r>
          </w:p>
        </w:tc>
        <w:tc>
          <w:tcPr>
            <w:tcW w:w="9748" w:type="dxa"/>
          </w:tcPr>
          <w:p>
            <w:pPr>
              <w:keepNext/>
              <w:spacing w:before="0" w:after="0" w:line="240" w:lineRule="auto"/>
            </w:pPr>
            <w:r>
              <w:rPr>
                <w:rFonts w:ascii="Calibri" w:hAnsi="Calibri" w:eastAsia="Calibri" w:cs="Calibri"/>
                <w:b/>
                <w:sz w:val="21"/>
              </w:rPr>
              <w:t xml:space="preserve">Bear Case. </w:t>
            </w:r>
            <w:r>
              <w:rPr>
                <w:rFonts w:ascii="Calibri" w:hAnsi="Calibri" w:eastAsia="Calibri" w:cs="Calibri"/>
                <w:sz w:val="21"/>
              </w:rPr>
              <w:t>At entry, compute the implied 5-year annualized total return under a documented Bear Case (non-cyclicals: cut the Base Case FCF growth assumption by at least 50% and use a conservative terminal multiple; cyclicals: a documented trough-cycle assumption). It must be 0% or higher; if negative, do not enter regardless of Composite Score.</w:t>
            </w:r>
          </w:p>
        </w:tc>
      </w:tr>
      <w:tr>
        <w:trPr>
          <w:cantSplit/>
        </w:trPr>
        <w:tc>
          <w:tcPr>
            <w:tcW w:w="620" w:type="dxa"/>
          </w:tcPr>
          <w:p>
            <w:pPr>
              <w:keepNext/>
              <w:spacing w:before="0" w:after="0" w:line="240" w:lineRule="auto"/>
              <w:jc w:val="center"/>
            </w:pPr>
            <w:r>
              <w:rPr>
                <w:rFonts w:ascii="Calibri" w:hAnsi="Calibri" w:eastAsia="Calibri" w:cs="Calibri"/>
                <w:b/>
                <w:color w:val="1F3864"/>
                <w:sz w:val="21"/>
              </w:rPr>
              <w:t>13</w:t>
            </w:r>
          </w:p>
        </w:tc>
        <w:tc>
          <w:tcPr>
            <w:tcW w:w="9748" w:type="dxa"/>
          </w:tcPr>
          <w:p>
            <w:pPr>
              <w:keepNext/>
              <w:spacing w:before="0" w:after="0" w:line="240" w:lineRule="auto"/>
            </w:pPr>
            <w:r>
              <w:rPr>
                <w:rFonts w:ascii="Calibri" w:hAnsi="Calibri" w:eastAsia="Calibri" w:cs="Calibri"/>
                <w:b/>
                <w:sz w:val="21"/>
              </w:rPr>
              <w:t xml:space="preserve">Scenarios. </w:t>
            </w:r>
            <w:r>
              <w:rPr>
                <w:rFonts w:ascii="Calibri" w:hAnsi="Calibri" w:eastAsia="Calibri" w:cs="Calibri"/>
                <w:sz w:val="21"/>
              </w:rPr>
              <w:t>At entry and at each annual re-score, document Bull, Base and Bear, each with its own implied 5-year return and a Likely / Possible / Unlikely tag. Exactly one is Likely. No numeric probabilities.</w:t>
            </w:r>
          </w:p>
        </w:tc>
      </w:tr>
      <w:tr>
        <w:trPr>
          <w:cantSplit/>
        </w:trPr>
        <w:tc>
          <w:tcPr>
            <w:tcW w:w="620" w:type="dxa"/>
          </w:tcPr>
          <w:p>
            <w:pPr>
              <w:keepNext w:val="0"/>
              <w:spacing w:before="0" w:after="0" w:line="240" w:lineRule="auto"/>
              <w:jc w:val="center"/>
            </w:pPr>
            <w:r>
              <w:rPr>
                <w:rFonts w:ascii="Calibri" w:hAnsi="Calibri" w:eastAsia="Calibri" w:cs="Calibri"/>
                <w:b/>
                <w:color w:val="1F3864"/>
                <w:sz w:val="21"/>
              </w:rPr>
              <w:t>14</w:t>
            </w:r>
          </w:p>
        </w:tc>
        <w:tc>
          <w:tcPr>
            <w:tcW w:w="9748" w:type="dxa"/>
          </w:tcPr>
          <w:p>
            <w:pPr>
              <w:keepNext w:val="0"/>
              <w:spacing w:before="0" w:after="0" w:line="240" w:lineRule="auto"/>
            </w:pPr>
            <w:r>
              <w:rPr>
                <w:rFonts w:ascii="Calibri" w:hAnsi="Calibri" w:eastAsia="Calibri" w:cs="Calibri"/>
                <w:b/>
                <w:sz w:val="21"/>
              </w:rPr>
              <w:t xml:space="preserve">Valuation ceiling. </w:t>
            </w:r>
            <w:r>
              <w:rPr>
                <w:rFonts w:ascii="Calibri" w:hAnsi="Calibri" w:eastAsia="Calibri" w:cs="Calibri"/>
                <w:sz w:val="21"/>
              </w:rPr>
              <w:t>No new nonfinancial operating-company position when P/FCF exceeds 50x, unless both (a) documented consensus FCF growth exceeds 30% annualized for at least the next two years and (b) the Bear Case clears the 0%-or-higher implied-return threshold. Use the Part 10 substitute where P/FCF is not economically meaningful.</w:t>
            </w:r>
          </w:p>
        </w:tc>
      </w:tr>
    </w:tbl>
    <w:p>
      <w:pPr>
        <w:spacing w:after="0" w:before="0"/>
      </w:pPr>
      <w:r>
        <w:rPr>
          <w:rFonts w:ascii="Calibri" w:hAnsi="Calibri" w:eastAsia="Calibri" w:cs="Calibri"/>
          <w:sz w:val="8"/>
        </w:rPr>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620"/>
        <w:gridCol w:w="9748"/>
      </w:tblGrid>
      <w:tr>
        <w:trPr>
          <w:cantSplit/>
        </w:trPr>
        <w:tc>
          <w:tcPr>
            <w:tcW w:w="10368" w:type="dxa"/>
            <w:gridSpan w:val="2"/>
            <w:shd w:val="clear" w:color="auto" w:fill="DCE6F1"/>
          </w:tcPr>
          <w:p>
            <w:pPr>
              <w:keepNext/>
              <w:spacing w:before="0" w:after="0" w:line="240" w:lineRule="auto"/>
            </w:pPr>
            <w:r>
              <w:rPr>
                <w:rFonts w:ascii="Calibri" w:hAnsi="Calibri" w:eastAsia="Calibri" w:cs="Calibri"/>
                <w:b/>
                <w:color w:val="1F3864"/>
                <w:sz w:val="24"/>
              </w:rPr>
              <w:t>PART 5 — Position Sizing</w:t>
            </w:r>
          </w:p>
        </w:tc>
      </w:tr>
      <w:tr>
        <w:trPr>
          <w:cantSplit/>
        </w:trPr>
        <w:tc>
          <w:tcPr>
            <w:tcW w:w="620" w:type="dxa"/>
          </w:tcPr>
          <w:p>
            <w:pPr>
              <w:keepNext/>
              <w:spacing w:before="0" w:after="0" w:line="240" w:lineRule="auto"/>
              <w:jc w:val="center"/>
            </w:pPr>
            <w:r>
              <w:rPr>
                <w:rFonts w:ascii="Calibri" w:hAnsi="Calibri" w:eastAsia="Calibri" w:cs="Calibri"/>
                <w:b/>
                <w:color w:val="1F3864"/>
                <w:sz w:val="21"/>
              </w:rPr>
              <w:t>15</w:t>
            </w:r>
          </w:p>
        </w:tc>
        <w:tc>
          <w:tcPr>
            <w:tcW w:w="9748" w:type="dxa"/>
          </w:tcPr>
          <w:p>
            <w:pPr>
              <w:keepNext/>
              <w:spacing w:before="0" w:after="0" w:line="240" w:lineRule="auto"/>
            </w:pPr>
            <w:r>
              <w:rPr>
                <w:rFonts w:ascii="Calibri" w:hAnsi="Calibri" w:eastAsia="Calibri" w:cs="Calibri"/>
                <w:b/>
                <w:sz w:val="21"/>
              </w:rPr>
              <w:t xml:space="preserve">Position cap. </w:t>
            </w:r>
            <w:r>
              <w:rPr>
                <w:rFonts w:ascii="Calibri" w:hAnsi="Calibri" w:eastAsia="Calibri" w:cs="Calibri"/>
                <w:sz w:val="21"/>
              </w:rPr>
              <w:t>No single position above 8% of portfolio at cost.</w:t>
            </w:r>
          </w:p>
        </w:tc>
      </w:tr>
      <w:tr>
        <w:trPr>
          <w:cantSplit/>
        </w:trPr>
        <w:tc>
          <w:tcPr>
            <w:tcW w:w="620" w:type="dxa"/>
          </w:tcPr>
          <w:p>
            <w:pPr>
              <w:keepNext/>
              <w:spacing w:before="0" w:after="0" w:line="240" w:lineRule="auto"/>
              <w:jc w:val="center"/>
            </w:pPr>
            <w:r>
              <w:rPr>
                <w:rFonts w:ascii="Calibri" w:hAnsi="Calibri" w:eastAsia="Calibri" w:cs="Calibri"/>
                <w:b/>
                <w:color w:val="1F3864"/>
                <w:sz w:val="21"/>
              </w:rPr>
              <w:t>16</w:t>
            </w:r>
          </w:p>
        </w:tc>
        <w:tc>
          <w:tcPr>
            <w:tcW w:w="9748" w:type="dxa"/>
          </w:tcPr>
          <w:p>
            <w:pPr>
              <w:keepNext/>
              <w:spacing w:before="0" w:after="0" w:line="240" w:lineRule="auto"/>
            </w:pPr>
            <w:r>
              <w:rPr>
                <w:rFonts w:ascii="Calibri" w:hAnsi="Calibri" w:eastAsia="Calibri" w:cs="Calibri"/>
                <w:b/>
                <w:sz w:val="21"/>
              </w:rPr>
              <w:t xml:space="preserve">Sector cap. </w:t>
            </w:r>
            <w:r>
              <w:rPr>
                <w:rFonts w:ascii="Calibri" w:hAnsi="Calibri" w:eastAsia="Calibri" w:cs="Calibri"/>
                <w:sz w:val="21"/>
              </w:rPr>
              <w:t>No single sector above 25% of portfolio, measured at market value on direct holdings (ETFs are not looked through).</w:t>
            </w:r>
          </w:p>
        </w:tc>
      </w:tr>
      <w:tr>
        <w:trPr>
          <w:cantSplit/>
        </w:trPr>
        <w:tc>
          <w:tcPr>
            <w:tcW w:w="620" w:type="dxa"/>
          </w:tcPr>
          <w:p>
            <w:pPr>
              <w:keepNext/>
              <w:spacing w:before="0" w:after="0" w:line="240" w:lineRule="auto"/>
              <w:jc w:val="center"/>
            </w:pPr>
            <w:r>
              <w:rPr>
                <w:rFonts w:ascii="Calibri" w:hAnsi="Calibri" w:eastAsia="Calibri" w:cs="Calibri"/>
                <w:b/>
                <w:color w:val="1F3864"/>
                <w:sz w:val="21"/>
              </w:rPr>
              <w:t>17</w:t>
            </w:r>
          </w:p>
        </w:tc>
        <w:tc>
          <w:tcPr>
            <w:tcW w:w="9748" w:type="dxa"/>
          </w:tcPr>
          <w:p>
            <w:pPr>
              <w:keepNext/>
              <w:spacing w:before="0" w:after="0" w:line="240" w:lineRule="auto"/>
            </w:pPr>
            <w:r>
              <w:rPr>
                <w:rFonts w:ascii="Calibri" w:hAnsi="Calibri" w:eastAsia="Calibri" w:cs="Calibri"/>
                <w:b/>
                <w:sz w:val="21"/>
              </w:rPr>
              <w:t xml:space="preserve">Position floor. </w:t>
            </w:r>
            <w:r>
              <w:rPr>
                <w:rFonts w:ascii="Calibri" w:hAnsi="Calibri" w:eastAsia="Calibri" w:cs="Calibri"/>
                <w:sz w:val="21"/>
              </w:rPr>
              <w:t>At least 12 qualifying positions in a fully invested portfolio (12 is a floor, not a guarantee).</w:t>
            </w:r>
          </w:p>
        </w:tc>
      </w:tr>
      <w:tr>
        <w:trPr>
          <w:cantSplit/>
        </w:trPr>
        <w:tc>
          <w:tcPr>
            <w:tcW w:w="620" w:type="dxa"/>
          </w:tcPr>
          <w:p>
            <w:pPr>
              <w:keepNext/>
              <w:spacing w:before="0" w:after="0" w:line="240" w:lineRule="auto"/>
              <w:jc w:val="center"/>
            </w:pPr>
            <w:r>
              <w:rPr>
                <w:rFonts w:ascii="Calibri" w:hAnsi="Calibri" w:eastAsia="Calibri" w:cs="Calibri"/>
                <w:b/>
                <w:color w:val="1F3864"/>
                <w:sz w:val="21"/>
              </w:rPr>
              <w:t>18</w:t>
            </w:r>
          </w:p>
        </w:tc>
        <w:tc>
          <w:tcPr>
            <w:tcW w:w="9748" w:type="dxa"/>
          </w:tcPr>
          <w:p>
            <w:pPr>
              <w:keepNext/>
              <w:spacing w:before="0" w:after="0" w:line="240" w:lineRule="auto"/>
            </w:pPr>
            <w:r>
              <w:rPr>
                <w:rFonts w:ascii="Calibri" w:hAnsi="Calibri" w:eastAsia="Calibri" w:cs="Calibri"/>
                <w:b/>
                <w:sz w:val="21"/>
              </w:rPr>
              <w:t xml:space="preserve">Cash band. </w:t>
            </w:r>
            <w:r>
              <w:rPr>
                <w:rFonts w:ascii="Calibri" w:hAnsi="Calibri" w:eastAsia="Calibri" w:cs="Calibri"/>
                <w:sz w:val="21"/>
              </w:rPr>
              <w:t>Cash always between 5% and 15%, for dry powder and risk management.</w:t>
            </w:r>
          </w:p>
        </w:tc>
      </w:tr>
      <w:tr>
        <w:trPr>
          <w:cantSplit/>
        </w:trPr>
        <w:tc>
          <w:tcPr>
            <w:tcW w:w="620" w:type="dxa"/>
          </w:tcPr>
          <w:p>
            <w:pPr>
              <w:keepNext/>
              <w:spacing w:before="0" w:after="0" w:line="240" w:lineRule="auto"/>
              <w:jc w:val="center"/>
            </w:pPr>
            <w:r>
              <w:rPr>
                <w:rFonts w:ascii="Calibri" w:hAnsi="Calibri" w:eastAsia="Calibri" w:cs="Calibri"/>
                <w:b/>
                <w:color w:val="1F3864"/>
                <w:sz w:val="21"/>
              </w:rPr>
              <w:t>19</w:t>
            </w:r>
          </w:p>
        </w:tc>
        <w:tc>
          <w:tcPr>
            <w:tcW w:w="9748" w:type="dxa"/>
          </w:tcPr>
          <w:p>
            <w:pPr>
              <w:keepNext/>
              <w:spacing w:before="0" w:after="0" w:line="240" w:lineRule="auto"/>
            </w:pPr>
            <w:r>
              <w:rPr>
                <w:rFonts w:ascii="Calibri" w:hAnsi="Calibri" w:eastAsia="Calibri" w:cs="Calibri"/>
                <w:b/>
                <w:sz w:val="21"/>
              </w:rPr>
              <w:t xml:space="preserve">No threshold lowering. </w:t>
            </w:r>
            <w:r>
              <w:rPr>
                <w:rFonts w:ascii="Calibri" w:hAnsi="Calibri" w:eastAsia="Calibri" w:cs="Calibri"/>
                <w:sz w:val="21"/>
              </w:rPr>
              <w:t>If fewer than 12 candidates qualify (Composite Score 65 or higher), do not lower the threshold to reach full investment. Hold the difference in cash.</w:t>
            </w:r>
          </w:p>
        </w:tc>
      </w:tr>
      <w:tr>
        <w:trPr>
          <w:cantSplit/>
        </w:trPr>
        <w:tc>
          <w:tcPr>
            <w:tcW w:w="620" w:type="dxa"/>
          </w:tcPr>
          <w:p>
            <w:pPr>
              <w:keepNext/>
              <w:spacing w:before="0" w:after="0" w:line="240" w:lineRule="auto"/>
              <w:jc w:val="center"/>
            </w:pPr>
            <w:r>
              <w:rPr>
                <w:rFonts w:ascii="Calibri" w:hAnsi="Calibri" w:eastAsia="Calibri" w:cs="Calibri"/>
                <w:b/>
                <w:color w:val="1F3864"/>
                <w:sz w:val="21"/>
              </w:rPr>
              <w:t>20</w:t>
            </w:r>
          </w:p>
        </w:tc>
        <w:tc>
          <w:tcPr>
            <w:tcW w:w="9748" w:type="dxa"/>
          </w:tcPr>
          <w:p>
            <w:pPr>
              <w:keepNext/>
              <w:spacing w:before="0" w:after="0" w:line="240" w:lineRule="auto"/>
            </w:pPr>
            <w:r>
              <w:rPr>
                <w:rFonts w:ascii="Calibri" w:hAnsi="Calibri" w:eastAsia="Calibri" w:cs="Calibri"/>
                <w:b/>
                <w:sz w:val="21"/>
              </w:rPr>
              <w:t xml:space="preserve">Leverage cap. </w:t>
            </w:r>
            <w:r>
              <w:rPr>
                <w:rFonts w:ascii="Calibri" w:hAnsi="Calibri" w:eastAsia="Calibri" w:cs="Calibri"/>
                <w:sz w:val="21"/>
              </w:rPr>
              <w:t>Nonfinancial operating companies with Debt/FCF above 5x are capped at Composite 65 (no Strong Buy); the −1% sizing modifier applies above 4x. For financials and other businesses where Debt/FCF is not meaningful, use the Part 10 balance-sheet substitute.</w:t>
            </w:r>
          </w:p>
        </w:tc>
      </w:tr>
      <w:tr>
        <w:trPr>
          <w:cantSplit/>
        </w:trPr>
        <w:tc>
          <w:tcPr>
            <w:tcW w:w="620" w:type="dxa"/>
          </w:tcPr>
          <w:p>
            <w:pPr>
              <w:keepNext w:val="0"/>
              <w:spacing w:before="0" w:after="0" w:line="240" w:lineRule="auto"/>
              <w:jc w:val="center"/>
            </w:pPr>
            <w:r>
              <w:rPr>
                <w:rFonts w:ascii="Calibri" w:hAnsi="Calibri" w:eastAsia="Calibri" w:cs="Calibri"/>
                <w:b/>
                <w:color w:val="1F3864"/>
                <w:sz w:val="21"/>
              </w:rPr>
              <w:t>21</w:t>
            </w:r>
          </w:p>
        </w:tc>
        <w:tc>
          <w:tcPr>
            <w:tcW w:w="9748" w:type="dxa"/>
          </w:tcPr>
          <w:p>
            <w:pPr>
              <w:keepNext w:val="0"/>
              <w:spacing w:before="0" w:after="0" w:line="240" w:lineRule="auto"/>
            </w:pPr>
            <w:r>
              <w:rPr>
                <w:rFonts w:ascii="Calibri" w:hAnsi="Calibri" w:eastAsia="Calibri" w:cs="Calibri"/>
                <w:b/>
                <w:sz w:val="21"/>
              </w:rPr>
              <w:t xml:space="preserve">Beta overlay. </w:t>
            </w:r>
            <w:r>
              <w:rPr>
                <w:rFonts w:ascii="Calibri" w:hAnsi="Calibri" w:eastAsia="Calibri" w:cs="Calibri"/>
                <w:sz w:val="21"/>
              </w:rPr>
              <w:t>Use 5-year weekly beta, 2-year as fallback. Reduce the maximum full position by 1% for beta 1.40 to 1.59 and by 2% for beta 1.60 or higher; total beta adjustment capped at 2%. A sizing input only: investigate material disagreement across data sources, and assign Low Confidence when no reliable estimate exists.</w:t>
            </w:r>
          </w:p>
        </w:tc>
      </w:tr>
    </w:tbl>
    <w:p>
      <w:pPr>
        <w:spacing w:after="0" w:before="0"/>
      </w:pPr>
      <w:r>
        <w:rPr>
          <w:rFonts w:ascii="Calibri" w:hAnsi="Calibri" w:eastAsia="Calibri" w:cs="Calibri"/>
          <w:sz w:val="8"/>
        </w:rPr>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620"/>
        <w:gridCol w:w="9748"/>
      </w:tblGrid>
      <w:tr>
        <w:trPr>
          <w:cantSplit/>
        </w:trPr>
        <w:tc>
          <w:tcPr>
            <w:tcW w:w="10368" w:type="dxa"/>
            <w:gridSpan w:val="2"/>
            <w:shd w:val="clear" w:color="auto" w:fill="DCE6F1"/>
          </w:tcPr>
          <w:p>
            <w:pPr>
              <w:keepNext/>
              <w:spacing w:before="0" w:after="0" w:line="240" w:lineRule="auto"/>
            </w:pPr>
            <w:r>
              <w:rPr>
                <w:rFonts w:ascii="Calibri" w:hAnsi="Calibri" w:eastAsia="Calibri" w:cs="Calibri"/>
                <w:b/>
                <w:color w:val="1F3864"/>
                <w:sz w:val="24"/>
              </w:rPr>
              <w:t>PART 6 — Exit &amp; Sell Discipline</w:t>
            </w:r>
          </w:p>
        </w:tc>
      </w:tr>
      <w:tr>
        <w:trPr>
          <w:cantSplit/>
        </w:trPr>
        <w:tc>
          <w:tcPr>
            <w:tcW w:w="10368" w:type="dxa"/>
            <w:gridSpan w:val="2"/>
            <w:shd w:val="clear" w:color="auto" w:fill="F2F2F2"/>
          </w:tcPr>
          <w:p>
            <w:pPr>
              <w:keepNext/>
              <w:spacing w:before="0" w:after="0" w:line="240" w:lineRule="auto"/>
            </w:pPr>
            <w:r>
              <w:rPr>
                <w:rFonts w:ascii="Calibri" w:hAnsi="Calibri" w:eastAsia="Calibri" w:cs="Calibri"/>
                <w:b/>
                <w:i/>
                <w:color w:val="1F3864"/>
                <w:sz w:val="19"/>
              </w:rPr>
              <w:t>Sell triggers — fundamental (act within 30 days of confirmation)</w:t>
            </w:r>
          </w:p>
        </w:tc>
      </w:tr>
      <w:tr>
        <w:trPr>
          <w:cantSplit/>
        </w:trPr>
        <w:tc>
          <w:tcPr>
            <w:tcW w:w="620" w:type="dxa"/>
          </w:tcPr>
          <w:p>
            <w:pPr>
              <w:spacing w:before="0" w:after="0" w:line="240" w:lineRule="auto"/>
              <w:jc w:val="center"/>
            </w:pPr>
            <w:r>
              <w:rPr>
                <w:rFonts w:ascii="Calibri" w:hAnsi="Calibri" w:eastAsia="Calibri" w:cs="Calibri"/>
                <w:b/>
                <w:color w:val="1F3864"/>
                <w:sz w:val="21"/>
              </w:rPr>
              <w:t>22</w:t>
            </w:r>
          </w:p>
        </w:tc>
        <w:tc>
          <w:tcPr>
            <w:tcW w:w="9748" w:type="dxa"/>
          </w:tcPr>
          <w:p>
            <w:pPr>
              <w:spacing w:before="0" w:after="0" w:line="240" w:lineRule="auto"/>
            </w:pPr>
            <w:r>
              <w:rPr>
                <w:rFonts w:ascii="Calibri" w:hAnsi="Calibri" w:eastAsia="Calibri" w:cs="Calibri"/>
                <w:sz w:val="21"/>
              </w:rPr>
              <w:t>FCF Yield &amp; Trend falls to 1 for two consecutive quarters.</w:t>
            </w:r>
          </w:p>
        </w:tc>
      </w:tr>
      <w:tr>
        <w:trPr>
          <w:cantSplit/>
        </w:trPr>
        <w:tc>
          <w:tcPr>
            <w:tcW w:w="620" w:type="dxa"/>
          </w:tcPr>
          <w:p>
            <w:pPr>
              <w:spacing w:before="0" w:after="0" w:line="240" w:lineRule="auto"/>
              <w:jc w:val="center"/>
            </w:pPr>
            <w:r>
              <w:rPr>
                <w:rFonts w:ascii="Calibri" w:hAnsi="Calibri" w:eastAsia="Calibri" w:cs="Calibri"/>
                <w:b/>
                <w:color w:val="1F3864"/>
                <w:sz w:val="21"/>
              </w:rPr>
              <w:t>23</w:t>
            </w:r>
          </w:p>
        </w:tc>
        <w:tc>
          <w:tcPr>
            <w:tcW w:w="9748" w:type="dxa"/>
          </w:tcPr>
          <w:p>
            <w:pPr>
              <w:spacing w:before="0" w:after="0" w:line="240" w:lineRule="auto"/>
            </w:pPr>
            <w:r>
              <w:rPr>
                <w:rFonts w:ascii="Calibri" w:hAnsi="Calibri" w:eastAsia="Calibri" w:cs="Calibri"/>
                <w:sz w:val="21"/>
              </w:rPr>
              <w:t>Competitive Moat degrades from durable to absent.</w:t>
            </w:r>
          </w:p>
        </w:tc>
      </w:tr>
      <w:tr>
        <w:trPr>
          <w:cantSplit/>
        </w:trPr>
        <w:tc>
          <w:tcPr>
            <w:tcW w:w="620" w:type="dxa"/>
          </w:tcPr>
          <w:p>
            <w:pPr>
              <w:spacing w:before="0" w:after="0" w:line="240" w:lineRule="auto"/>
              <w:jc w:val="center"/>
            </w:pPr>
            <w:r>
              <w:rPr>
                <w:rFonts w:ascii="Calibri" w:hAnsi="Calibri" w:eastAsia="Calibri" w:cs="Calibri"/>
                <w:b/>
                <w:color w:val="1F3864"/>
                <w:sz w:val="21"/>
              </w:rPr>
              <w:t>24</w:t>
            </w:r>
          </w:p>
        </w:tc>
        <w:tc>
          <w:tcPr>
            <w:tcW w:w="9748" w:type="dxa"/>
          </w:tcPr>
          <w:p>
            <w:pPr>
              <w:spacing w:before="0" w:after="0" w:line="240" w:lineRule="auto"/>
            </w:pPr>
            <w:r>
              <w:rPr>
                <w:rFonts w:ascii="Calibri" w:hAnsi="Calibri" w:eastAsia="Calibri" w:cs="Calibri"/>
                <w:sz w:val="21"/>
              </w:rPr>
              <w:t>ROIC falls below WACC for two consecutive years.</w:t>
            </w:r>
          </w:p>
        </w:tc>
      </w:tr>
      <w:tr>
        <w:trPr>
          <w:cantSplit/>
        </w:trPr>
        <w:tc>
          <w:tcPr>
            <w:tcW w:w="620" w:type="dxa"/>
          </w:tcPr>
          <w:p>
            <w:pPr>
              <w:spacing w:before="0" w:after="0" w:line="240" w:lineRule="auto"/>
              <w:jc w:val="center"/>
            </w:pPr>
            <w:r>
              <w:rPr>
                <w:rFonts w:ascii="Calibri" w:hAnsi="Calibri" w:eastAsia="Calibri" w:cs="Calibri"/>
                <w:b/>
                <w:color w:val="1F3864"/>
                <w:sz w:val="21"/>
              </w:rPr>
              <w:t>25</w:t>
            </w:r>
          </w:p>
        </w:tc>
        <w:tc>
          <w:tcPr>
            <w:tcW w:w="9748" w:type="dxa"/>
          </w:tcPr>
          <w:p>
            <w:pPr>
              <w:spacing w:before="0" w:after="0" w:line="240" w:lineRule="auto"/>
            </w:pPr>
            <w:r>
              <w:rPr>
                <w:rFonts w:ascii="Calibri" w:hAnsi="Calibri" w:eastAsia="Calibri" w:cs="Calibri"/>
                <w:sz w:val="21"/>
              </w:rPr>
              <w:t>Management quality falls to 1 because of destructive capital allocation.</w:t>
            </w:r>
          </w:p>
        </w:tc>
      </w:tr>
      <w:tr>
        <w:trPr>
          <w:cantSplit/>
        </w:trPr>
        <w:tc>
          <w:tcPr>
            <w:tcW w:w="620" w:type="dxa"/>
          </w:tcPr>
          <w:p>
            <w:pPr>
              <w:spacing w:before="0" w:after="0" w:line="240" w:lineRule="auto"/>
              <w:jc w:val="center"/>
            </w:pPr>
            <w:r>
              <w:rPr>
                <w:rFonts w:ascii="Calibri" w:hAnsi="Calibri" w:eastAsia="Calibri" w:cs="Calibri"/>
                <w:b/>
                <w:color w:val="1F3864"/>
                <w:sz w:val="21"/>
              </w:rPr>
              <w:t>26</w:t>
            </w:r>
          </w:p>
        </w:tc>
        <w:tc>
          <w:tcPr>
            <w:tcW w:w="9748" w:type="dxa"/>
          </w:tcPr>
          <w:p>
            <w:pPr>
              <w:spacing w:before="0" w:after="0" w:line="240" w:lineRule="auto"/>
            </w:pPr>
            <w:r>
              <w:rPr>
                <w:rFonts w:ascii="Calibri" w:hAnsi="Calibri" w:eastAsia="Calibri" w:cs="Calibri"/>
                <w:sz w:val="21"/>
              </w:rPr>
              <w:t>Revenue growth turns negative for two consecutive quarters without a credible cyclical explanation (a documented cycle rationale applies here as in Part 4).</w:t>
            </w:r>
          </w:p>
        </w:tc>
      </w:tr>
      <w:tr>
        <w:trPr>
          <w:cantSplit/>
        </w:trPr>
        <w:tc>
          <w:tcPr>
            <w:tcW w:w="10368" w:type="dxa"/>
            <w:gridSpan w:val="2"/>
            <w:shd w:val="clear" w:color="auto" w:fill="F2F2F2"/>
          </w:tcPr>
          <w:p>
            <w:pPr>
              <w:keepNext/>
              <w:spacing w:before="0" w:after="0" w:line="240" w:lineRule="auto"/>
            </w:pPr>
            <w:r>
              <w:rPr>
                <w:rFonts w:ascii="Calibri" w:hAnsi="Calibri" w:eastAsia="Calibri" w:cs="Calibri"/>
                <w:b/>
                <w:i/>
                <w:color w:val="1F3864"/>
                <w:sz w:val="19"/>
              </w:rPr>
              <w:t>Sell triggers — valuation (trim or sell when price exceeds intrinsic value), then score-band rules</w:t>
            </w:r>
          </w:p>
        </w:tc>
      </w:tr>
      <w:tr>
        <w:trPr>
          <w:cantSplit/>
        </w:trPr>
        <w:tc>
          <w:tcPr>
            <w:tcW w:w="620" w:type="dxa"/>
          </w:tcPr>
          <w:p>
            <w:pPr>
              <w:spacing w:before="0" w:after="0" w:line="240" w:lineRule="auto"/>
              <w:jc w:val="center"/>
            </w:pPr>
            <w:r>
              <w:rPr>
                <w:rFonts w:ascii="Calibri" w:hAnsi="Calibri" w:eastAsia="Calibri" w:cs="Calibri"/>
                <w:b/>
                <w:color w:val="1F3864"/>
                <w:sz w:val="21"/>
              </w:rPr>
              <w:t>27</w:t>
            </w:r>
          </w:p>
        </w:tc>
        <w:tc>
          <w:tcPr>
            <w:tcW w:w="9748" w:type="dxa"/>
          </w:tcPr>
          <w:p>
            <w:pPr>
              <w:spacing w:before="0" w:after="0" w:line="240" w:lineRule="auto"/>
            </w:pPr>
            <w:r>
              <w:rPr>
                <w:rFonts w:ascii="Calibri" w:hAnsi="Calibri" w:eastAsia="Calibri" w:cs="Calibri"/>
                <w:sz w:val="21"/>
              </w:rPr>
              <w:t>Debt-to-FCF exceeds 6x with no credible deleveraging path.</w:t>
            </w:r>
          </w:p>
        </w:tc>
      </w:tr>
      <w:tr>
        <w:trPr>
          <w:cantSplit/>
        </w:trPr>
        <w:tc>
          <w:tcPr>
            <w:tcW w:w="620" w:type="dxa"/>
          </w:tcPr>
          <w:p>
            <w:pPr>
              <w:spacing w:before="0" w:after="0" w:line="240" w:lineRule="auto"/>
              <w:jc w:val="center"/>
            </w:pPr>
            <w:r>
              <w:rPr>
                <w:rFonts w:ascii="Calibri" w:hAnsi="Calibri" w:eastAsia="Calibri" w:cs="Calibri"/>
                <w:b/>
                <w:color w:val="1F3864"/>
                <w:sz w:val="21"/>
              </w:rPr>
              <w:t>28</w:t>
            </w:r>
          </w:p>
        </w:tc>
        <w:tc>
          <w:tcPr>
            <w:tcW w:w="9748" w:type="dxa"/>
          </w:tcPr>
          <w:p>
            <w:pPr>
              <w:spacing w:before="0" w:after="0" w:line="240" w:lineRule="auto"/>
            </w:pPr>
            <w:r>
              <w:rPr>
                <w:rFonts w:ascii="Calibri" w:hAnsi="Calibri" w:eastAsia="Calibri" w:cs="Calibri"/>
                <w:sz w:val="21"/>
              </w:rPr>
              <w:t>P/FCF rises above 50x while FCF growth is below 15%.</w:t>
            </w:r>
          </w:p>
        </w:tc>
      </w:tr>
      <w:tr>
        <w:trPr>
          <w:cantSplit/>
        </w:trPr>
        <w:tc>
          <w:tcPr>
            <w:tcW w:w="620" w:type="dxa"/>
          </w:tcPr>
          <w:p>
            <w:pPr>
              <w:spacing w:before="0" w:after="0" w:line="240" w:lineRule="auto"/>
              <w:jc w:val="center"/>
            </w:pPr>
            <w:r>
              <w:rPr>
                <w:rFonts w:ascii="Calibri" w:hAnsi="Calibri" w:eastAsia="Calibri" w:cs="Calibri"/>
                <w:b/>
                <w:color w:val="1F3864"/>
                <w:sz w:val="21"/>
              </w:rPr>
              <w:t>29</w:t>
            </w:r>
          </w:p>
        </w:tc>
        <w:tc>
          <w:tcPr>
            <w:tcW w:w="9748" w:type="dxa"/>
          </w:tcPr>
          <w:p>
            <w:pPr>
              <w:spacing w:before="0" w:after="0" w:line="240" w:lineRule="auto"/>
            </w:pPr>
            <w:r>
              <w:rPr>
                <w:rFonts w:ascii="Calibri" w:hAnsi="Calibri" w:eastAsia="Calibri" w:cs="Calibri"/>
                <w:sz w:val="21"/>
              </w:rPr>
              <w:t>Implied 5-year annualized return falls below 7%.</w:t>
            </w:r>
          </w:p>
        </w:tc>
      </w:tr>
      <w:tr>
        <w:trPr>
          <w:cantSplit/>
        </w:trPr>
        <w:tc>
          <w:tcPr>
            <w:tcW w:w="620" w:type="dxa"/>
          </w:tcPr>
          <w:p>
            <w:pPr>
              <w:spacing w:before="0" w:after="0" w:line="240" w:lineRule="auto"/>
              <w:jc w:val="center"/>
            </w:pPr>
            <w:r>
              <w:rPr>
                <w:rFonts w:ascii="Calibri" w:hAnsi="Calibri" w:eastAsia="Calibri" w:cs="Calibri"/>
                <w:b/>
                <w:color w:val="1F3864"/>
                <w:sz w:val="21"/>
              </w:rPr>
              <w:t>30</w:t>
            </w:r>
          </w:p>
        </w:tc>
        <w:tc>
          <w:tcPr>
            <w:tcW w:w="9748" w:type="dxa"/>
          </w:tcPr>
          <w:p>
            <w:pPr>
              <w:spacing w:before="0" w:after="0" w:line="240" w:lineRule="auto"/>
            </w:pPr>
            <w:r>
              <w:rPr>
                <w:rFonts w:ascii="Calibri" w:hAnsi="Calibri" w:eastAsia="Calibri" w:cs="Calibri"/>
                <w:sz w:val="21"/>
              </w:rPr>
              <w:t>Position size grows above the maximum full position because of appreciation.</w:t>
            </w:r>
          </w:p>
        </w:tc>
      </w:tr>
      <w:tr>
        <w:trPr>
          <w:cantSplit/>
        </w:trPr>
        <w:tc>
          <w:tcPr>
            <w:tcW w:w="620" w:type="dxa"/>
          </w:tcPr>
          <w:p>
            <w:pPr>
              <w:spacing w:before="0" w:after="0" w:line="240" w:lineRule="auto"/>
              <w:jc w:val="center"/>
            </w:pPr>
            <w:r>
              <w:rPr>
                <w:rFonts w:ascii="Calibri" w:hAnsi="Calibri" w:eastAsia="Calibri" w:cs="Calibri"/>
                <w:b/>
                <w:color w:val="1F3864"/>
                <w:sz w:val="21"/>
              </w:rPr>
              <w:t>31</w:t>
            </w:r>
          </w:p>
        </w:tc>
        <w:tc>
          <w:tcPr>
            <w:tcW w:w="9748" w:type="dxa"/>
          </w:tcPr>
          <w:p>
            <w:pPr>
              <w:spacing w:before="0" w:after="0" w:line="240" w:lineRule="auto"/>
            </w:pPr>
            <w:r>
              <w:rPr>
                <w:rFonts w:ascii="Calibri" w:hAnsi="Calibri" w:eastAsia="Calibri" w:cs="Calibri"/>
                <w:b/>
                <w:sz w:val="21"/>
              </w:rPr>
              <w:t xml:space="preserve">Strong Buy to Buy. </w:t>
            </w:r>
            <w:r>
              <w:rPr>
                <w:rFonts w:ascii="Calibri" w:hAnsi="Calibri" w:eastAsia="Calibri" w:cs="Calibri"/>
                <w:sz w:val="21"/>
              </w:rPr>
              <w:t>A re-score from Strong Buy to Buy requires trimming only to the Buy maximum full position within 30 days. A re-score to Watch List (50–64) does not force an immediate sale: additions stop and the 90-day review begins. Scores below 50 follow the rules immediately below.</w:t>
            </w:r>
          </w:p>
        </w:tc>
      </w:tr>
      <w:tr>
        <w:trPr>
          <w:cantSplit/>
        </w:trPr>
        <w:tc>
          <w:tcPr>
            <w:tcW w:w="620" w:type="dxa"/>
          </w:tcPr>
          <w:p>
            <w:pPr>
              <w:spacing w:before="0" w:after="0" w:line="240" w:lineRule="auto"/>
              <w:jc w:val="center"/>
            </w:pPr>
            <w:r>
              <w:rPr>
                <w:rFonts w:ascii="Calibri" w:hAnsi="Calibri" w:eastAsia="Calibri" w:cs="Calibri"/>
                <w:b/>
                <w:color w:val="1F3864"/>
                <w:sz w:val="21"/>
              </w:rPr>
              <w:t>32</w:t>
            </w:r>
          </w:p>
        </w:tc>
        <w:tc>
          <w:tcPr>
            <w:tcW w:w="9748" w:type="dxa"/>
          </w:tcPr>
          <w:p>
            <w:pPr>
              <w:spacing w:before="0" w:after="0" w:line="240" w:lineRule="auto"/>
            </w:pPr>
            <w:r>
              <w:rPr>
                <w:rFonts w:ascii="Calibri" w:hAnsi="Calibri" w:eastAsia="Calibri" w:cs="Calibri"/>
                <w:b/>
                <w:sz w:val="21"/>
              </w:rPr>
              <w:t xml:space="preserve">Exit Review (35–49). </w:t>
            </w:r>
            <w:r>
              <w:rPr>
                <w:rFonts w:ascii="Calibri" w:hAnsi="Calibri" w:eastAsia="Calibri" w:cs="Calibri"/>
                <w:sz w:val="21"/>
              </w:rPr>
              <w:t>Classify as Exit Review. Establish a dated 90-day remediation plan only when a credible, specifically documented path back to at least 50 exists; otherwise sell within 30 days.</w:t>
            </w:r>
          </w:p>
        </w:tc>
      </w:tr>
      <w:tr>
        <w:trPr>
          <w:cantSplit/>
        </w:trPr>
        <w:tc>
          <w:tcPr>
            <w:tcW w:w="620" w:type="dxa"/>
          </w:tcPr>
          <w:p>
            <w:pPr>
              <w:spacing w:before="0" w:after="0" w:line="240" w:lineRule="auto"/>
              <w:jc w:val="center"/>
            </w:pPr>
            <w:r>
              <w:rPr>
                <w:rFonts w:ascii="Calibri" w:hAnsi="Calibri" w:eastAsia="Calibri" w:cs="Calibri"/>
                <w:b/>
                <w:color w:val="1F3864"/>
                <w:sz w:val="21"/>
              </w:rPr>
              <w:t>33</w:t>
            </w:r>
          </w:p>
        </w:tc>
        <w:tc>
          <w:tcPr>
            <w:tcW w:w="9748" w:type="dxa"/>
          </w:tcPr>
          <w:p>
            <w:pPr>
              <w:spacing w:before="0" w:after="0" w:line="240" w:lineRule="auto"/>
            </w:pPr>
            <w:r>
              <w:rPr>
                <w:rFonts w:ascii="Calibri" w:hAnsi="Calibri" w:eastAsia="Calibri" w:cs="Calibri"/>
                <w:b/>
                <w:sz w:val="21"/>
              </w:rPr>
              <w:t xml:space="preserve">Probationary Hold (50–64). </w:t>
            </w:r>
            <w:r>
              <w:rPr>
                <w:rFonts w:ascii="Calibri" w:hAnsi="Calibri" w:eastAsia="Calibri" w:cs="Calibri"/>
                <w:sz w:val="21"/>
              </w:rPr>
              <w:t>No additions; a 90-day re-score is required. If it falls below 50, apply Rule 32. An approved Exit Review holding that has not returned to at least 50 by its 90-day deadline must be sold within 30 days; no extension is permitted.</w:t>
            </w:r>
          </w:p>
        </w:tc>
      </w:tr>
      <w:tr>
        <w:trPr>
          <w:cantSplit/>
        </w:trPr>
        <w:tc>
          <w:tcPr>
            <w:tcW w:w="620" w:type="dxa"/>
          </w:tcPr>
          <w:p>
            <w:pPr>
              <w:spacing w:before="0" w:after="0" w:line="240" w:lineRule="auto"/>
              <w:jc w:val="center"/>
            </w:pPr>
            <w:r>
              <w:rPr>
                <w:rFonts w:ascii="Calibri" w:hAnsi="Calibri" w:eastAsia="Calibri" w:cs="Calibri"/>
                <w:b/>
                <w:color w:val="1F3864"/>
                <w:sz w:val="21"/>
              </w:rPr>
              <w:t>34</w:t>
            </w:r>
          </w:p>
        </w:tc>
        <w:tc>
          <w:tcPr>
            <w:tcW w:w="9748" w:type="dxa"/>
          </w:tcPr>
          <w:p>
            <w:pPr>
              <w:spacing w:before="0" w:after="0" w:line="240" w:lineRule="auto"/>
            </w:pPr>
            <w:r>
              <w:rPr>
                <w:rFonts w:ascii="Calibri" w:hAnsi="Calibri" w:eastAsia="Calibri" w:cs="Calibri"/>
                <w:b/>
                <w:sz w:val="21"/>
              </w:rPr>
              <w:t xml:space="preserve">Early Partial Trim. </w:t>
            </w:r>
            <w:r>
              <w:rPr>
                <w:rFonts w:ascii="Calibri" w:hAnsi="Calibri" w:eastAsia="Calibri" w:cs="Calibri"/>
                <w:sz w:val="21"/>
              </w:rPr>
              <w:t>Probationary Hold only. If the same Tier 1 or Tier 2 indicator(s) that caused entry are reconfirmed unimproved or worse before the 90-day re-score (a new filing, a scheduled re-score, or equivalent documented evidence), trim one-third of the share count held at entry. May recur up to twice more in the same 90-day window (maximum three trims; full liquidation in the worst case). Trims are not reversed by a later recovery; recovery to 65 or above ends further trims. Not triggered by price movement alone.</w:t>
            </w:r>
          </w:p>
        </w:tc>
      </w:tr>
      <w:tr>
        <w:trPr>
          <w:cantSplit/>
        </w:trPr>
        <w:tc>
          <w:tcPr>
            <w:tcW w:w="620" w:type="dxa"/>
          </w:tcPr>
          <w:p>
            <w:pPr>
              <w:spacing w:before="0" w:after="0" w:line="240" w:lineRule="auto"/>
              <w:jc w:val="center"/>
            </w:pPr>
            <w:r>
              <w:rPr>
                <w:rFonts w:ascii="Calibri" w:hAnsi="Calibri" w:eastAsia="Calibri" w:cs="Calibri"/>
                <w:b/>
                <w:color w:val="1F3864"/>
                <w:sz w:val="21"/>
              </w:rPr>
              <w:t>35</w:t>
            </w:r>
          </w:p>
        </w:tc>
        <w:tc>
          <w:tcPr>
            <w:tcW w:w="9748" w:type="dxa"/>
          </w:tcPr>
          <w:p>
            <w:pPr>
              <w:spacing w:before="0" w:after="0" w:line="240" w:lineRule="auto"/>
            </w:pPr>
            <w:r>
              <w:rPr>
                <w:rFonts w:ascii="Calibri" w:hAnsi="Calibri" w:eastAsia="Calibri" w:cs="Calibri"/>
                <w:sz w:val="21"/>
              </w:rPr>
              <w:t>Composite Score below 35: sell within 30 days unless a more urgent fundamental trigger requires earlier action.</w:t>
            </w:r>
          </w:p>
        </w:tc>
      </w:tr>
      <w:tr>
        <w:trPr>
          <w:cantSplit/>
        </w:trPr>
        <w:tc>
          <w:tcPr>
            <w:tcW w:w="10368" w:type="dxa"/>
            <w:gridSpan w:val="2"/>
            <w:shd w:val="clear" w:color="auto" w:fill="F2F2F2"/>
          </w:tcPr>
          <w:p>
            <w:pPr>
              <w:keepNext/>
              <w:spacing w:before="0" w:after="0" w:line="240" w:lineRule="auto"/>
            </w:pPr>
            <w:r>
              <w:rPr>
                <w:rFonts w:ascii="Calibri" w:hAnsi="Calibri" w:eastAsia="Calibri" w:cs="Calibri"/>
                <w:b/>
                <w:i/>
                <w:color w:val="1F3864"/>
                <w:sz w:val="19"/>
              </w:rPr>
              <w:t>Opportunity-cost replacement</w:t>
            </w:r>
          </w:p>
        </w:tc>
      </w:tr>
      <w:tr>
        <w:trPr>
          <w:cantSplit/>
        </w:trPr>
        <w:tc>
          <w:tcPr>
            <w:tcW w:w="620" w:type="dxa"/>
          </w:tcPr>
          <w:p>
            <w:pPr>
              <w:spacing w:before="0" w:after="0" w:line="240" w:lineRule="auto"/>
              <w:jc w:val="center"/>
            </w:pPr>
            <w:r>
              <w:rPr>
                <w:rFonts w:ascii="Calibri" w:hAnsi="Calibri" w:eastAsia="Calibri" w:cs="Calibri"/>
                <w:b/>
                <w:color w:val="1F3864"/>
                <w:sz w:val="21"/>
              </w:rPr>
              <w:t>36</w:t>
            </w:r>
          </w:p>
        </w:tc>
        <w:tc>
          <w:tcPr>
            <w:tcW w:w="9748" w:type="dxa"/>
          </w:tcPr>
          <w:p>
            <w:pPr>
              <w:spacing w:before="0" w:after="0" w:line="240" w:lineRule="auto"/>
            </w:pPr>
            <w:r>
              <w:rPr>
                <w:rFonts w:ascii="Calibri" w:hAnsi="Calibri" w:eastAsia="Calibri" w:cs="Calibri"/>
                <w:b/>
                <w:sz w:val="21"/>
              </w:rPr>
              <w:t xml:space="preserve">Replacement test. </w:t>
            </w:r>
            <w:r>
              <w:rPr>
                <w:rFonts w:ascii="Calibri" w:hAnsi="Calibri" w:eastAsia="Calibri" w:cs="Calibri"/>
                <w:sz w:val="21"/>
              </w:rPr>
              <w:t>A lower-ranked holding may be replaced only when all of these hold: (a) the new opportunity clears the Entry Checklist and Valuation Ceiling (Part 4); (b) the score gap is at least 15 points across two consecutive quarterly re-scores; (c) the holding is not protected by Hold Through; (d) available cash cannot fund the required initial size, or doing so would breach a hard cap; and (e) the comparison, tax effect and capital constraint are documented before execution.</w:t>
            </w:r>
          </w:p>
        </w:tc>
      </w:tr>
      <w:tr>
        <w:trPr>
          <w:cantSplit/>
        </w:trPr>
        <w:tc>
          <w:tcPr>
            <w:tcW w:w="620" w:type="dxa"/>
          </w:tcPr>
          <w:p>
            <w:pPr>
              <w:spacing w:before="0" w:after="0" w:line="240" w:lineRule="auto"/>
              <w:jc w:val="center"/>
            </w:pPr>
            <w:r>
              <w:rPr>
                <w:rFonts w:ascii="Calibri" w:hAnsi="Calibri" w:eastAsia="Calibri" w:cs="Calibri"/>
                <w:b/>
                <w:color w:val="1F3864"/>
                <w:sz w:val="21"/>
              </w:rPr>
              <w:t>37</w:t>
            </w:r>
          </w:p>
        </w:tc>
        <w:tc>
          <w:tcPr>
            <w:tcW w:w="9748" w:type="dxa"/>
          </w:tcPr>
          <w:p>
            <w:pPr>
              <w:spacing w:before="0" w:after="0" w:line="240" w:lineRule="auto"/>
            </w:pPr>
            <w:r>
              <w:rPr>
                <w:rFonts w:ascii="Calibri" w:hAnsi="Calibri" w:eastAsia="Calibri" w:cs="Calibri"/>
                <w:sz w:val="21"/>
              </w:rPr>
              <w:t>Replacement may not be invoked more than once per holding in any rolling 12-month period.</w:t>
            </w:r>
          </w:p>
        </w:tc>
      </w:tr>
    </w:tbl>
    <w:p>
      <w:pPr>
        <w:spacing w:after="0" w:before="0"/>
      </w:pPr>
      <w:r>
        <w:rPr>
          <w:rFonts w:ascii="Calibri" w:hAnsi="Calibri" w:eastAsia="Calibri" w:cs="Calibri"/>
          <w:sz w:val="8"/>
        </w:rPr>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620"/>
        <w:gridCol w:w="9748"/>
      </w:tblGrid>
      <w:tr>
        <w:trPr>
          <w:cantSplit/>
        </w:trPr>
        <w:tc>
          <w:tcPr>
            <w:tcW w:w="10368" w:type="dxa"/>
            <w:gridSpan w:val="2"/>
            <w:shd w:val="clear" w:color="auto" w:fill="DCE6F1"/>
          </w:tcPr>
          <w:p>
            <w:pPr>
              <w:keepNext/>
              <w:spacing w:before="0" w:after="0" w:line="240" w:lineRule="auto"/>
            </w:pPr>
            <w:r>
              <w:rPr>
                <w:rFonts w:ascii="Calibri" w:hAnsi="Calibri" w:eastAsia="Calibri" w:cs="Calibri"/>
                <w:b/>
                <w:color w:val="1F3864"/>
                <w:sz w:val="24"/>
              </w:rPr>
              <w:t>PART 7 — Portfolio Risk Management</w:t>
            </w:r>
          </w:p>
        </w:tc>
      </w:tr>
      <w:tr>
        <w:trPr>
          <w:cantSplit/>
        </w:trPr>
        <w:tc>
          <w:tcPr>
            <w:tcW w:w="620" w:type="dxa"/>
          </w:tcPr>
          <w:p>
            <w:pPr>
              <w:keepNext/>
              <w:spacing w:before="0" w:after="0" w:line="240" w:lineRule="auto"/>
              <w:jc w:val="center"/>
            </w:pPr>
            <w:r>
              <w:rPr>
                <w:rFonts w:ascii="Calibri" w:hAnsi="Calibri" w:eastAsia="Calibri" w:cs="Calibri"/>
                <w:b/>
                <w:color w:val="1F3864"/>
                <w:sz w:val="21"/>
              </w:rPr>
              <w:t>38</w:t>
            </w:r>
          </w:p>
        </w:tc>
        <w:tc>
          <w:tcPr>
            <w:tcW w:w="9748" w:type="dxa"/>
          </w:tcPr>
          <w:p>
            <w:pPr>
              <w:keepNext/>
              <w:spacing w:before="0" w:after="0" w:line="240" w:lineRule="auto"/>
            </w:pPr>
            <w:r>
              <w:rPr>
                <w:rFonts w:ascii="Calibri" w:hAnsi="Calibri" w:eastAsia="Calibri" w:cs="Calibri"/>
                <w:b/>
                <w:sz w:val="21"/>
              </w:rPr>
              <w:t xml:space="preserve">Correlation cap. </w:t>
            </w:r>
            <w:r>
              <w:rPr>
                <w:rFonts w:ascii="Calibri" w:hAnsi="Calibri" w:eastAsia="Calibri" w:cs="Calibri"/>
                <w:sz w:val="21"/>
              </w:rPr>
              <w:t>Quarterly, calculate pairwise correlations on weekly total returns over the longest common period up to 36 months (24-month target, 12-month minimum). Flag any cluster of three or more holdings with pairwise correlation above 0.70 and document the shared economic risk driver. A new position that expands a flagged cluster starts at 50% of the normal initial size, and the cluster's aggregate exposure may not exceed 20% without written approval. A risk-review trigger, not an automatic forced sale.</w:t>
            </w:r>
          </w:p>
        </w:tc>
      </w:tr>
      <w:tr>
        <w:trPr>
          <w:cantSplit/>
        </w:trPr>
        <w:tc>
          <w:tcPr>
            <w:tcW w:w="620" w:type="dxa"/>
          </w:tcPr>
          <w:p>
            <w:pPr>
              <w:keepNext w:val="0"/>
              <w:spacing w:before="0" w:after="0" w:line="240" w:lineRule="auto"/>
              <w:jc w:val="center"/>
            </w:pPr>
            <w:r>
              <w:rPr>
                <w:rFonts w:ascii="Calibri" w:hAnsi="Calibri" w:eastAsia="Calibri" w:cs="Calibri"/>
                <w:b/>
                <w:color w:val="1F3864"/>
                <w:sz w:val="21"/>
              </w:rPr>
              <w:t>39</w:t>
            </w:r>
          </w:p>
        </w:tc>
        <w:tc>
          <w:tcPr>
            <w:tcW w:w="9748" w:type="dxa"/>
          </w:tcPr>
          <w:p>
            <w:pPr>
              <w:keepNext w:val="0"/>
              <w:spacing w:before="0" w:after="0" w:line="240" w:lineRule="auto"/>
            </w:pPr>
            <w:r>
              <w:rPr>
                <w:rFonts w:ascii="Calibri" w:hAnsi="Calibri" w:eastAsia="Calibri" w:cs="Calibri"/>
                <w:b/>
                <w:sz w:val="21"/>
              </w:rPr>
              <w:t xml:space="preserve">Drawdown response. </w:t>
            </w:r>
            <w:r>
              <w:rPr>
                <w:rFonts w:ascii="Calibri" w:hAnsi="Calibri" w:eastAsia="Calibri" w:cs="Calibri"/>
                <w:sz w:val="21"/>
              </w:rPr>
              <w:t>Drawdown restrictions on new deployment apply automatically and are not overridden by individual conviction. Higher cash levels are reached through the Cash-Raising Waterfall, not by indiscriminate sale of fundamentally intact holdings. Normal deployment resumes when the regime-exit test is met; security-specific sizing restrictions remain until the holding is re-scored.</w:t>
            </w:r>
          </w:p>
        </w:tc>
      </w:tr>
    </w:tbl>
    <w:p>
      <w:pPr>
        <w:spacing w:after="0" w:before="0"/>
      </w:pPr>
      <w:r>
        <w:rPr>
          <w:rFonts w:ascii="Calibri" w:hAnsi="Calibri" w:eastAsia="Calibri" w:cs="Calibri"/>
          <w:sz w:val="8"/>
        </w:rPr>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620"/>
        <w:gridCol w:w="9748"/>
      </w:tblGrid>
      <w:tr>
        <w:trPr>
          <w:cantSplit/>
        </w:trPr>
        <w:tc>
          <w:tcPr>
            <w:tcW w:w="10368" w:type="dxa"/>
            <w:gridSpan w:val="2"/>
            <w:shd w:val="clear" w:color="auto" w:fill="DCE6F1"/>
          </w:tcPr>
          <w:p>
            <w:pPr>
              <w:keepNext/>
              <w:spacing w:before="0" w:after="0" w:line="240" w:lineRule="auto"/>
            </w:pPr>
            <w:r>
              <w:rPr>
                <w:rFonts w:ascii="Calibri" w:hAnsi="Calibri" w:eastAsia="Calibri" w:cs="Calibri"/>
                <w:b/>
                <w:color w:val="1F3864"/>
                <w:sz w:val="24"/>
              </w:rPr>
              <w:t>PART 8 — Tax-Aware Portfolio Management</w:t>
            </w:r>
          </w:p>
        </w:tc>
      </w:tr>
      <w:tr>
        <w:trPr>
          <w:cantSplit/>
        </w:trPr>
        <w:tc>
          <w:tcPr>
            <w:tcW w:w="620" w:type="dxa"/>
          </w:tcPr>
          <w:p>
            <w:pPr>
              <w:keepNext/>
              <w:spacing w:before="0" w:after="0" w:line="240" w:lineRule="auto"/>
              <w:jc w:val="center"/>
            </w:pPr>
            <w:r>
              <w:rPr>
                <w:rFonts w:ascii="Calibri" w:hAnsi="Calibri" w:eastAsia="Calibri" w:cs="Calibri"/>
                <w:b/>
                <w:color w:val="1F3864"/>
                <w:sz w:val="21"/>
              </w:rPr>
              <w:t>40</w:t>
            </w:r>
          </w:p>
        </w:tc>
        <w:tc>
          <w:tcPr>
            <w:tcW w:w="9748" w:type="dxa"/>
          </w:tcPr>
          <w:p>
            <w:pPr>
              <w:keepNext/>
              <w:spacing w:before="0" w:after="0" w:line="240" w:lineRule="auto"/>
            </w:pPr>
            <w:r>
              <w:rPr>
                <w:rFonts w:ascii="Calibri" w:hAnsi="Calibri" w:eastAsia="Calibri" w:cs="Calibri"/>
                <w:b/>
                <w:sz w:val="21"/>
              </w:rPr>
              <w:t xml:space="preserve">Mandated sells. </w:t>
            </w:r>
            <w:r>
              <w:rPr>
                <w:rFonts w:ascii="Calibri" w:hAnsi="Calibri" w:eastAsia="Calibri" w:cs="Calibri"/>
                <w:sz w:val="21"/>
              </w:rPr>
              <w:t>A sell mandated by a fundamental deterioration trigger (Part 6) executes within its required window regardless of holding period or tax lot.</w:t>
            </w:r>
          </w:p>
        </w:tc>
      </w:tr>
      <w:tr>
        <w:trPr>
          <w:cantSplit/>
        </w:trPr>
        <w:tc>
          <w:tcPr>
            <w:tcW w:w="620" w:type="dxa"/>
          </w:tcPr>
          <w:p>
            <w:pPr>
              <w:keepNext/>
              <w:spacing w:before="0" w:after="0" w:line="240" w:lineRule="auto"/>
              <w:jc w:val="center"/>
            </w:pPr>
            <w:r>
              <w:rPr>
                <w:rFonts w:ascii="Calibri" w:hAnsi="Calibri" w:eastAsia="Calibri" w:cs="Calibri"/>
                <w:b/>
                <w:color w:val="1F3864"/>
                <w:sz w:val="21"/>
              </w:rPr>
              <w:t>41</w:t>
            </w:r>
          </w:p>
        </w:tc>
        <w:tc>
          <w:tcPr>
            <w:tcW w:w="9748" w:type="dxa"/>
          </w:tcPr>
          <w:p>
            <w:pPr>
              <w:keepNext/>
              <w:spacing w:before="0" w:after="0" w:line="240" w:lineRule="auto"/>
            </w:pPr>
            <w:r>
              <w:rPr>
                <w:rFonts w:ascii="Calibri" w:hAnsi="Calibri" w:eastAsia="Calibri" w:cs="Calibri"/>
                <w:b/>
                <w:sz w:val="21"/>
              </w:rPr>
              <w:t xml:space="preserve">Discretionary trims. </w:t>
            </w:r>
            <w:r>
              <w:rPr>
                <w:rFonts w:ascii="Calibri" w:hAnsi="Calibri" w:eastAsia="Calibri" w:cs="Calibri"/>
                <w:sz w:val="21"/>
              </w:rPr>
              <w:t>A discretionary trim (valuation-driven, sizing or sector-cap) may be delayed up to 30 days to let a lot reach long-term status, provided the delay does not violate any hard rule.</w:t>
            </w:r>
          </w:p>
        </w:tc>
      </w:tr>
      <w:tr>
        <w:trPr>
          <w:cantSplit/>
        </w:trPr>
        <w:tc>
          <w:tcPr>
            <w:tcW w:w="620" w:type="dxa"/>
          </w:tcPr>
          <w:p>
            <w:pPr>
              <w:keepNext/>
              <w:spacing w:before="0" w:after="0" w:line="240" w:lineRule="auto"/>
              <w:jc w:val="center"/>
            </w:pPr>
            <w:r>
              <w:rPr>
                <w:rFonts w:ascii="Calibri" w:hAnsi="Calibri" w:eastAsia="Calibri" w:cs="Calibri"/>
                <w:b/>
                <w:color w:val="1F3864"/>
                <w:sz w:val="21"/>
              </w:rPr>
              <w:t>42</w:t>
            </w:r>
          </w:p>
        </w:tc>
        <w:tc>
          <w:tcPr>
            <w:tcW w:w="9748" w:type="dxa"/>
          </w:tcPr>
          <w:p>
            <w:pPr>
              <w:keepNext/>
              <w:spacing w:before="0" w:after="0" w:line="240" w:lineRule="auto"/>
            </w:pPr>
            <w:r>
              <w:rPr>
                <w:rFonts w:ascii="Calibri" w:hAnsi="Calibri" w:eastAsia="Calibri" w:cs="Calibri"/>
                <w:b/>
                <w:sz w:val="21"/>
              </w:rPr>
              <w:t xml:space="preserve">Lot selection. </w:t>
            </w:r>
            <w:r>
              <w:rPr>
                <w:rFonts w:ascii="Calibri" w:hAnsi="Calibri" w:eastAsia="Calibri" w:cs="Calibri"/>
                <w:sz w:val="21"/>
              </w:rPr>
              <w:t>When trimming a multi-lot position, use specific-lot identification and select the lot or combination expected to minimize after-tax cost. Highest basis is not always optimal: consider loss harvesting, short- and long-term rates, carryforwards and account-level constraints. Confirm the lot selection with the broker before the sale.</w:t>
            </w:r>
          </w:p>
        </w:tc>
      </w:tr>
      <w:tr>
        <w:trPr>
          <w:cantSplit/>
        </w:trPr>
        <w:tc>
          <w:tcPr>
            <w:tcW w:w="620" w:type="dxa"/>
          </w:tcPr>
          <w:p>
            <w:pPr>
              <w:keepNext/>
              <w:spacing w:before="0" w:after="0" w:line="240" w:lineRule="auto"/>
              <w:jc w:val="center"/>
            </w:pPr>
            <w:r>
              <w:rPr>
                <w:rFonts w:ascii="Calibri" w:hAnsi="Calibri" w:eastAsia="Calibri" w:cs="Calibri"/>
                <w:b/>
                <w:color w:val="1F3864"/>
                <w:sz w:val="21"/>
              </w:rPr>
              <w:t>43</w:t>
            </w:r>
          </w:p>
        </w:tc>
        <w:tc>
          <w:tcPr>
            <w:tcW w:w="9748" w:type="dxa"/>
          </w:tcPr>
          <w:p>
            <w:pPr>
              <w:keepNext/>
              <w:spacing w:before="0" w:after="0" w:line="240" w:lineRule="auto"/>
            </w:pPr>
            <w:r>
              <w:rPr>
                <w:rFonts w:ascii="Calibri" w:hAnsi="Calibri" w:eastAsia="Calibri" w:cs="Calibri"/>
                <w:b/>
                <w:sz w:val="21"/>
              </w:rPr>
              <w:t xml:space="preserve">Loss harvesting. </w:t>
            </w:r>
            <w:r>
              <w:rPr>
                <w:rFonts w:ascii="Calibri" w:hAnsi="Calibri" w:eastAsia="Calibri" w:cs="Calibri"/>
                <w:sz w:val="21"/>
              </w:rPr>
              <w:t>Losses in Probationary Hold, Exit Review or underwater positions may be harvested before a mandatory sell deadline only when the replacement is not substantially identical and the transaction is coordinated across the relevant household accounts. Redeploy proceeds subject to the target cash allocation and all portfolio risk rules.</w:t>
            </w:r>
          </w:p>
        </w:tc>
      </w:tr>
      <w:tr>
        <w:trPr>
          <w:cantSplit/>
        </w:trPr>
        <w:tc>
          <w:tcPr>
            <w:tcW w:w="620" w:type="dxa"/>
          </w:tcPr>
          <w:p>
            <w:pPr>
              <w:keepNext w:val="0"/>
              <w:spacing w:before="0" w:after="0" w:line="240" w:lineRule="auto"/>
              <w:jc w:val="center"/>
            </w:pPr>
            <w:r>
              <w:rPr>
                <w:rFonts w:ascii="Calibri" w:hAnsi="Calibri" w:eastAsia="Calibri" w:cs="Calibri"/>
                <w:b/>
                <w:color w:val="1F3864"/>
                <w:sz w:val="21"/>
              </w:rPr>
              <w:t>44</w:t>
            </w:r>
          </w:p>
        </w:tc>
        <w:tc>
          <w:tcPr>
            <w:tcW w:w="9748" w:type="dxa"/>
          </w:tcPr>
          <w:p>
            <w:pPr>
              <w:keepNext w:val="0"/>
              <w:spacing w:before="0" w:after="0" w:line="240" w:lineRule="auto"/>
            </w:pPr>
            <w:r>
              <w:rPr>
                <w:rFonts w:ascii="Calibri" w:hAnsi="Calibri" w:eastAsia="Calibri" w:cs="Calibri"/>
                <w:b/>
                <w:sz w:val="21"/>
              </w:rPr>
              <w:t xml:space="preserve">Tax never decides. </w:t>
            </w:r>
            <w:r>
              <w:rPr>
                <w:rFonts w:ascii="Calibri" w:hAnsi="Calibri" w:eastAsia="Calibri" w:cs="Calibri"/>
                <w:sz w:val="21"/>
              </w:rPr>
              <w:t>Tax considerations never independently trigger a trade; they govern only the timing and lot selection of a decision already justified elsewhere in the system.</w:t>
            </w:r>
          </w:p>
        </w:tc>
      </w:tr>
    </w:tbl>
    <w:p>
      <w:pPr>
        <w:spacing w:after="0" w:before="0"/>
      </w:pPr>
      <w:r>
        <w:rPr>
          <w:rFonts w:ascii="Calibri" w:hAnsi="Calibri" w:eastAsia="Calibri" w:cs="Calibri"/>
          <w:sz w:val="8"/>
        </w:rPr>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620"/>
        <w:gridCol w:w="9748"/>
      </w:tblGrid>
      <w:tr>
        <w:trPr>
          <w:cantSplit/>
        </w:trPr>
        <w:tc>
          <w:tcPr>
            <w:tcW w:w="10368" w:type="dxa"/>
            <w:gridSpan w:val="2"/>
            <w:shd w:val="clear" w:color="auto" w:fill="DCE6F1"/>
          </w:tcPr>
          <w:p>
            <w:pPr>
              <w:keepNext/>
              <w:spacing w:before="0" w:after="0" w:line="240" w:lineRule="auto"/>
            </w:pPr>
            <w:r>
              <w:rPr>
                <w:rFonts w:ascii="Calibri" w:hAnsi="Calibri" w:eastAsia="Calibri" w:cs="Calibri"/>
                <w:b/>
                <w:color w:val="1F3864"/>
                <w:sz w:val="24"/>
              </w:rPr>
              <w:t>PART 9 — Review Schedule, Documentation &amp; Governance</w:t>
            </w:r>
          </w:p>
        </w:tc>
      </w:tr>
      <w:tr>
        <w:trPr>
          <w:cantSplit/>
        </w:trPr>
        <w:tc>
          <w:tcPr>
            <w:tcW w:w="620" w:type="dxa"/>
          </w:tcPr>
          <w:p>
            <w:pPr>
              <w:keepNext/>
              <w:spacing w:before="0" w:after="0" w:line="240" w:lineRule="auto"/>
              <w:jc w:val="center"/>
            </w:pPr>
            <w:r>
              <w:rPr>
                <w:rFonts w:ascii="Calibri" w:hAnsi="Calibri" w:eastAsia="Calibri" w:cs="Calibri"/>
                <w:b/>
                <w:color w:val="1F3864"/>
                <w:sz w:val="21"/>
              </w:rPr>
              <w:t>45</w:t>
            </w:r>
          </w:p>
        </w:tc>
        <w:tc>
          <w:tcPr>
            <w:tcW w:w="9748" w:type="dxa"/>
          </w:tcPr>
          <w:p>
            <w:pPr>
              <w:keepNext/>
              <w:spacing w:before="0" w:after="0" w:line="240" w:lineRule="auto"/>
            </w:pPr>
            <w:r>
              <w:rPr>
                <w:rFonts w:ascii="Calibri" w:hAnsi="Calibri" w:eastAsia="Calibri" w:cs="Calibri"/>
                <w:b/>
                <w:sz w:val="21"/>
              </w:rPr>
              <w:t xml:space="preserve">Quarterly. </w:t>
            </w:r>
            <w:r>
              <w:rPr>
                <w:rFonts w:ascii="Calibri" w:hAnsi="Calibri" w:eastAsia="Calibri" w:cs="Calibri"/>
                <w:sz w:val="21"/>
              </w:rPr>
              <w:t>Review all Watch List names and re-score any holding affected by material news.</w:t>
            </w:r>
          </w:p>
        </w:tc>
      </w:tr>
      <w:tr>
        <w:trPr>
          <w:cantSplit/>
        </w:trPr>
        <w:tc>
          <w:tcPr>
            <w:tcW w:w="620" w:type="dxa"/>
          </w:tcPr>
          <w:p>
            <w:pPr>
              <w:keepNext/>
              <w:spacing w:before="0" w:after="0" w:line="240" w:lineRule="auto"/>
              <w:jc w:val="center"/>
            </w:pPr>
            <w:r>
              <w:rPr>
                <w:rFonts w:ascii="Calibri" w:hAnsi="Calibri" w:eastAsia="Calibri" w:cs="Calibri"/>
                <w:b/>
                <w:color w:val="1F3864"/>
                <w:sz w:val="21"/>
              </w:rPr>
              <w:t>46</w:t>
            </w:r>
          </w:p>
        </w:tc>
        <w:tc>
          <w:tcPr>
            <w:tcW w:w="9748" w:type="dxa"/>
          </w:tcPr>
          <w:p>
            <w:pPr>
              <w:keepNext/>
              <w:spacing w:before="0" w:after="0" w:line="240" w:lineRule="auto"/>
            </w:pPr>
            <w:r>
              <w:rPr>
                <w:rFonts w:ascii="Calibri" w:hAnsi="Calibri" w:eastAsia="Calibri" w:cs="Calibri"/>
                <w:b/>
                <w:sz w:val="21"/>
              </w:rPr>
              <w:t xml:space="preserve">Annually. </w:t>
            </w:r>
            <w:r>
              <w:rPr>
                <w:rFonts w:ascii="Calibri" w:hAnsi="Calibri" w:eastAsia="Calibri" w:cs="Calibri"/>
                <w:sz w:val="21"/>
              </w:rPr>
              <w:t>Complete a full re-score of every portfolio position and review every exit from the prior year.</w:t>
            </w:r>
          </w:p>
        </w:tc>
      </w:tr>
      <w:tr>
        <w:trPr>
          <w:cantSplit/>
        </w:trPr>
        <w:tc>
          <w:tcPr>
            <w:tcW w:w="620" w:type="dxa"/>
          </w:tcPr>
          <w:p>
            <w:pPr>
              <w:keepNext/>
              <w:spacing w:before="0" w:after="0" w:line="240" w:lineRule="auto"/>
              <w:jc w:val="center"/>
            </w:pPr>
            <w:r>
              <w:rPr>
                <w:rFonts w:ascii="Calibri" w:hAnsi="Calibri" w:eastAsia="Calibri" w:cs="Calibri"/>
                <w:b/>
                <w:color w:val="1F3864"/>
                <w:sz w:val="21"/>
              </w:rPr>
              <w:t>47</w:t>
            </w:r>
          </w:p>
        </w:tc>
        <w:tc>
          <w:tcPr>
            <w:tcW w:w="9748" w:type="dxa"/>
          </w:tcPr>
          <w:p>
            <w:pPr>
              <w:keepNext/>
              <w:spacing w:before="0" w:after="0" w:line="240" w:lineRule="auto"/>
            </w:pPr>
            <w:r>
              <w:rPr>
                <w:rFonts w:ascii="Calibri" w:hAnsi="Calibri" w:eastAsia="Calibri" w:cs="Calibri"/>
                <w:b/>
                <w:sz w:val="21"/>
              </w:rPr>
              <w:t xml:space="preserve">After every exit. </w:t>
            </w:r>
            <w:r>
              <w:rPr>
                <w:rFonts w:ascii="Calibri" w:hAnsi="Calibri" w:eastAsia="Calibri" w:cs="Calibri"/>
                <w:sz w:val="21"/>
              </w:rPr>
              <w:t>Record the sell reason and the outcome versus the original thesis.</w:t>
            </w:r>
          </w:p>
        </w:tc>
      </w:tr>
      <w:tr>
        <w:trPr>
          <w:cantSplit/>
        </w:trPr>
        <w:tc>
          <w:tcPr>
            <w:tcW w:w="620" w:type="dxa"/>
          </w:tcPr>
          <w:p>
            <w:pPr>
              <w:keepNext/>
              <w:spacing w:before="0" w:after="0" w:line="240" w:lineRule="auto"/>
              <w:jc w:val="center"/>
            </w:pPr>
            <w:r>
              <w:rPr>
                <w:rFonts w:ascii="Calibri" w:hAnsi="Calibri" w:eastAsia="Calibri" w:cs="Calibri"/>
                <w:b/>
                <w:color w:val="1F3864"/>
                <w:sz w:val="21"/>
              </w:rPr>
              <w:t>48</w:t>
            </w:r>
          </w:p>
        </w:tc>
        <w:tc>
          <w:tcPr>
            <w:tcW w:w="9748" w:type="dxa"/>
          </w:tcPr>
          <w:p>
            <w:pPr>
              <w:keepNext/>
              <w:spacing w:before="0" w:after="0" w:line="240" w:lineRule="auto"/>
            </w:pPr>
            <w:r>
              <w:rPr>
                <w:rFonts w:ascii="Calibri" w:hAnsi="Calibri" w:eastAsia="Calibri" w:cs="Calibri"/>
                <w:b/>
                <w:sz w:val="21"/>
              </w:rPr>
              <w:t xml:space="preserve">After a loss over 20%. </w:t>
            </w:r>
            <w:r>
              <w:rPr>
                <w:rFonts w:ascii="Calibri" w:hAnsi="Calibri" w:eastAsia="Calibri" w:cs="Calibri"/>
                <w:sz w:val="21"/>
              </w:rPr>
              <w:t>After any loss greater than 20% from cost, run a post-mortem and identify the missed warning signals.</w:t>
            </w:r>
          </w:p>
        </w:tc>
      </w:tr>
      <w:tr>
        <w:trPr>
          <w:cantSplit/>
        </w:trPr>
        <w:tc>
          <w:tcPr>
            <w:tcW w:w="620" w:type="dxa"/>
          </w:tcPr>
          <w:p>
            <w:pPr>
              <w:keepNext w:val="0"/>
              <w:spacing w:before="0" w:after="0" w:line="240" w:lineRule="auto"/>
              <w:jc w:val="center"/>
            </w:pPr>
            <w:r>
              <w:rPr>
                <w:rFonts w:ascii="Calibri" w:hAnsi="Calibri" w:eastAsia="Calibri" w:cs="Calibri"/>
                <w:b/>
                <w:color w:val="1F3864"/>
                <w:sz w:val="21"/>
              </w:rPr>
              <w:t>49</w:t>
            </w:r>
          </w:p>
        </w:tc>
        <w:tc>
          <w:tcPr>
            <w:tcW w:w="9748" w:type="dxa"/>
          </w:tcPr>
          <w:p>
            <w:pPr>
              <w:keepNext w:val="0"/>
              <w:spacing w:before="0" w:after="0" w:line="240" w:lineRule="auto"/>
            </w:pPr>
            <w:r>
              <w:rPr>
                <w:rFonts w:ascii="Calibri" w:hAnsi="Calibri" w:eastAsia="Calibri" w:cs="Calibri"/>
                <w:b/>
                <w:sz w:val="21"/>
              </w:rPr>
              <w:t xml:space="preserve">Every 2 years. </w:t>
            </w:r>
            <w:r>
              <w:rPr>
                <w:rFonts w:ascii="Calibri" w:hAnsi="Calibri" w:eastAsia="Calibri" w:cs="Calibri"/>
                <w:sz w:val="21"/>
              </w:rPr>
              <w:t>Review the indicator weights; adjust only with documented evidence from multiple positions over time.</w:t>
            </w:r>
          </w:p>
        </w:tc>
      </w:tr>
    </w:tbl>
    <w:p>
      <w:pPr>
        <w:spacing w:after="0" w:before="0"/>
      </w:pPr>
      <w:r>
        <w:rPr>
          <w:rFonts w:ascii="Calibri" w:hAnsi="Calibri" w:eastAsia="Calibri" w:cs="Calibri"/>
          <w:sz w:val="8"/>
        </w:rPr>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620"/>
        <w:gridCol w:w="9748"/>
      </w:tblGrid>
      <w:tr>
        <w:trPr>
          <w:cantSplit/>
        </w:trPr>
        <w:tc>
          <w:tcPr>
            <w:tcW w:w="10368" w:type="dxa"/>
            <w:gridSpan w:val="2"/>
            <w:shd w:val="clear" w:color="auto" w:fill="DCE6F1"/>
          </w:tcPr>
          <w:p>
            <w:pPr>
              <w:keepNext/>
              <w:spacing w:before="0" w:after="0" w:line="240" w:lineRule="auto"/>
            </w:pPr>
            <w:r>
              <w:rPr>
                <w:rFonts w:ascii="Calibri" w:hAnsi="Calibri" w:eastAsia="Calibri" w:cs="Calibri"/>
                <w:b/>
                <w:color w:val="1F3864"/>
                <w:sz w:val="24"/>
              </w:rPr>
              <w:t>PART 10 — Sector Adaptations &amp; Operating Definitions</w:t>
            </w:r>
          </w:p>
        </w:tc>
      </w:tr>
      <w:tr>
        <w:trPr>
          <w:cantSplit/>
        </w:trPr>
        <w:tc>
          <w:tcPr>
            <w:tcW w:w="620" w:type="dxa"/>
          </w:tcPr>
          <w:p>
            <w:pPr>
              <w:keepNext/>
              <w:spacing w:before="0" w:after="0" w:line="240" w:lineRule="auto"/>
              <w:jc w:val="center"/>
            </w:pPr>
            <w:r>
              <w:rPr>
                <w:rFonts w:ascii="Calibri" w:hAnsi="Calibri" w:eastAsia="Calibri" w:cs="Calibri"/>
                <w:b/>
                <w:color w:val="1F3864"/>
                <w:sz w:val="21"/>
              </w:rPr>
              <w:t>50</w:t>
            </w:r>
          </w:p>
        </w:tc>
        <w:tc>
          <w:tcPr>
            <w:tcW w:w="9748" w:type="dxa"/>
          </w:tcPr>
          <w:p>
            <w:pPr>
              <w:keepNext/>
              <w:spacing w:before="0" w:after="0" w:line="240" w:lineRule="auto"/>
            </w:pPr>
            <w:r>
              <w:rPr>
                <w:rFonts w:ascii="Calibri" w:hAnsi="Calibri" w:eastAsia="Calibri" w:cs="Calibri"/>
                <w:b/>
                <w:sz w:val="21"/>
              </w:rPr>
              <w:t xml:space="preserve">Financial leverage caps. </w:t>
            </w:r>
            <w:r>
              <w:rPr>
                <w:rFonts w:ascii="Calibri" w:hAnsi="Calibri" w:eastAsia="Calibri" w:cs="Calibri"/>
                <w:sz w:val="21"/>
              </w:rPr>
              <w:t>Composite Score capped at 65 (no Strong Buy) for banks with a CET1 ratio below 9%; insurers with an RBC ratio below 350%; brokers and asset managers with net leverage (excluding client matched-book financing) above 3x tangible equity, or Debt/EBITDA above 3x for fee-based asset managers. Reasoned defaults, to be reviewed and confirmed before being relied upon.</w:t>
            </w:r>
          </w:p>
        </w:tc>
      </w:tr>
      <w:tr>
        <w:trPr>
          <w:cantSplit/>
        </w:trPr>
        <w:tc>
          <w:tcPr>
            <w:tcW w:w="620" w:type="dxa"/>
          </w:tcPr>
          <w:p>
            <w:pPr>
              <w:keepNext w:val="0"/>
              <w:spacing w:before="0" w:after="0" w:line="240" w:lineRule="auto"/>
              <w:jc w:val="center"/>
            </w:pPr>
            <w:r>
              <w:rPr>
                <w:rFonts w:ascii="Calibri" w:hAnsi="Calibri" w:eastAsia="Calibri" w:cs="Calibri"/>
                <w:b/>
                <w:color w:val="1F3864"/>
                <w:sz w:val="21"/>
              </w:rPr>
              <w:t>51</w:t>
            </w:r>
          </w:p>
        </w:tc>
        <w:tc>
          <w:tcPr>
            <w:tcW w:w="9748" w:type="dxa"/>
          </w:tcPr>
          <w:p>
            <w:pPr>
              <w:keepNext w:val="0"/>
              <w:spacing w:before="0" w:after="0" w:line="240" w:lineRule="auto"/>
            </w:pPr>
            <w:r>
              <w:rPr>
                <w:rFonts w:ascii="Calibri" w:hAnsi="Calibri" w:eastAsia="Calibri" w:cs="Calibri"/>
                <w:b/>
                <w:sz w:val="21"/>
              </w:rPr>
              <w:t xml:space="preserve">Financial valuation ceilings. </w:t>
            </w:r>
            <w:r>
              <w:rPr>
                <w:rFonts w:ascii="Calibri" w:hAnsi="Calibri" w:eastAsia="Calibri" w:cs="Calibri"/>
                <w:sz w:val="21"/>
              </w:rPr>
              <w:t>No new financial-company position when its multiple exceeds P/TBV of 2.5x (banks), P/B of 2.0x or P/E of 20x (insurers), or P/E of 25x (brokers and asset managers), unless both a documented ROE/growth justification and a tested sector-specific Bear Case clear the same threshold required by the Bear-Case Implied Return Test (Part 4). Reasoned defaults, to be reviewed and confirmed before being relied upon.</w:t>
            </w:r>
          </w:p>
        </w:tc>
      </w:tr>
    </w:tbl>
    <w:p>
      <w:pPr>
        <w:spacing w:after="0" w:before="0"/>
      </w:pPr>
      <w:r>
        <w:rPr>
          <w:rFonts w:ascii="Calibri" w:hAnsi="Calibri" w:eastAsia="Calibri" w:cs="Calibri"/>
          <w:sz w:val="8"/>
        </w:rPr>
      </w:r>
    </w:p>
    <w:p>
      <w:pPr>
        <w:keepNext/>
        <w:spacing w:before="160" w:after="60"/>
      </w:pPr>
      <w:r>
        <w:rPr>
          <w:rFonts w:ascii="Calibri" w:hAnsi="Calibri" w:eastAsia="Calibri" w:cs="Calibri"/>
          <w:b/>
          <w:color w:val="1F3864"/>
          <w:sz w:val="30"/>
        </w:rPr>
        <w:t>QUICK REFERENCE</w:t>
      </w:r>
    </w:p>
    <w:p>
      <w:pPr>
        <w:spacing w:before="0" w:after="40"/>
      </w:pPr>
      <w:r>
        <w:rPr>
          <w:rFonts w:ascii="Calibri" w:hAnsi="Calibri" w:eastAsia="Calibri" w:cs="Calibri"/>
          <w:i/>
          <w:color w:val="595959"/>
          <w:sz w:val="19"/>
        </w:rPr>
        <w:t>Tables and lists the numbered rules lean on, taken from the Parts themselves (they are not numbered rules).</w:t>
      </w:r>
    </w:p>
    <w:p>
      <w:pPr>
        <w:keepNext/>
        <w:spacing w:before="200" w:after="60"/>
      </w:pPr>
      <w:r>
        <w:rPr>
          <w:rFonts w:ascii="Calibri" w:hAnsi="Calibri" w:eastAsia="Calibri" w:cs="Calibri"/>
          <w:b/>
          <w:color w:val="1F3864"/>
          <w:sz w:val="23"/>
        </w:rPr>
        <w:t>Decision bands (Part 3)</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1050"/>
        <w:gridCol w:w="1350"/>
        <w:gridCol w:w="3600"/>
        <w:gridCol w:w="4368"/>
      </w:tblGrid>
      <w:tr>
        <w:trPr>
          <w:cantSplit/>
          <w:tblHeader/>
        </w:trPr>
        <w:tc>
          <w:tcPr>
            <w:tcW w:w="1050" w:type="dxa"/>
            <w:shd w:val="clear" w:color="auto" w:fill="E7E6E6"/>
          </w:tcPr>
          <w:p>
            <w:pPr>
              <w:keepNext/>
              <w:spacing w:before="0" w:after="0" w:line="240" w:lineRule="auto"/>
            </w:pPr>
            <w:r>
              <w:rPr>
                <w:rFonts w:ascii="Calibri" w:hAnsi="Calibri" w:eastAsia="Calibri" w:cs="Calibri"/>
                <w:b/>
                <w:color w:val="1F3864"/>
                <w:sz w:val="20"/>
              </w:rPr>
              <w:t>Score</w:t>
            </w:r>
          </w:p>
        </w:tc>
        <w:tc>
          <w:tcPr>
            <w:tcW w:w="1350" w:type="dxa"/>
            <w:shd w:val="clear" w:color="auto" w:fill="E7E6E6"/>
          </w:tcPr>
          <w:p>
            <w:pPr>
              <w:keepNext/>
              <w:spacing w:before="0" w:after="0" w:line="240" w:lineRule="auto"/>
            </w:pPr>
            <w:r>
              <w:rPr>
                <w:rFonts w:ascii="Calibri" w:hAnsi="Calibri" w:eastAsia="Calibri" w:cs="Calibri"/>
                <w:b/>
                <w:color w:val="1F3864"/>
                <w:sz w:val="20"/>
              </w:rPr>
              <w:t>Decision</w:t>
            </w:r>
          </w:p>
        </w:tc>
        <w:tc>
          <w:tcPr>
            <w:tcW w:w="3600" w:type="dxa"/>
            <w:shd w:val="clear" w:color="auto" w:fill="E7E6E6"/>
          </w:tcPr>
          <w:p>
            <w:pPr>
              <w:keepNext/>
              <w:spacing w:before="0" w:after="0" w:line="240" w:lineRule="auto"/>
            </w:pPr>
            <w:r>
              <w:rPr>
                <w:rFonts w:ascii="Calibri" w:hAnsi="Calibri" w:eastAsia="Calibri" w:cs="Calibri"/>
                <w:b/>
                <w:color w:val="1F3864"/>
                <w:sz w:val="20"/>
              </w:rPr>
              <w:t>New candidate</w:t>
            </w:r>
          </w:p>
        </w:tc>
        <w:tc>
          <w:tcPr>
            <w:tcW w:w="4368" w:type="dxa"/>
            <w:shd w:val="clear" w:color="auto" w:fill="E7E6E6"/>
          </w:tcPr>
          <w:p>
            <w:pPr>
              <w:keepNext/>
              <w:spacing w:before="0" w:after="0" w:line="240" w:lineRule="auto"/>
            </w:pPr>
            <w:r>
              <w:rPr>
                <w:rFonts w:ascii="Calibri" w:hAnsi="Calibri" w:eastAsia="Calibri" w:cs="Calibri"/>
                <w:b/>
                <w:color w:val="1F3864"/>
                <w:sz w:val="20"/>
              </w:rPr>
              <w:t>Existing holding</w:t>
            </w:r>
          </w:p>
        </w:tc>
      </w:tr>
      <w:tr>
        <w:trPr>
          <w:cantSplit/>
        </w:trPr>
        <w:tc>
          <w:tcPr>
            <w:tcW w:w="1050" w:type="dxa"/>
          </w:tcPr>
          <w:p>
            <w:pPr>
              <w:keepNext/>
              <w:spacing w:before="0" w:after="0" w:line="240" w:lineRule="auto"/>
            </w:pPr>
            <w:r>
              <w:rPr>
                <w:rFonts w:ascii="Calibri" w:hAnsi="Calibri" w:eastAsia="Calibri" w:cs="Calibri"/>
                <w:b/>
                <w:sz w:val="20"/>
              </w:rPr>
              <w:t>80–100</w:t>
            </w:r>
          </w:p>
        </w:tc>
        <w:tc>
          <w:tcPr>
            <w:tcW w:w="1350" w:type="dxa"/>
          </w:tcPr>
          <w:p>
            <w:pPr>
              <w:keepNext/>
              <w:spacing w:before="0" w:after="0" w:line="240" w:lineRule="auto"/>
            </w:pPr>
            <w:r>
              <w:rPr>
                <w:rFonts w:ascii="Calibri" w:hAnsi="Calibri" w:eastAsia="Calibri" w:cs="Calibri"/>
                <w:b/>
                <w:sz w:val="20"/>
              </w:rPr>
              <w:t>STRONG BUY</w:t>
            </w:r>
          </w:p>
        </w:tc>
        <w:tc>
          <w:tcPr>
            <w:tcW w:w="3600" w:type="dxa"/>
          </w:tcPr>
          <w:p>
            <w:pPr>
              <w:keepNext/>
              <w:spacing w:before="0" w:after="0" w:line="240" w:lineRule="auto"/>
            </w:pPr>
            <w:r>
              <w:rPr>
                <w:rFonts w:ascii="Calibri" w:hAnsi="Calibri" w:eastAsia="Calibri" w:cs="Calibri"/>
                <w:b w:val="0"/>
                <w:sz w:val="20"/>
              </w:rPr>
              <w:t>Initiate up to max initial size; build only after confirmation</w:t>
            </w:r>
          </w:p>
        </w:tc>
        <w:tc>
          <w:tcPr>
            <w:tcW w:w="4368" w:type="dxa"/>
          </w:tcPr>
          <w:p>
            <w:pPr>
              <w:keepNext/>
              <w:spacing w:before="0" w:after="0" w:line="240" w:lineRule="auto"/>
            </w:pPr>
            <w:r>
              <w:rPr>
                <w:rFonts w:ascii="Calibri" w:hAnsi="Calibri" w:eastAsia="Calibri" w:cs="Calibri"/>
                <w:b w:val="0"/>
                <w:sz w:val="20"/>
              </w:rPr>
              <w:t>Core Hold / Add, subject to sizing and entry rules</w:t>
            </w:r>
          </w:p>
        </w:tc>
      </w:tr>
      <w:tr>
        <w:trPr>
          <w:cantSplit/>
        </w:trPr>
        <w:tc>
          <w:tcPr>
            <w:tcW w:w="1050" w:type="dxa"/>
          </w:tcPr>
          <w:p>
            <w:pPr>
              <w:keepNext/>
              <w:spacing w:before="0" w:after="0" w:line="240" w:lineRule="auto"/>
            </w:pPr>
            <w:r>
              <w:rPr>
                <w:rFonts w:ascii="Calibri" w:hAnsi="Calibri" w:eastAsia="Calibri" w:cs="Calibri"/>
                <w:b/>
                <w:sz w:val="20"/>
              </w:rPr>
              <w:t>65–79</w:t>
            </w:r>
          </w:p>
        </w:tc>
        <w:tc>
          <w:tcPr>
            <w:tcW w:w="1350" w:type="dxa"/>
          </w:tcPr>
          <w:p>
            <w:pPr>
              <w:keepNext/>
              <w:spacing w:before="0" w:after="0" w:line="240" w:lineRule="auto"/>
            </w:pPr>
            <w:r>
              <w:rPr>
                <w:rFonts w:ascii="Calibri" w:hAnsi="Calibri" w:eastAsia="Calibri" w:cs="Calibri"/>
                <w:b/>
                <w:sz w:val="20"/>
              </w:rPr>
              <w:t>BUY</w:t>
            </w:r>
          </w:p>
        </w:tc>
        <w:tc>
          <w:tcPr>
            <w:tcW w:w="3600" w:type="dxa"/>
          </w:tcPr>
          <w:p>
            <w:pPr>
              <w:keepNext/>
              <w:spacing w:before="0" w:after="0" w:line="240" w:lineRule="auto"/>
            </w:pPr>
            <w:r>
              <w:rPr>
                <w:rFonts w:ascii="Calibri" w:hAnsi="Calibri" w:eastAsia="Calibri" w:cs="Calibri"/>
                <w:b w:val="0"/>
                <w:sz w:val="20"/>
              </w:rPr>
              <w:t>Initiate up to max initial size; build only after confirmation</w:t>
            </w:r>
          </w:p>
        </w:tc>
        <w:tc>
          <w:tcPr>
            <w:tcW w:w="4368" w:type="dxa"/>
          </w:tcPr>
          <w:p>
            <w:pPr>
              <w:keepNext/>
              <w:spacing w:before="0" w:after="0" w:line="240" w:lineRule="auto"/>
            </w:pPr>
            <w:r>
              <w:rPr>
                <w:rFonts w:ascii="Calibri" w:hAnsi="Calibri" w:eastAsia="Calibri" w:cs="Calibri"/>
                <w:b w:val="0"/>
                <w:sz w:val="20"/>
              </w:rPr>
              <w:t>Hold; trim only if above Buy maximum or another rule requires action</w:t>
            </w:r>
          </w:p>
        </w:tc>
      </w:tr>
      <w:tr>
        <w:trPr>
          <w:cantSplit/>
        </w:trPr>
        <w:tc>
          <w:tcPr>
            <w:tcW w:w="1050" w:type="dxa"/>
          </w:tcPr>
          <w:p>
            <w:pPr>
              <w:keepNext/>
              <w:spacing w:before="0" w:after="0" w:line="240" w:lineRule="auto"/>
            </w:pPr>
            <w:r>
              <w:rPr>
                <w:rFonts w:ascii="Calibri" w:hAnsi="Calibri" w:eastAsia="Calibri" w:cs="Calibri"/>
                <w:b/>
                <w:sz w:val="20"/>
              </w:rPr>
              <w:t>50–64</w:t>
            </w:r>
          </w:p>
        </w:tc>
        <w:tc>
          <w:tcPr>
            <w:tcW w:w="1350" w:type="dxa"/>
          </w:tcPr>
          <w:p>
            <w:pPr>
              <w:keepNext/>
              <w:spacing w:before="0" w:after="0" w:line="240" w:lineRule="auto"/>
            </w:pPr>
            <w:r>
              <w:rPr>
                <w:rFonts w:ascii="Calibri" w:hAnsi="Calibri" w:eastAsia="Calibri" w:cs="Calibri"/>
                <w:b/>
                <w:sz w:val="20"/>
              </w:rPr>
              <w:t>WATCH LIST</w:t>
            </w:r>
          </w:p>
        </w:tc>
        <w:tc>
          <w:tcPr>
            <w:tcW w:w="3600" w:type="dxa"/>
          </w:tcPr>
          <w:p>
            <w:pPr>
              <w:keepNext/>
              <w:spacing w:before="0" w:after="0" w:line="240" w:lineRule="auto"/>
            </w:pPr>
            <w:r>
              <w:rPr>
                <w:rFonts w:ascii="Calibri" w:hAnsi="Calibri" w:eastAsia="Calibri" w:cs="Calibri"/>
                <w:b w:val="0"/>
                <w:sz w:val="20"/>
              </w:rPr>
              <w:t>No new capital; monitor for improvement</w:t>
            </w:r>
          </w:p>
        </w:tc>
        <w:tc>
          <w:tcPr>
            <w:tcW w:w="4368" w:type="dxa"/>
          </w:tcPr>
          <w:p>
            <w:pPr>
              <w:keepNext/>
              <w:spacing w:before="0" w:after="0" w:line="240" w:lineRule="auto"/>
            </w:pPr>
            <w:r>
              <w:rPr>
                <w:rFonts w:ascii="Calibri" w:hAnsi="Calibri" w:eastAsia="Calibri" w:cs="Calibri"/>
                <w:b w:val="0"/>
                <w:sz w:val="20"/>
              </w:rPr>
              <w:t>Probationary Hold; no additions; 90-day review plan</w:t>
            </w:r>
          </w:p>
        </w:tc>
      </w:tr>
      <w:tr>
        <w:trPr>
          <w:cantSplit/>
        </w:trPr>
        <w:tc>
          <w:tcPr>
            <w:tcW w:w="1050" w:type="dxa"/>
          </w:tcPr>
          <w:p>
            <w:pPr>
              <w:keepNext/>
              <w:spacing w:before="0" w:after="0" w:line="240" w:lineRule="auto"/>
            </w:pPr>
            <w:r>
              <w:rPr>
                <w:rFonts w:ascii="Calibri" w:hAnsi="Calibri" w:eastAsia="Calibri" w:cs="Calibri"/>
                <w:b/>
                <w:sz w:val="20"/>
              </w:rPr>
              <w:t>35–49</w:t>
            </w:r>
          </w:p>
        </w:tc>
        <w:tc>
          <w:tcPr>
            <w:tcW w:w="1350" w:type="dxa"/>
          </w:tcPr>
          <w:p>
            <w:pPr>
              <w:keepNext/>
              <w:spacing w:before="0" w:after="0" w:line="240" w:lineRule="auto"/>
            </w:pPr>
            <w:r>
              <w:rPr>
                <w:rFonts w:ascii="Calibri" w:hAnsi="Calibri" w:eastAsia="Calibri" w:cs="Calibri"/>
                <w:b/>
                <w:sz w:val="20"/>
              </w:rPr>
              <w:t>AVOID</w:t>
            </w:r>
          </w:p>
        </w:tc>
        <w:tc>
          <w:tcPr>
            <w:tcW w:w="3600" w:type="dxa"/>
          </w:tcPr>
          <w:p>
            <w:pPr>
              <w:keepNext/>
              <w:spacing w:before="0" w:after="0" w:line="240" w:lineRule="auto"/>
            </w:pPr>
            <w:r>
              <w:rPr>
                <w:rFonts w:ascii="Calibri" w:hAnsi="Calibri" w:eastAsia="Calibri" w:cs="Calibri"/>
                <w:b w:val="0"/>
                <w:sz w:val="20"/>
              </w:rPr>
              <w:t>Do not initiate; revisit only after material improvement</w:t>
            </w:r>
          </w:p>
        </w:tc>
        <w:tc>
          <w:tcPr>
            <w:tcW w:w="4368" w:type="dxa"/>
          </w:tcPr>
          <w:p>
            <w:pPr>
              <w:keepNext/>
              <w:spacing w:before="0" w:after="0" w:line="240" w:lineRule="auto"/>
            </w:pPr>
            <w:r>
              <w:rPr>
                <w:rFonts w:ascii="Calibri" w:hAnsi="Calibri" w:eastAsia="Calibri" w:cs="Calibri"/>
                <w:b w:val="0"/>
                <w:sz w:val="20"/>
              </w:rPr>
              <w:t>Exit Review; sell within 30 days unless a dated 90-day remediation plan is approved</w:t>
            </w:r>
          </w:p>
        </w:tc>
      </w:tr>
      <w:tr>
        <w:trPr>
          <w:cantSplit/>
        </w:trPr>
        <w:tc>
          <w:tcPr>
            <w:tcW w:w="1050" w:type="dxa"/>
          </w:tcPr>
          <w:p>
            <w:pPr>
              <w:spacing w:before="0" w:after="0" w:line="240" w:lineRule="auto"/>
            </w:pPr>
            <w:r>
              <w:rPr>
                <w:rFonts w:ascii="Calibri" w:hAnsi="Calibri" w:eastAsia="Calibri" w:cs="Calibri"/>
                <w:b/>
                <w:sz w:val="20"/>
              </w:rPr>
              <w:t>Below 35</w:t>
            </w:r>
          </w:p>
        </w:tc>
        <w:tc>
          <w:tcPr>
            <w:tcW w:w="1350" w:type="dxa"/>
          </w:tcPr>
          <w:p>
            <w:pPr>
              <w:spacing w:before="0" w:after="0" w:line="240" w:lineRule="auto"/>
            </w:pPr>
            <w:r>
              <w:rPr>
                <w:rFonts w:ascii="Calibri" w:hAnsi="Calibri" w:eastAsia="Calibri" w:cs="Calibri"/>
                <w:b/>
                <w:sz w:val="20"/>
              </w:rPr>
              <w:t>PASS</w:t>
            </w:r>
          </w:p>
        </w:tc>
        <w:tc>
          <w:tcPr>
            <w:tcW w:w="3600" w:type="dxa"/>
          </w:tcPr>
          <w:p>
            <w:pPr>
              <w:spacing w:before="0" w:after="0" w:line="240" w:lineRule="auto"/>
            </w:pPr>
            <w:r>
              <w:rPr>
                <w:rFonts w:ascii="Calibri" w:hAnsi="Calibri" w:eastAsia="Calibri" w:cs="Calibri"/>
                <w:b w:val="0"/>
                <w:sz w:val="20"/>
              </w:rPr>
              <w:t>Remove from active coverage</w:t>
            </w:r>
          </w:p>
        </w:tc>
        <w:tc>
          <w:tcPr>
            <w:tcW w:w="4368" w:type="dxa"/>
          </w:tcPr>
          <w:p>
            <w:pPr>
              <w:spacing w:before="0" w:after="0" w:line="240" w:lineRule="auto"/>
            </w:pPr>
            <w:r>
              <w:rPr>
                <w:rFonts w:ascii="Calibri" w:hAnsi="Calibri" w:eastAsia="Calibri" w:cs="Calibri"/>
                <w:b w:val="0"/>
                <w:sz w:val="20"/>
              </w:rPr>
              <w:t>Mandatory sell within 30 days</w:t>
            </w:r>
          </w:p>
        </w:tc>
      </w:tr>
    </w:tbl>
    <w:p>
      <w:pPr>
        <w:keepNext/>
        <w:spacing w:before="200" w:after="60"/>
      </w:pPr>
      <w:r>
        <w:rPr>
          <w:rFonts w:ascii="Calibri" w:hAnsi="Calibri" w:eastAsia="Calibri" w:cs="Calibri"/>
          <w:b/>
          <w:color w:val="1F3864"/>
          <w:sz w:val="23"/>
        </w:rPr>
        <w:t>Position sizing (Part 5, Rules 15–21)</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3100"/>
        <w:gridCol w:w="3634"/>
        <w:gridCol w:w="3634"/>
      </w:tblGrid>
      <w:tr>
        <w:trPr>
          <w:cantSplit/>
          <w:tblHeader/>
        </w:trPr>
        <w:tc>
          <w:tcPr>
            <w:tcW w:w="3100" w:type="dxa"/>
            <w:shd w:val="clear" w:color="auto" w:fill="E7E6E6"/>
          </w:tcPr>
          <w:p>
            <w:pPr>
              <w:keepNext/>
              <w:spacing w:before="0" w:after="0" w:line="240" w:lineRule="auto"/>
            </w:pPr>
            <w:r>
              <w:rPr>
                <w:rFonts w:ascii="Calibri" w:hAnsi="Calibri" w:eastAsia="Calibri" w:cs="Calibri"/>
                <w:b/>
                <w:color w:val="1F3864"/>
                <w:sz w:val="20"/>
              </w:rPr>
              <w:t>Composite Score</w:t>
            </w:r>
          </w:p>
        </w:tc>
        <w:tc>
          <w:tcPr>
            <w:tcW w:w="3634" w:type="dxa"/>
            <w:shd w:val="clear" w:color="auto" w:fill="E7E6E6"/>
          </w:tcPr>
          <w:p>
            <w:pPr>
              <w:keepNext/>
              <w:spacing w:before="0" w:after="0" w:line="240" w:lineRule="auto"/>
            </w:pPr>
            <w:r>
              <w:rPr>
                <w:rFonts w:ascii="Calibri" w:hAnsi="Calibri" w:eastAsia="Calibri" w:cs="Calibri"/>
                <w:b/>
                <w:color w:val="1F3864"/>
                <w:sz w:val="20"/>
              </w:rPr>
              <w:t>Max initial position</w:t>
            </w:r>
          </w:p>
        </w:tc>
        <w:tc>
          <w:tcPr>
            <w:tcW w:w="3634" w:type="dxa"/>
            <w:shd w:val="clear" w:color="auto" w:fill="E7E6E6"/>
          </w:tcPr>
          <w:p>
            <w:pPr>
              <w:keepNext/>
              <w:spacing w:before="0" w:after="0" w:line="240" w:lineRule="auto"/>
            </w:pPr>
            <w:r>
              <w:rPr>
                <w:rFonts w:ascii="Calibri" w:hAnsi="Calibri" w:eastAsia="Calibri" w:cs="Calibri"/>
                <w:b/>
                <w:color w:val="1F3864"/>
                <w:sz w:val="20"/>
              </w:rPr>
              <w:t>Max full position</w:t>
            </w:r>
          </w:p>
        </w:tc>
      </w:tr>
      <w:tr>
        <w:trPr>
          <w:cantSplit/>
        </w:trPr>
        <w:tc>
          <w:tcPr>
            <w:tcW w:w="3100" w:type="dxa"/>
          </w:tcPr>
          <w:p>
            <w:pPr>
              <w:keepNext/>
              <w:spacing w:before="0" w:after="0" w:line="240" w:lineRule="auto"/>
            </w:pPr>
            <w:r>
              <w:rPr>
                <w:rFonts w:ascii="Calibri" w:hAnsi="Calibri" w:eastAsia="Calibri" w:cs="Calibri"/>
                <w:b/>
                <w:sz w:val="20"/>
              </w:rPr>
              <w:t>80–100 (Strong Buy)</w:t>
            </w:r>
          </w:p>
        </w:tc>
        <w:tc>
          <w:tcPr>
            <w:tcW w:w="3634" w:type="dxa"/>
          </w:tcPr>
          <w:p>
            <w:pPr>
              <w:keepNext/>
              <w:spacing w:before="0" w:after="0" w:line="240" w:lineRule="auto"/>
            </w:pPr>
            <w:r>
              <w:rPr>
                <w:rFonts w:ascii="Calibri" w:hAnsi="Calibri" w:eastAsia="Calibri" w:cs="Calibri"/>
                <w:b w:val="0"/>
                <w:sz w:val="20"/>
              </w:rPr>
              <w:t>5% of portfolio</w:t>
            </w:r>
          </w:p>
        </w:tc>
        <w:tc>
          <w:tcPr>
            <w:tcW w:w="3634" w:type="dxa"/>
          </w:tcPr>
          <w:p>
            <w:pPr>
              <w:keepNext/>
              <w:spacing w:before="0" w:after="0" w:line="240" w:lineRule="auto"/>
            </w:pPr>
            <w:r>
              <w:rPr>
                <w:rFonts w:ascii="Calibri" w:hAnsi="Calibri" w:eastAsia="Calibri" w:cs="Calibri"/>
                <w:b w:val="0"/>
                <w:sz w:val="20"/>
              </w:rPr>
              <w:t>8% of portfolio</w:t>
            </w:r>
          </w:p>
        </w:tc>
      </w:tr>
      <w:tr>
        <w:trPr>
          <w:cantSplit/>
        </w:trPr>
        <w:tc>
          <w:tcPr>
            <w:tcW w:w="3100" w:type="dxa"/>
          </w:tcPr>
          <w:p>
            <w:pPr>
              <w:keepNext/>
              <w:spacing w:before="0" w:after="0" w:line="240" w:lineRule="auto"/>
            </w:pPr>
            <w:r>
              <w:rPr>
                <w:rFonts w:ascii="Calibri" w:hAnsi="Calibri" w:eastAsia="Calibri" w:cs="Calibri"/>
                <w:b/>
                <w:sz w:val="20"/>
              </w:rPr>
              <w:t>65–79 (Buy)</w:t>
            </w:r>
          </w:p>
        </w:tc>
        <w:tc>
          <w:tcPr>
            <w:tcW w:w="3634" w:type="dxa"/>
          </w:tcPr>
          <w:p>
            <w:pPr>
              <w:keepNext/>
              <w:spacing w:before="0" w:after="0" w:line="240" w:lineRule="auto"/>
            </w:pPr>
            <w:r>
              <w:rPr>
                <w:rFonts w:ascii="Calibri" w:hAnsi="Calibri" w:eastAsia="Calibri" w:cs="Calibri"/>
                <w:b w:val="0"/>
                <w:sz w:val="20"/>
              </w:rPr>
              <w:t>3% of portfolio</w:t>
            </w:r>
          </w:p>
        </w:tc>
        <w:tc>
          <w:tcPr>
            <w:tcW w:w="3634" w:type="dxa"/>
          </w:tcPr>
          <w:p>
            <w:pPr>
              <w:keepNext/>
              <w:spacing w:before="0" w:after="0" w:line="240" w:lineRule="auto"/>
            </w:pPr>
            <w:r>
              <w:rPr>
                <w:rFonts w:ascii="Calibri" w:hAnsi="Calibri" w:eastAsia="Calibri" w:cs="Calibri"/>
                <w:b w:val="0"/>
                <w:sz w:val="20"/>
              </w:rPr>
              <w:t>5% of portfolio</w:t>
            </w:r>
          </w:p>
        </w:tc>
      </w:tr>
      <w:tr>
        <w:trPr>
          <w:cantSplit/>
        </w:trPr>
        <w:tc>
          <w:tcPr>
            <w:tcW w:w="3100" w:type="dxa"/>
          </w:tcPr>
          <w:p>
            <w:pPr>
              <w:spacing w:before="0" w:after="0" w:line="240" w:lineRule="auto"/>
            </w:pPr>
            <w:r>
              <w:rPr>
                <w:rFonts w:ascii="Calibri" w:hAnsi="Calibri" w:eastAsia="Calibri" w:cs="Calibri"/>
                <w:b/>
                <w:sz w:val="20"/>
              </w:rPr>
              <w:t>Below 65</w:t>
            </w:r>
          </w:p>
        </w:tc>
        <w:tc>
          <w:tcPr>
            <w:tcW w:w="3634" w:type="dxa"/>
          </w:tcPr>
          <w:p>
            <w:pPr>
              <w:spacing w:before="0" w:after="0" w:line="240" w:lineRule="auto"/>
            </w:pPr>
            <w:r>
              <w:rPr>
                <w:rFonts w:ascii="Calibri" w:hAnsi="Calibri" w:eastAsia="Calibri" w:cs="Calibri"/>
                <w:b w:val="0"/>
                <w:sz w:val="20"/>
              </w:rPr>
              <w:t>0%</w:t>
            </w:r>
          </w:p>
        </w:tc>
        <w:tc>
          <w:tcPr>
            <w:tcW w:w="3634" w:type="dxa"/>
          </w:tcPr>
          <w:p>
            <w:pPr>
              <w:spacing w:before="0" w:after="0" w:line="240" w:lineRule="auto"/>
            </w:pPr>
            <w:r>
              <w:rPr>
                <w:rFonts w:ascii="Calibri" w:hAnsi="Calibri" w:eastAsia="Calibri" w:cs="Calibri"/>
                <w:b w:val="0"/>
                <w:sz w:val="20"/>
              </w:rPr>
              <w:t>0%</w:t>
            </w:r>
          </w:p>
        </w:tc>
      </w:tr>
    </w:tbl>
    <w:p>
      <w:pPr>
        <w:keepNext/>
        <w:spacing w:after="40" w:before="80"/>
      </w:pPr>
      <w:r>
        <w:rPr>
          <w:rFonts w:ascii="Calibri" w:hAnsi="Calibri" w:eastAsia="Calibri" w:cs="Calibri"/>
          <w:b/>
          <w:sz w:val="20"/>
        </w:rPr>
        <w:t>Sizing modifiers</w:t>
      </w:r>
    </w:p>
    <w:p>
      <w:pPr>
        <w:spacing w:before="0" w:after="30"/>
        <w:ind w:left="403" w:hanging="288"/>
      </w:pPr>
      <w:r>
        <w:rPr>
          <w:rFonts w:ascii="Calibri" w:hAnsi="Calibri" w:eastAsia="Calibri" w:cs="Calibri"/>
          <w:sz w:val="20"/>
        </w:rPr>
        <w:t>•  Insider ownership above 5% with recent open-market purchases: +1% to max position</w:t>
      </w:r>
    </w:p>
    <w:p>
      <w:pPr>
        <w:spacing w:before="0" w:after="30"/>
        <w:ind w:left="403" w:hanging="288"/>
      </w:pPr>
      <w:r>
        <w:rPr>
          <w:rFonts w:ascii="Calibri" w:hAnsi="Calibri" w:eastAsia="Calibri" w:cs="Calibri"/>
          <w:sz w:val="20"/>
        </w:rPr>
        <w:t>•  Debt/FCF above 4x: −1% to max position (fragility discount)</w:t>
      </w:r>
    </w:p>
    <w:p>
      <w:pPr>
        <w:spacing w:before="0" w:after="30"/>
        <w:ind w:left="403" w:hanging="288"/>
      </w:pPr>
      <w:r>
        <w:rPr>
          <w:rFonts w:ascii="Calibri" w:hAnsi="Calibri" w:eastAsia="Calibri" w:cs="Calibri"/>
          <w:sz w:val="20"/>
        </w:rPr>
        <w:t>•  Single customer above 30% of revenue: −1% to max position</w:t>
      </w:r>
    </w:p>
    <w:p>
      <w:pPr>
        <w:spacing w:before="0" w:after="30"/>
        <w:ind w:left="403" w:hanging="288"/>
      </w:pPr>
      <w:r>
        <w:rPr>
          <w:rFonts w:ascii="Calibri" w:hAnsi="Calibri" w:eastAsia="Calibri" w:cs="Calibri"/>
          <w:sz w:val="20"/>
        </w:rPr>
        <w:t>•  Position in same sector as an existing holding above 5%: cap combined sector exposure at 25% of portfolio</w:t>
      </w:r>
    </w:p>
    <w:p>
      <w:pPr>
        <w:spacing w:before="0" w:after="30"/>
        <w:ind w:left="403" w:hanging="288"/>
      </w:pPr>
      <w:r>
        <w:rPr>
          <w:rFonts w:ascii="Calibri" w:hAnsi="Calibri" w:eastAsia="Calibri" w:cs="Calibri"/>
          <w:sz w:val="20"/>
        </w:rPr>
        <w:t>•  Macro headwind active (Part 7): −1% to all new positions in affected sectors</w:t>
      </w:r>
    </w:p>
    <w:p>
      <w:pPr>
        <w:spacing w:before="0" w:after="30"/>
        <w:ind w:left="403" w:hanging="288"/>
      </w:pPr>
      <w:r>
        <w:rPr>
          <w:rFonts w:ascii="Calibri" w:hAnsi="Calibri" w:eastAsia="Calibri" w:cs="Calibri"/>
          <w:sz w:val="20"/>
        </w:rPr>
        <w:t>•  Beta overlay: Rule 21</w:t>
      </w:r>
    </w:p>
    <w:p>
      <w:pPr>
        <w:keepNext/>
        <w:spacing w:before="200" w:after="60"/>
      </w:pPr>
      <w:r>
        <w:rPr>
          <w:rFonts w:ascii="Calibri" w:hAnsi="Calibri" w:eastAsia="Calibri" w:cs="Calibri"/>
          <w:b/>
          <w:color w:val="1F3864"/>
          <w:sz w:val="23"/>
        </w:rPr>
        <w:t>Portfolio drawdown response (Part 7, Rule 39)</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1150"/>
        <w:gridCol w:w="1100"/>
        <w:gridCol w:w="8118"/>
      </w:tblGrid>
      <w:tr>
        <w:trPr>
          <w:cantSplit/>
          <w:tblHeader/>
        </w:trPr>
        <w:tc>
          <w:tcPr>
            <w:tcW w:w="1150" w:type="dxa"/>
            <w:shd w:val="clear" w:color="auto" w:fill="E7E6E6"/>
          </w:tcPr>
          <w:p>
            <w:pPr>
              <w:keepNext/>
              <w:spacing w:before="0" w:after="0" w:line="240" w:lineRule="auto"/>
            </w:pPr>
            <w:r>
              <w:rPr>
                <w:rFonts w:ascii="Calibri" w:hAnsi="Calibri" w:eastAsia="Calibri" w:cs="Calibri"/>
                <w:b/>
                <w:color w:val="1F3864"/>
                <w:sz w:val="20"/>
              </w:rPr>
              <w:t>Drawdown</w:t>
            </w:r>
          </w:p>
        </w:tc>
        <w:tc>
          <w:tcPr>
            <w:tcW w:w="1100" w:type="dxa"/>
            <w:shd w:val="clear" w:color="auto" w:fill="E7E6E6"/>
          </w:tcPr>
          <w:p>
            <w:pPr>
              <w:keepNext/>
              <w:spacing w:before="0" w:after="0" w:line="240" w:lineRule="auto"/>
            </w:pPr>
            <w:r>
              <w:rPr>
                <w:rFonts w:ascii="Calibri" w:hAnsi="Calibri" w:eastAsia="Calibri" w:cs="Calibri"/>
                <w:b/>
                <w:color w:val="1F3864"/>
                <w:sz w:val="20"/>
              </w:rPr>
              <w:t>Status</w:t>
            </w:r>
          </w:p>
        </w:tc>
        <w:tc>
          <w:tcPr>
            <w:tcW w:w="8118" w:type="dxa"/>
            <w:shd w:val="clear" w:color="auto" w:fill="E7E6E6"/>
          </w:tcPr>
          <w:p>
            <w:pPr>
              <w:keepNext/>
              <w:spacing w:before="0" w:after="0" w:line="240" w:lineRule="auto"/>
            </w:pPr>
            <w:r>
              <w:rPr>
                <w:rFonts w:ascii="Calibri" w:hAnsi="Calibri" w:eastAsia="Calibri" w:cs="Calibri"/>
                <w:b/>
                <w:color w:val="1F3864"/>
                <w:sz w:val="20"/>
              </w:rPr>
              <w:t>Required response</w:t>
            </w:r>
          </w:p>
        </w:tc>
      </w:tr>
      <w:tr>
        <w:trPr>
          <w:cantSplit/>
        </w:trPr>
        <w:tc>
          <w:tcPr>
            <w:tcW w:w="1150" w:type="dxa"/>
          </w:tcPr>
          <w:p>
            <w:pPr>
              <w:spacing w:before="0" w:after="0" w:line="240" w:lineRule="auto"/>
            </w:pPr>
            <w:r>
              <w:rPr>
                <w:rFonts w:ascii="Calibri" w:hAnsi="Calibri" w:eastAsia="Calibri" w:cs="Calibri"/>
                <w:b/>
                <w:sz w:val="20"/>
              </w:rPr>
              <w:t>0–10%</w:t>
            </w:r>
          </w:p>
        </w:tc>
        <w:tc>
          <w:tcPr>
            <w:tcW w:w="1100" w:type="dxa"/>
          </w:tcPr>
          <w:p>
            <w:pPr>
              <w:spacing w:before="0" w:after="0" w:line="240" w:lineRule="auto"/>
            </w:pPr>
            <w:r>
              <w:rPr>
                <w:rFonts w:ascii="Calibri" w:hAnsi="Calibri" w:eastAsia="Calibri" w:cs="Calibri"/>
                <w:b/>
                <w:sz w:val="20"/>
              </w:rPr>
              <w:t>Normal</w:t>
            </w:r>
          </w:p>
        </w:tc>
        <w:tc>
          <w:tcPr>
            <w:tcW w:w="8118" w:type="dxa"/>
          </w:tcPr>
          <w:p>
            <w:pPr>
              <w:spacing w:before="0" w:after="0" w:line="240" w:lineRule="auto"/>
            </w:pPr>
            <w:r>
              <w:rPr>
                <w:rFonts w:ascii="Calibri" w:hAnsi="Calibri" w:eastAsia="Calibri" w:cs="Calibri"/>
                <w:b w:val="0"/>
                <w:sz w:val="20"/>
              </w:rPr>
              <w:t>Standard sizing and the 5–15% cash rules (Part 5).</w:t>
            </w:r>
          </w:p>
        </w:tc>
      </w:tr>
      <w:tr>
        <w:trPr>
          <w:cantSplit/>
        </w:trPr>
        <w:tc>
          <w:tcPr>
            <w:tcW w:w="1150" w:type="dxa"/>
          </w:tcPr>
          <w:p>
            <w:pPr>
              <w:spacing w:before="0" w:after="0" w:line="240" w:lineRule="auto"/>
            </w:pPr>
            <w:r>
              <w:rPr>
                <w:rFonts w:ascii="Calibri" w:hAnsi="Calibri" w:eastAsia="Calibri" w:cs="Calibri"/>
                <w:b/>
                <w:sz w:val="20"/>
              </w:rPr>
              <w:t>10–20%</w:t>
            </w:r>
          </w:p>
        </w:tc>
        <w:tc>
          <w:tcPr>
            <w:tcW w:w="1100" w:type="dxa"/>
          </w:tcPr>
          <w:p>
            <w:pPr>
              <w:spacing w:before="0" w:after="0" w:line="240" w:lineRule="auto"/>
            </w:pPr>
            <w:r>
              <w:rPr>
                <w:rFonts w:ascii="Calibri" w:hAnsi="Calibri" w:eastAsia="Calibri" w:cs="Calibri"/>
                <w:b/>
                <w:sz w:val="20"/>
              </w:rPr>
              <w:t>Elevated</w:t>
            </w:r>
          </w:p>
        </w:tc>
        <w:tc>
          <w:tcPr>
            <w:tcW w:w="8118" w:type="dxa"/>
          </w:tcPr>
          <w:p>
            <w:pPr>
              <w:spacing w:before="0" w:after="0" w:line="240" w:lineRule="auto"/>
            </w:pPr>
            <w:r>
              <w:rPr>
                <w:rFonts w:ascii="Calibri" w:hAnsi="Calibri" w:eastAsia="Calibri" w:cs="Calibri"/>
                <w:b w:val="0"/>
                <w:sz w:val="20"/>
              </w:rPr>
              <w:t>Raise the cash floor to 15% minimum. Suspend initiation of new positions scored below 80 (Strong Buy only).</w:t>
            </w:r>
          </w:p>
        </w:tc>
      </w:tr>
      <w:tr>
        <w:trPr>
          <w:cantSplit/>
        </w:trPr>
        <w:tc>
          <w:tcPr>
            <w:tcW w:w="1150" w:type="dxa"/>
          </w:tcPr>
          <w:p>
            <w:pPr>
              <w:spacing w:before="0" w:after="0" w:line="240" w:lineRule="auto"/>
            </w:pPr>
            <w:r>
              <w:rPr>
                <w:rFonts w:ascii="Calibri" w:hAnsi="Calibri" w:eastAsia="Calibri" w:cs="Calibri"/>
                <w:b/>
                <w:sz w:val="20"/>
              </w:rPr>
              <w:t>20–30%</w:t>
            </w:r>
          </w:p>
        </w:tc>
        <w:tc>
          <w:tcPr>
            <w:tcW w:w="1100" w:type="dxa"/>
          </w:tcPr>
          <w:p>
            <w:pPr>
              <w:spacing w:before="0" w:after="0" w:line="240" w:lineRule="auto"/>
            </w:pPr>
            <w:r>
              <w:rPr>
                <w:rFonts w:ascii="Calibri" w:hAnsi="Calibri" w:eastAsia="Calibri" w:cs="Calibri"/>
                <w:b/>
                <w:sz w:val="20"/>
              </w:rPr>
              <w:t>Severe</w:t>
            </w:r>
          </w:p>
        </w:tc>
        <w:tc>
          <w:tcPr>
            <w:tcW w:w="8118" w:type="dxa"/>
          </w:tcPr>
          <w:p>
            <w:pPr>
              <w:spacing w:before="0" w:after="0" w:line="240" w:lineRule="auto"/>
            </w:pPr>
            <w:r>
              <w:rPr>
                <w:rFonts w:ascii="Calibri" w:hAnsi="Calibri" w:eastAsia="Calibri" w:cs="Calibri"/>
                <w:b w:val="0"/>
                <w:sz w:val="20"/>
              </w:rPr>
              <w:t>Raise the cash floor to 20% minimum. Suspend all new position initiation regardless of Composite Score. Hold Through rules remain in force for fundamentally intact holdings.</w:t>
            </w:r>
          </w:p>
        </w:tc>
      </w:tr>
      <w:tr>
        <w:trPr>
          <w:cantSplit/>
        </w:trPr>
        <w:tc>
          <w:tcPr>
            <w:tcW w:w="1150" w:type="dxa"/>
          </w:tcPr>
          <w:p>
            <w:pPr>
              <w:spacing w:before="0" w:after="0" w:line="240" w:lineRule="auto"/>
            </w:pPr>
            <w:r>
              <w:rPr>
                <w:rFonts w:ascii="Calibri" w:hAnsi="Calibri" w:eastAsia="Calibri" w:cs="Calibri"/>
                <w:b/>
                <w:sz w:val="20"/>
              </w:rPr>
              <w:t>30%+</w:t>
            </w:r>
          </w:p>
        </w:tc>
        <w:tc>
          <w:tcPr>
            <w:tcW w:w="1100" w:type="dxa"/>
          </w:tcPr>
          <w:p>
            <w:pPr>
              <w:spacing w:before="0" w:after="0" w:line="240" w:lineRule="auto"/>
            </w:pPr>
            <w:r>
              <w:rPr>
                <w:rFonts w:ascii="Calibri" w:hAnsi="Calibri" w:eastAsia="Calibri" w:cs="Calibri"/>
                <w:b/>
                <w:sz w:val="20"/>
              </w:rPr>
              <w:t>Critical</w:t>
            </w:r>
          </w:p>
        </w:tc>
        <w:tc>
          <w:tcPr>
            <w:tcW w:w="8118" w:type="dxa"/>
          </w:tcPr>
          <w:p>
            <w:pPr>
              <w:spacing w:before="0" w:after="0" w:line="240" w:lineRule="auto"/>
            </w:pPr>
            <w:r>
              <w:rPr>
                <w:rFonts w:ascii="Calibri" w:hAnsi="Calibri" w:eastAsia="Calibri" w:cs="Calibri"/>
                <w:b w:val="0"/>
                <w:sz w:val="20"/>
              </w:rPr>
              <w:t>Raise the cash floor to 25% minimum. Re-score the full portfolio within 2 weeks. Document whether the decline reflects fundamentals, valuation compression or macro conditions before any further action.</w:t>
            </w:r>
          </w:p>
        </w:tc>
      </w:tr>
    </w:tbl>
    <w:p>
      <w:pPr>
        <w:spacing w:before="60" w:after="40"/>
      </w:pPr>
      <w:r>
        <w:rPr>
          <w:rFonts w:ascii="Calibri" w:hAnsi="Calibri" w:eastAsia="Calibri" w:cs="Calibri"/>
          <w:i/>
          <w:color w:val="595959"/>
          <w:sz w:val="18"/>
        </w:rPr>
        <w:t>Drawdown is measured on aggregate portfolio total return, net of external deposits and withdrawals, from the trailing high-water mark (daily closing values when available, otherwise weekly). A regime begins after five consecutive trading days beyond a threshold and ends after ten consecutive trading days inside the less restrictive band. A new high-water mark resets the measurement.</w:t>
      </w:r>
    </w:p>
    <w:p>
      <w:pPr>
        <w:keepNext/>
        <w:spacing w:before="200" w:after="60"/>
      </w:pPr>
      <w:r>
        <w:rPr>
          <w:rFonts w:ascii="Calibri" w:hAnsi="Calibri" w:eastAsia="Calibri" w:cs="Calibri"/>
          <w:b/>
          <w:color w:val="1F3864"/>
          <w:sz w:val="23"/>
        </w:rPr>
        <w:t>Macro overlay (Part 7)</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3400"/>
        <w:gridCol w:w="6968"/>
      </w:tblGrid>
      <w:tr>
        <w:trPr>
          <w:cantSplit/>
          <w:tblHeader/>
        </w:trPr>
        <w:tc>
          <w:tcPr>
            <w:tcW w:w="3400" w:type="dxa"/>
            <w:shd w:val="clear" w:color="auto" w:fill="E7E6E6"/>
          </w:tcPr>
          <w:p>
            <w:pPr>
              <w:keepNext/>
              <w:spacing w:before="0" w:after="0" w:line="240" w:lineRule="auto"/>
            </w:pPr>
            <w:r>
              <w:rPr>
                <w:rFonts w:ascii="Calibri" w:hAnsi="Calibri" w:eastAsia="Calibri" w:cs="Calibri"/>
                <w:b/>
                <w:color w:val="1F3864"/>
                <w:sz w:val="20"/>
              </w:rPr>
              <w:t>Condition</w:t>
            </w:r>
          </w:p>
        </w:tc>
        <w:tc>
          <w:tcPr>
            <w:tcW w:w="6968" w:type="dxa"/>
            <w:shd w:val="clear" w:color="auto" w:fill="E7E6E6"/>
          </w:tcPr>
          <w:p>
            <w:pPr>
              <w:keepNext/>
              <w:spacing w:before="0" w:after="0" w:line="240" w:lineRule="auto"/>
            </w:pPr>
            <w:r>
              <w:rPr>
                <w:rFonts w:ascii="Calibri" w:hAnsi="Calibri" w:eastAsia="Calibri" w:cs="Calibri"/>
                <w:b/>
                <w:color w:val="1F3864"/>
                <w:sz w:val="20"/>
              </w:rPr>
              <w:t>Effect on the system</w:t>
            </w:r>
          </w:p>
        </w:tc>
      </w:tr>
      <w:tr>
        <w:trPr>
          <w:cantSplit/>
        </w:trPr>
        <w:tc>
          <w:tcPr>
            <w:tcW w:w="3400" w:type="dxa"/>
          </w:tcPr>
          <w:p>
            <w:pPr>
              <w:keepNext/>
              <w:spacing w:before="0" w:after="0" w:line="240" w:lineRule="auto"/>
            </w:pPr>
            <w:r>
              <w:rPr>
                <w:rFonts w:ascii="Calibri" w:hAnsi="Calibri" w:eastAsia="Calibri" w:cs="Calibri"/>
                <w:b/>
                <w:sz w:val="20"/>
              </w:rPr>
              <w:t>Rising rate environment (Fed tightening cycle active)</w:t>
            </w:r>
          </w:p>
        </w:tc>
        <w:tc>
          <w:tcPr>
            <w:tcW w:w="6968" w:type="dxa"/>
          </w:tcPr>
          <w:p>
            <w:pPr>
              <w:keepNext/>
              <w:spacing w:before="0" w:after="0" w:line="240" w:lineRule="auto"/>
            </w:pPr>
            <w:r>
              <w:rPr>
                <w:rFonts w:ascii="Calibri" w:hAnsi="Calibri" w:eastAsia="Calibri" w:cs="Calibri"/>
                <w:b w:val="0"/>
                <w:sz w:val="20"/>
              </w:rPr>
              <w:t>Reduce max position size by 1% for high-multiple growth stocks (P/FCF above 40x). Favor FCF yield and low-debt names.</w:t>
            </w:r>
          </w:p>
        </w:tc>
      </w:tr>
      <w:tr>
        <w:trPr>
          <w:cantSplit/>
        </w:trPr>
        <w:tc>
          <w:tcPr>
            <w:tcW w:w="3400" w:type="dxa"/>
          </w:tcPr>
          <w:p>
            <w:pPr>
              <w:keepNext/>
              <w:spacing w:before="0" w:after="0" w:line="240" w:lineRule="auto"/>
            </w:pPr>
            <w:r>
              <w:rPr>
                <w:rFonts w:ascii="Calibri" w:hAnsi="Calibri" w:eastAsia="Calibri" w:cs="Calibri"/>
                <w:b/>
                <w:sz w:val="20"/>
              </w:rPr>
              <w:t>Inverted yield curve (2s/10s inverted more than 3 months)</w:t>
            </w:r>
          </w:p>
        </w:tc>
        <w:tc>
          <w:tcPr>
            <w:tcW w:w="6968" w:type="dxa"/>
          </w:tcPr>
          <w:p>
            <w:pPr>
              <w:keepNext/>
              <w:spacing w:before="0" w:after="0" w:line="240" w:lineRule="auto"/>
            </w:pPr>
            <w:r>
              <w:rPr>
                <w:rFonts w:ascii="Calibri" w:hAnsi="Calibri" w:eastAsia="Calibri" w:cs="Calibri"/>
                <w:b w:val="0"/>
                <w:sz w:val="20"/>
              </w:rPr>
              <w:t>Raise the cash floor to 10% minimum. No new positions in cyclicals or leveraged businesses. Favor defensive compounders.</w:t>
            </w:r>
          </w:p>
        </w:tc>
      </w:tr>
      <w:tr>
        <w:trPr>
          <w:cantSplit/>
        </w:trPr>
        <w:tc>
          <w:tcPr>
            <w:tcW w:w="3400" w:type="dxa"/>
          </w:tcPr>
          <w:p>
            <w:pPr>
              <w:keepNext/>
              <w:spacing w:before="0" w:after="0" w:line="240" w:lineRule="auto"/>
            </w:pPr>
            <w:r>
              <w:rPr>
                <w:rFonts w:ascii="Calibri" w:hAnsi="Calibri" w:eastAsia="Calibri" w:cs="Calibri"/>
                <w:b/>
                <w:sz w:val="20"/>
              </w:rPr>
              <w:t>Credit spreads widening rapidly (HY spreads above 600 bps)</w:t>
            </w:r>
          </w:p>
        </w:tc>
        <w:tc>
          <w:tcPr>
            <w:tcW w:w="6968" w:type="dxa"/>
          </w:tcPr>
          <w:p>
            <w:pPr>
              <w:keepNext/>
              <w:spacing w:before="0" w:after="0" w:line="240" w:lineRule="auto"/>
            </w:pPr>
            <w:r>
              <w:rPr>
                <w:rFonts w:ascii="Calibri" w:hAnsi="Calibri" w:eastAsia="Calibri" w:cs="Calibri"/>
                <w:b w:val="0"/>
                <w:sz w:val="20"/>
              </w:rPr>
              <w:t>Pause all new entries. Reassess existing holdings with Debt/FCF above 3x. Hold cash.</w:t>
            </w:r>
          </w:p>
        </w:tc>
      </w:tr>
      <w:tr>
        <w:trPr>
          <w:cantSplit/>
        </w:trPr>
        <w:tc>
          <w:tcPr>
            <w:tcW w:w="3400" w:type="dxa"/>
          </w:tcPr>
          <w:p>
            <w:pPr>
              <w:keepNext/>
              <w:spacing w:before="0" w:after="0" w:line="240" w:lineRule="auto"/>
            </w:pPr>
            <w:r>
              <w:rPr>
                <w:rFonts w:ascii="Calibri" w:hAnsi="Calibri" w:eastAsia="Calibri" w:cs="Calibri"/>
                <w:b/>
                <w:sz w:val="20"/>
              </w:rPr>
              <w:t>Broad market downtrend (SPY below its 200-week MA)</w:t>
            </w:r>
          </w:p>
        </w:tc>
        <w:tc>
          <w:tcPr>
            <w:tcW w:w="6968" w:type="dxa"/>
          </w:tcPr>
          <w:p>
            <w:pPr>
              <w:keepNext/>
              <w:spacing w:before="0" w:after="0" w:line="240" w:lineRule="auto"/>
            </w:pPr>
            <w:r>
              <w:rPr>
                <w:rFonts w:ascii="Calibri" w:hAnsi="Calibri" w:eastAsia="Calibri" w:cs="Calibri"/>
                <w:b w:val="0"/>
                <w:sz w:val="20"/>
              </w:rPr>
              <w:t>Reduce all new position sizes by 50%. Continue holding fundamentally intact positions. Accumulate Watch List candidates for entry when the trend recovers.</w:t>
            </w:r>
          </w:p>
        </w:tc>
      </w:tr>
      <w:tr>
        <w:trPr>
          <w:cantSplit/>
        </w:trPr>
        <w:tc>
          <w:tcPr>
            <w:tcW w:w="3400" w:type="dxa"/>
          </w:tcPr>
          <w:p>
            <w:pPr>
              <w:spacing w:before="0" w:after="0" w:line="240" w:lineRule="auto"/>
            </w:pPr>
            <w:r>
              <w:rPr>
                <w:rFonts w:ascii="Calibri" w:hAnsi="Calibri" w:eastAsia="Calibri" w:cs="Calibri"/>
                <w:b/>
                <w:sz w:val="20"/>
              </w:rPr>
              <w:t>Sector-specific regulatory / geopolitical risk</w:t>
            </w:r>
          </w:p>
        </w:tc>
        <w:tc>
          <w:tcPr>
            <w:tcW w:w="6968" w:type="dxa"/>
          </w:tcPr>
          <w:p>
            <w:pPr>
              <w:spacing w:before="0" w:after="0" w:line="240" w:lineRule="auto"/>
            </w:pPr>
            <w:r>
              <w:rPr>
                <w:rFonts w:ascii="Calibri" w:hAnsi="Calibri" w:eastAsia="Calibri" w:cs="Calibri"/>
                <w:b w:val="0"/>
                <w:sz w:val="20"/>
              </w:rPr>
              <w:t>Reduce the sector cap from 25% to 15% for the affected sector. Re-evaluate moat scores for regulatory dependency.</w:t>
            </w:r>
          </w:p>
        </w:tc>
      </w:tr>
    </w:tbl>
    <w:p>
      <w:pPr>
        <w:spacing w:before="60" w:after="40"/>
      </w:pPr>
      <w:r>
        <w:rPr>
          <w:rFonts w:ascii="Calibri" w:hAnsi="Calibri" w:eastAsia="Calibri" w:cs="Calibri"/>
          <w:i/>
          <w:color w:val="595959"/>
          <w:sz w:val="18"/>
        </w:rPr>
        <w:t>Macro overlays are temporary modifiers: when the condition resolves, revert to standard sizing.</w:t>
      </w:r>
    </w:p>
    <w:p>
      <w:pPr>
        <w:keepNext/>
        <w:spacing w:before="200" w:after="60"/>
      </w:pPr>
      <w:r>
        <w:rPr>
          <w:rFonts w:ascii="Calibri" w:hAnsi="Calibri" w:eastAsia="Calibri" w:cs="Calibri"/>
          <w:b/>
          <w:color w:val="1F3864"/>
          <w:sz w:val="23"/>
        </w:rPr>
        <w:t>Hold Through: do NOT sell based on these alone (Part 6)</w:t>
      </w:r>
    </w:p>
    <w:p>
      <w:pPr>
        <w:spacing w:before="0" w:after="30"/>
        <w:ind w:left="403" w:hanging="288"/>
      </w:pPr>
      <w:r>
        <w:rPr>
          <w:rFonts w:ascii="Calibri" w:hAnsi="Calibri" w:eastAsia="Calibri" w:cs="Calibri"/>
          <w:sz w:val="20"/>
        </w:rPr>
        <w:t>•  A short-term price decline of 20–30% with no change in Tier 1/2 fundamentals: this is noise, unless a Stop-Review Ladder rung (below) has been reached.</w:t>
      </w:r>
    </w:p>
    <w:p>
      <w:pPr>
        <w:spacing w:before="0" w:after="30"/>
        <w:ind w:left="403" w:hanging="288"/>
      </w:pPr>
      <w:r>
        <w:rPr>
          <w:rFonts w:ascii="Calibri" w:hAnsi="Calibri" w:eastAsia="Calibri" w:cs="Calibri"/>
          <w:sz w:val="20"/>
        </w:rPr>
        <w:t>•  One quarter of earnings miss: evaluate the cause; sell only if it signals structural deterioration.</w:t>
      </w:r>
    </w:p>
    <w:p>
      <w:pPr>
        <w:spacing w:before="0" w:after="30"/>
        <w:ind w:left="403" w:hanging="288"/>
      </w:pPr>
      <w:r>
        <w:rPr>
          <w:rFonts w:ascii="Calibri" w:hAnsi="Calibri" w:eastAsia="Calibri" w:cs="Calibri"/>
          <w:sz w:val="20"/>
        </w:rPr>
        <w:t>•  Analyst downgrades: a lagging indicator; revisit Tier 1/2 signals instead.</w:t>
      </w:r>
    </w:p>
    <w:p>
      <w:pPr>
        <w:spacing w:before="0" w:after="30"/>
        <w:ind w:left="403" w:hanging="288"/>
      </w:pPr>
      <w:r>
        <w:rPr>
          <w:rFonts w:ascii="Calibri" w:hAnsi="Calibri" w:eastAsia="Calibri" w:cs="Calibri"/>
          <w:sz w:val="20"/>
        </w:rPr>
        <w:t>•  A market-wide selloff: if fundamentals are intact, often an opportunity to add, not sell.</w:t>
      </w:r>
    </w:p>
    <w:p>
      <w:pPr>
        <w:spacing w:before="0" w:after="30"/>
        <w:ind w:left="403" w:hanging="288"/>
      </w:pPr>
      <w:r>
        <w:rPr>
          <w:rFonts w:ascii="Calibri" w:hAnsi="Calibri" w:eastAsia="Calibri" w:cs="Calibri"/>
          <w:sz w:val="20"/>
        </w:rPr>
        <w:t>•  Narrative shift or negative press: evaluate facts, not sentiment.</w:t>
      </w:r>
    </w:p>
    <w:p>
      <w:pPr>
        <w:keepNext/>
        <w:spacing w:before="200" w:after="60"/>
      </w:pPr>
      <w:r>
        <w:rPr>
          <w:rFonts w:ascii="Calibri" w:hAnsi="Calibri" w:eastAsia="Calibri" w:cs="Calibri"/>
          <w:b/>
          <w:color w:val="1F3864"/>
          <w:sz w:val="23"/>
        </w:rPr>
        <w:t>Stop-Review Ladder: a falling price triggers a re-underwrite (Part 6, v1.05)</w:t>
      </w:r>
    </w:p>
    <w:p>
      <w:pPr>
        <w:spacing w:before="0" w:after="30"/>
        <w:ind w:left="403" w:hanging="288"/>
      </w:pPr>
      <w:r>
        <w:rPr>
          <w:rFonts w:ascii="Calibri" w:hAnsi="Calibri" w:eastAsia="Calibri" w:cs="Calibri"/>
          <w:sz w:val="20"/>
        </w:rPr>
        <w:t>•  Rung 1: 20% or more below cost, with Relative Strength 1 or the price under its 200-day average: no additions (DCA included) and a documented re-underwrite within 10 trading days -- a fresh Tier 1 reread, the leading indicators, and the Rule 5 review concluded as reaffirmed, resized or referred; repeated every 90 days.</w:t>
      </w:r>
    </w:p>
    <w:p>
      <w:pPr>
        <w:spacing w:before="0" w:after="30"/>
        <w:ind w:left="403" w:hanging="288"/>
      </w:pPr>
      <w:r>
        <w:rPr>
          <w:rFonts w:ascii="Calibri" w:hAnsi="Calibri" w:eastAsia="Calibri" w:cs="Calibri"/>
          <w:sz w:val="20"/>
        </w:rPr>
        <w:t>•  Rung 2: 30% or more below cost on the same confirmation, with deterioration found: trim one third; a second confirmation trims another third.</w:t>
      </w:r>
    </w:p>
    <w:p>
      <w:pPr>
        <w:spacing w:before="0" w:after="30"/>
        <w:ind w:left="403" w:hanging="288"/>
      </w:pPr>
      <w:r>
        <w:rPr>
          <w:rFonts w:ascii="Calibri" w:hAnsi="Calibri" w:eastAsia="Calibri" w:cs="Calibri"/>
          <w:sz w:val="20"/>
        </w:rPr>
        <w:t>•  Rung 3: 40% or more below cost, Relative Strength 1 and 8 straight weeks under the 200-day average: Exit Review (sell within 30 days unless a documented 90-day remediation plan is approved).</w:t>
      </w:r>
    </w:p>
    <w:p>
      <w:pPr>
        <w:spacing w:before="0" w:after="30"/>
        <w:ind w:left="403" w:hanging="288"/>
      </w:pPr>
      <w:r>
        <w:rPr>
          <w:rFonts w:ascii="Calibri" w:hAnsi="Calibri" w:eastAsia="Calibri" w:cs="Calibri"/>
          <w:sz w:val="20"/>
        </w:rPr>
        <w:t>•  Never a price-only sale: a decline that reaches no rung, or a rung whose re-underwrite finds no deterioration, stays under Hold Through.</w:t>
      </w:r>
    </w:p>
    <w:p>
      <w:pPr>
        <w:spacing w:before="40" w:after="40"/>
      </w:pPr>
      <w:r>
        <w:rPr>
          <w:rFonts w:ascii="Calibri" w:hAnsi="Calibri" w:eastAsia="Calibri" w:cs="Calibri"/>
          <w:i/>
          <w:color w:val="595959"/>
          <w:sz w:val="18"/>
        </w:rPr>
        <w:t>Relative Strength 1 = behind SPY by more than 15% over six months; the 200-day average = the last 40 weekly closes.</w:t>
      </w:r>
    </w:p>
    <w:p>
      <w:pPr>
        <w:keepNext/>
        <w:spacing w:before="200" w:after="60"/>
      </w:pPr>
      <w:r>
        <w:rPr>
          <w:rFonts w:ascii="Calibri" w:hAnsi="Calibri" w:eastAsia="Calibri" w:cs="Calibri"/>
          <w:b/>
          <w:color w:val="1F3864"/>
          <w:sz w:val="23"/>
        </w:rPr>
        <w:t>When rules conflict: higher rank wins (Part 10)</w:t>
      </w:r>
    </w:p>
    <w:p>
      <w:pPr>
        <w:spacing w:before="0" w:after="30"/>
        <w:ind w:left="403" w:hanging="288"/>
      </w:pPr>
      <w:r>
        <w:rPr>
          <w:rFonts w:ascii="Calibri" w:hAnsi="Calibri" w:eastAsia="Calibri" w:cs="Calibri"/>
          <w:sz w:val="20"/>
        </w:rPr>
        <w:t>1.  Mandatory fundamental sell triggers</w:t>
      </w:r>
    </w:p>
    <w:p>
      <w:pPr>
        <w:spacing w:before="0" w:after="30"/>
        <w:ind w:left="403" w:hanging="288"/>
      </w:pPr>
      <w:r>
        <w:rPr>
          <w:rFonts w:ascii="Calibri" w:hAnsi="Calibri" w:eastAsia="Calibri" w:cs="Calibri"/>
          <w:sz w:val="20"/>
        </w:rPr>
        <w:t>2.  Legal, regulatory, account and liquidity constraints (mandatory tax compliance, e.g. wash-sale rules, falls here)</w:t>
      </w:r>
    </w:p>
    <w:p>
      <w:pPr>
        <w:spacing w:before="0" w:after="30"/>
        <w:ind w:left="403" w:hanging="288"/>
      </w:pPr>
      <w:r>
        <w:rPr>
          <w:rFonts w:ascii="Calibri" w:hAnsi="Calibri" w:eastAsia="Calibri" w:cs="Calibri"/>
          <w:sz w:val="20"/>
        </w:rPr>
        <w:t>3.  Portfolio hard caps and drawdown restrictions</w:t>
      </w:r>
    </w:p>
    <w:p>
      <w:pPr>
        <w:spacing w:before="0" w:after="30"/>
        <w:ind w:left="403" w:hanging="288"/>
      </w:pPr>
      <w:r>
        <w:rPr>
          <w:rFonts w:ascii="Calibri" w:hAnsi="Calibri" w:eastAsia="Calibri" w:cs="Calibri"/>
          <w:sz w:val="20"/>
        </w:rPr>
        <w:t>4.  Entry eligibility and valuation ceilings</w:t>
      </w:r>
    </w:p>
    <w:p>
      <w:pPr>
        <w:spacing w:before="0" w:after="30"/>
        <w:ind w:left="403" w:hanging="288"/>
      </w:pPr>
      <w:r>
        <w:rPr>
          <w:rFonts w:ascii="Calibri" w:hAnsi="Calibri" w:eastAsia="Calibri" w:cs="Calibri"/>
          <w:sz w:val="20"/>
        </w:rPr>
        <w:t>5.  Position sizing and staging</w:t>
      </w:r>
    </w:p>
    <w:p>
      <w:pPr>
        <w:spacing w:before="0" w:after="30"/>
        <w:ind w:left="403" w:hanging="288"/>
      </w:pPr>
      <w:r>
        <w:rPr>
          <w:rFonts w:ascii="Calibri" w:hAnsi="Calibri" w:eastAsia="Calibri" w:cs="Calibri"/>
          <w:sz w:val="20"/>
        </w:rPr>
        <w:t>6.  Opportunity-cost replacement</w:t>
      </w:r>
    </w:p>
    <w:p>
      <w:pPr>
        <w:spacing w:before="0" w:after="30"/>
        <w:ind w:left="403" w:hanging="288"/>
      </w:pPr>
      <w:r>
        <w:rPr>
          <w:rFonts w:ascii="Calibri" w:hAnsi="Calibri" w:eastAsia="Calibri" w:cs="Calibri"/>
          <w:sz w:val="20"/>
        </w:rPr>
        <w:t>7.  Tax optimization (discretionary lot selection and loss harvesting; never a mandatory compliance matter)</w:t>
      </w:r>
    </w:p>
    <w:p>
      <w:pPr>
        <w:spacing w:before="40" w:after="40"/>
      </w:pPr>
      <w:r>
        <w:rPr>
          <w:rFonts w:ascii="Calibri" w:hAnsi="Calibri" w:eastAsia="Calibri" w:cs="Calibri"/>
          <w:i/>
          <w:color w:val="595959"/>
          <w:sz w:val="18"/>
        </w:rPr>
        <w:t>A lower-ranked rule may never override a higher-ranked rule. Document any unresolved conflict before trading.</w:t>
      </w:r>
    </w:p>
    <w:p>
      <w:pPr>
        <w:keepNext/>
        <w:spacing w:before="200" w:after="60"/>
      </w:pPr>
      <w:r>
        <w:rPr>
          <w:rFonts w:ascii="Calibri" w:hAnsi="Calibri" w:eastAsia="Calibri" w:cs="Calibri"/>
          <w:b/>
          <w:color w:val="1F3864"/>
          <w:sz w:val="23"/>
        </w:rPr>
        <w:t>What to avoid (Part 11)</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3800"/>
        <w:gridCol w:w="6568"/>
      </w:tblGrid>
      <w:tr>
        <w:trPr>
          <w:cantSplit/>
          <w:tblHeader/>
        </w:trPr>
        <w:tc>
          <w:tcPr>
            <w:tcW w:w="3800" w:type="dxa"/>
            <w:shd w:val="clear" w:color="auto" w:fill="E7E6E6"/>
          </w:tcPr>
          <w:p>
            <w:pPr>
              <w:keepNext/>
              <w:spacing w:before="0" w:after="0" w:line="240" w:lineRule="auto"/>
            </w:pPr>
            <w:r>
              <w:rPr>
                <w:rFonts w:ascii="Calibri" w:hAnsi="Calibri" w:eastAsia="Calibri" w:cs="Calibri"/>
                <w:b/>
                <w:color w:val="1F3864"/>
                <w:sz w:val="20"/>
              </w:rPr>
              <w:t>Avoid</w:t>
            </w:r>
          </w:p>
        </w:tc>
        <w:tc>
          <w:tcPr>
            <w:tcW w:w="6568" w:type="dxa"/>
            <w:shd w:val="clear" w:color="auto" w:fill="E7E6E6"/>
          </w:tcPr>
          <w:p>
            <w:pPr>
              <w:keepNext/>
              <w:spacing w:before="0" w:after="0" w:line="240" w:lineRule="auto"/>
            </w:pPr>
            <w:r>
              <w:rPr>
                <w:rFonts w:ascii="Calibri" w:hAnsi="Calibri" w:eastAsia="Calibri" w:cs="Calibri"/>
                <w:b/>
                <w:color w:val="1F3864"/>
                <w:sz w:val="20"/>
              </w:rPr>
              <w:t>Why</w:t>
            </w:r>
          </w:p>
        </w:tc>
      </w:tr>
      <w:tr>
        <w:trPr>
          <w:cantSplit/>
        </w:trPr>
        <w:tc>
          <w:tcPr>
            <w:tcW w:w="3800" w:type="dxa"/>
          </w:tcPr>
          <w:p>
            <w:pPr>
              <w:keepNext/>
              <w:spacing w:before="0" w:after="0" w:line="240" w:lineRule="auto"/>
            </w:pPr>
            <w:r>
              <w:rPr>
                <w:rFonts w:ascii="Calibri" w:hAnsi="Calibri" w:eastAsia="Calibri" w:cs="Calibri"/>
                <w:b/>
                <w:sz w:val="20"/>
              </w:rPr>
              <w:t>P/E ratio as primary filter</w:t>
            </w:r>
          </w:p>
        </w:tc>
        <w:tc>
          <w:tcPr>
            <w:tcW w:w="6568" w:type="dxa"/>
          </w:tcPr>
          <w:p>
            <w:pPr>
              <w:keepNext/>
              <w:spacing w:before="0" w:after="0" w:line="240" w:lineRule="auto"/>
            </w:pPr>
            <w:r>
              <w:rPr>
                <w:rFonts w:ascii="Calibri" w:hAnsi="Calibri" w:eastAsia="Calibri" w:cs="Calibri"/>
                <w:b w:val="0"/>
                <w:sz w:val="20"/>
              </w:rPr>
              <w:t>Use only as a secondary cross-check.</w:t>
            </w:r>
          </w:p>
        </w:tc>
      </w:tr>
      <w:tr>
        <w:trPr>
          <w:cantSplit/>
        </w:trPr>
        <w:tc>
          <w:tcPr>
            <w:tcW w:w="3800" w:type="dxa"/>
          </w:tcPr>
          <w:p>
            <w:pPr>
              <w:keepNext/>
              <w:spacing w:before="0" w:after="0" w:line="240" w:lineRule="auto"/>
            </w:pPr>
            <w:r>
              <w:rPr>
                <w:rFonts w:ascii="Calibri" w:hAnsi="Calibri" w:eastAsia="Calibri" w:cs="Calibri"/>
                <w:b/>
                <w:sz w:val="20"/>
              </w:rPr>
              <w:t>Analyst 12-month price targets</w:t>
            </w:r>
          </w:p>
        </w:tc>
        <w:tc>
          <w:tcPr>
            <w:tcW w:w="6568" w:type="dxa"/>
          </w:tcPr>
          <w:p>
            <w:pPr>
              <w:keepNext/>
              <w:spacing w:before="0" w:after="0" w:line="240" w:lineRule="auto"/>
            </w:pPr>
            <w:r>
              <w:rPr>
                <w:rFonts w:ascii="Calibri" w:hAnsi="Calibri" w:eastAsia="Calibri" w:cs="Calibri"/>
                <w:b w:val="0"/>
                <w:sz w:val="20"/>
              </w:rPr>
              <w:t>A sentiment and estimate-dispersion check only.</w:t>
            </w:r>
          </w:p>
        </w:tc>
      </w:tr>
      <w:tr>
        <w:trPr>
          <w:cantSplit/>
        </w:trPr>
        <w:tc>
          <w:tcPr>
            <w:tcW w:w="3800" w:type="dxa"/>
          </w:tcPr>
          <w:p>
            <w:pPr>
              <w:keepNext/>
              <w:spacing w:before="0" w:after="0" w:line="240" w:lineRule="auto"/>
            </w:pPr>
            <w:r>
              <w:rPr>
                <w:rFonts w:ascii="Calibri" w:hAnsi="Calibri" w:eastAsia="Calibri" w:cs="Calibri"/>
                <w:b/>
                <w:sz w:val="20"/>
              </w:rPr>
              <w:t>Earnings surprises as primary signal</w:t>
            </w:r>
          </w:p>
        </w:tc>
        <w:tc>
          <w:tcPr>
            <w:tcW w:w="6568" w:type="dxa"/>
          </w:tcPr>
          <w:p>
            <w:pPr>
              <w:keepNext/>
              <w:spacing w:before="0" w:after="0" w:line="240" w:lineRule="auto"/>
            </w:pPr>
            <w:r>
              <w:rPr>
                <w:rFonts w:ascii="Calibri" w:hAnsi="Calibri" w:eastAsia="Calibri" w:cs="Calibri"/>
                <w:b w:val="0"/>
                <w:sz w:val="20"/>
              </w:rPr>
              <w:t>Insufficient for a multi-year thesis.</w:t>
            </w:r>
          </w:p>
        </w:tc>
      </w:tr>
      <w:tr>
        <w:trPr>
          <w:cantSplit/>
        </w:trPr>
        <w:tc>
          <w:tcPr>
            <w:tcW w:w="3800" w:type="dxa"/>
          </w:tcPr>
          <w:p>
            <w:pPr>
              <w:keepNext/>
              <w:spacing w:before="0" w:after="0" w:line="240" w:lineRule="auto"/>
            </w:pPr>
            <w:r>
              <w:rPr>
                <w:rFonts w:ascii="Calibri" w:hAnsi="Calibri" w:eastAsia="Calibri" w:cs="Calibri"/>
                <w:b/>
                <w:sz w:val="20"/>
              </w:rPr>
              <w:t>Narrative momentum (“AI will change everything”)</w:t>
            </w:r>
          </w:p>
        </w:tc>
        <w:tc>
          <w:tcPr>
            <w:tcW w:w="6568" w:type="dxa"/>
          </w:tcPr>
          <w:p>
            <w:pPr>
              <w:keepNext/>
              <w:spacing w:before="0" w:after="0" w:line="240" w:lineRule="auto"/>
            </w:pPr>
            <w:r>
              <w:rPr>
                <w:rFonts w:ascii="Calibri" w:hAnsi="Calibri" w:eastAsia="Calibri" w:cs="Calibri"/>
                <w:b w:val="0"/>
                <w:sz w:val="20"/>
              </w:rPr>
              <w:t>Require evidence in revenue, margins, cash generation and implied return.</w:t>
            </w:r>
          </w:p>
        </w:tc>
      </w:tr>
      <w:tr>
        <w:trPr>
          <w:cantSplit/>
        </w:trPr>
        <w:tc>
          <w:tcPr>
            <w:tcW w:w="3800" w:type="dxa"/>
          </w:tcPr>
          <w:p>
            <w:pPr>
              <w:keepNext/>
              <w:spacing w:before="0" w:after="0" w:line="240" w:lineRule="auto"/>
            </w:pPr>
            <w:r>
              <w:rPr>
                <w:rFonts w:ascii="Calibri" w:hAnsi="Calibri" w:eastAsia="Calibri" w:cs="Calibri"/>
                <w:b/>
                <w:sz w:val="20"/>
              </w:rPr>
              <w:t>Averaging down into deteriorating fundamentals</w:t>
            </w:r>
          </w:p>
        </w:tc>
        <w:tc>
          <w:tcPr>
            <w:tcW w:w="6568" w:type="dxa"/>
          </w:tcPr>
          <w:p>
            <w:pPr>
              <w:keepNext/>
              <w:spacing w:before="0" w:after="0" w:line="240" w:lineRule="auto"/>
            </w:pPr>
            <w:r>
              <w:rPr>
                <w:rFonts w:ascii="Calibri" w:hAnsi="Calibri" w:eastAsia="Calibri" w:cs="Calibri"/>
                <w:b w:val="0"/>
                <w:sz w:val="20"/>
              </w:rPr>
              <w:t>Price decline is often opportunity; fundamental deterioration is a reason to sell. Never add when Tier 1 scores are falling.</w:t>
            </w:r>
          </w:p>
        </w:tc>
      </w:tr>
      <w:tr>
        <w:trPr>
          <w:cantSplit/>
        </w:trPr>
        <w:tc>
          <w:tcPr>
            <w:tcW w:w="3800" w:type="dxa"/>
          </w:tcPr>
          <w:p>
            <w:pPr>
              <w:keepNext/>
              <w:spacing w:before="0" w:after="0" w:line="240" w:lineRule="auto"/>
            </w:pPr>
            <w:r>
              <w:rPr>
                <w:rFonts w:ascii="Calibri" w:hAnsi="Calibri" w:eastAsia="Calibri" w:cs="Calibri"/>
                <w:b/>
                <w:sz w:val="20"/>
              </w:rPr>
              <w:t>Over-diversification below conviction threshold</w:t>
            </w:r>
          </w:p>
        </w:tc>
        <w:tc>
          <w:tcPr>
            <w:tcW w:w="6568" w:type="dxa"/>
          </w:tcPr>
          <w:p>
            <w:pPr>
              <w:keepNext/>
              <w:spacing w:before="0" w:after="0" w:line="240" w:lineRule="auto"/>
            </w:pPr>
            <w:r>
              <w:rPr>
                <w:rFonts w:ascii="Calibri" w:hAnsi="Calibri" w:eastAsia="Calibri" w:cs="Calibri"/>
                <w:b w:val="0"/>
                <w:sz w:val="20"/>
              </w:rPr>
              <w:t>Hold only qualifying ideas and comply with portfolio risk limits.</w:t>
            </w:r>
          </w:p>
        </w:tc>
      </w:tr>
      <w:tr>
        <w:trPr>
          <w:cantSplit/>
        </w:trPr>
        <w:tc>
          <w:tcPr>
            <w:tcW w:w="3800" w:type="dxa"/>
          </w:tcPr>
          <w:p>
            <w:pPr>
              <w:spacing w:before="0" w:after="0" w:line="240" w:lineRule="auto"/>
            </w:pPr>
            <w:r>
              <w:rPr>
                <w:rFonts w:ascii="Calibri" w:hAnsi="Calibri" w:eastAsia="Calibri" w:cs="Calibri"/>
                <w:b/>
                <w:sz w:val="20"/>
              </w:rPr>
              <w:t>Market timing as a primary strategy</w:t>
            </w:r>
          </w:p>
        </w:tc>
        <w:tc>
          <w:tcPr>
            <w:tcW w:w="6568" w:type="dxa"/>
          </w:tcPr>
          <w:p>
            <w:pPr>
              <w:spacing w:before="0" w:after="0" w:line="240" w:lineRule="auto"/>
            </w:pPr>
            <w:r>
              <w:rPr>
                <w:rFonts w:ascii="Calibri" w:hAnsi="Calibri" w:eastAsia="Calibri" w:cs="Calibri"/>
                <w:b w:val="0"/>
                <w:sz w:val="20"/>
              </w:rPr>
              <w:t>Use the macro-overlay to adjust staging and risk, not as an all-in / all-out forecast.</w:t>
            </w:r>
          </w:p>
        </w:tc>
      </w:tr>
    </w:tbl>
    <w:sectPr w:rsidR="00FC693F" w:rsidRPr="0006063C" w:rsidSect="00034616">
      <w:footerReference w:type="default" r:id="rId9"/>
      <w:pgSz w:w="12240" w:h="15840"/>
      <w:pgMar w:top="864" w:right="936" w:bottom="1008" w:left="93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368" w:val="right"/>
      </w:tabs>
    </w:pPr>
    <w:r>
      <w:rPr>
        <w:rFonts w:ascii="Calibri" w:hAnsi="Calibri" w:eastAsia="Calibri" w:cs="Calibri"/>
        <w:color w:val="595959"/>
        <w:sz w:val="17"/>
      </w:rPr>
      <w:t>Landry System v1.05 — Hard Rules List</w:t>
      <w:tab/>
      <w:t xml:space="preserve">Page </w:t>
    </w:r>
    <w:r>
      <w:rPr>
        <w:rFonts w:ascii="Calibri" w:hAnsi="Calibri" w:eastAsia="Calibri" w:cs="Calibri"/>
        <w:color w:val="595959"/>
        <w:sz w:val="17"/>
      </w:rPr>
      <w:fldChar w:fldCharType="begin"/>
    </w:r>
    <w:r>
      <w:rPr>
        <w:rFonts w:ascii="Calibri" w:hAnsi="Calibri" w:eastAsia="Calibri" w:cs="Calibri"/>
        <w:color w:val="595959"/>
        <w:sz w:val="17"/>
      </w:rPr>
      <w:instrText xml:space="preserve"> PAGE </w:instrText>
    </w:r>
    <w:r>
      <w:rPr>
        <w:rFonts w:ascii="Calibri" w:hAnsi="Calibri" w:eastAsia="Calibri" w:cs="Calibri"/>
        <w:color w:val="595959"/>
        <w:sz w:val="17"/>
      </w:rPr>
      <w:fldChar w:fldCharType="separate"/>
    </w:r>
    <w:r>
      <w:rPr>
        <w:rFonts w:ascii="Calibri" w:hAnsi="Calibri" w:eastAsia="Calibri" w:cs="Calibri"/>
        <w:color w:val="595959"/>
        <w:sz w:val="17"/>
      </w:rPr>
      <w:t>1</w:t>
    </w:r>
    <w:r>
      <w:rPr>
        <w:rFonts w:ascii="Calibri" w:hAnsi="Calibri" w:eastAsia="Calibri" w:cs="Calibri"/>
        <w:color w:val="595959"/>
        <w:sz w:val="17"/>
      </w:rPr>
      <w:fldChar w:fldCharType="end"/>
    </w:r>
    <w:r>
      <w:rPr>
        <w:rFonts w:ascii="Calibri" w:hAnsi="Calibri" w:eastAsia="Calibri" w:cs="Calibri"/>
        <w:color w:val="595959"/>
        <w:sz w:val="17"/>
      </w:rPr>
      <w:t xml:space="preserve"> of </w:t>
    </w:r>
    <w:r>
      <w:rPr>
        <w:rFonts w:ascii="Calibri" w:hAnsi="Calibri" w:eastAsia="Calibri" w:cs="Calibri"/>
        <w:color w:val="595959"/>
        <w:sz w:val="17"/>
      </w:rPr>
      <w:fldChar w:fldCharType="begin"/>
    </w:r>
    <w:r>
      <w:rPr>
        <w:rFonts w:ascii="Calibri" w:hAnsi="Calibri" w:eastAsia="Calibri" w:cs="Calibri"/>
        <w:color w:val="595959"/>
        <w:sz w:val="17"/>
      </w:rPr>
      <w:instrText xml:space="preserve"> NUMPAGES </w:instrText>
    </w:r>
    <w:r>
      <w:rPr>
        <w:rFonts w:ascii="Calibri" w:hAnsi="Calibri" w:eastAsia="Calibri" w:cs="Calibri"/>
        <w:color w:val="595959"/>
        <w:sz w:val="17"/>
      </w:rPr>
      <w:fldChar w:fldCharType="separate"/>
    </w:r>
    <w:r>
      <w:rPr>
        <w:rFonts w:ascii="Calibri" w:hAnsi="Calibri" w:eastAsia="Calibri" w:cs="Calibri"/>
        <w:color w:val="595959"/>
        <w:sz w:val="17"/>
      </w:rPr>
      <w:t>1</w:t>
    </w:r>
    <w:r>
      <w:rPr>
        <w:rFonts w:ascii="Calibri" w:hAnsi="Calibri" w:eastAsia="Calibri" w:cs="Calibri"/>
        <w:color w:val="595959"/>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Landry System Hard Rules List v1.05</dc:title>
  <dc:subject>Printable list of the numbered Hard Rules</dc:subject>
  <dc:creator>Landry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