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PART 8 — STOCK SCORING TEMPLATE (FILLED)</w:t>
      </w:r>
    </w:p>
    <w:p>
      <w:pPr>
        <w:spacing w:after="40"/>
        <w:jc w:val="center"/>
      </w:pPr>
      <w:r>
        <w:rPr>
          <w:b/>
          <w:bCs/>
          <w:color w:val="2E75B6"/>
          <w:sz w:val="24"/>
          <w:szCs w:val="24"/>
        </w:rPr>
        <w:t xml:space="preserve">Test Run Record — SNEX / MFC / SHEL / CRM / ADBE</w:t>
      </w:r>
    </w:p>
    <w:p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Scored against CLAUDE TRADING SYSTEM v6  |  Run date: July 6, 2026  |  Entry technicals confirmed against charts pulled July 6, 2026  |  Rule 37 rounding gap noted below closed in v7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Methodology &amp; Data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financial data pulled from public sources (SEC/EDGAR filings, stockanalysis.com, GuruFocus, MacroTrends, TipRanks, Simply Wall St, company press releases) on the run date. This is a point-in-time test of the v6 framework's mechanics, not a live trading decision — see the caveats at the end before acting on any result here.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PART 1 — TIER 1 SCREEN (all five candidates)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Per "How to Use This System," Step 2: Tier 1 is scored first, and a weighted average below 3.0 stops the process before Tier 2/3 are scored. SNEX and SHEL both failed this gate — their Tier 2/3 cells are intentionally left unscored below, consistent with the system's own process discipline.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50"/>
        <w:gridCol w:w="1250"/>
        <w:gridCol w:w="1250"/>
        <w:gridCol w:w="1250"/>
        <w:gridCol w:w="125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 (Wt)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SNEX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MFC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SHEL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CRM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ADBE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Free Cash Flow Yield &amp; Trend (20%)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Revenue Growth Consistency (15%)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Competitive Moat Quality (15%)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Revenue Visibility (10%)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FCF Margin Trend (10%)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TIER 1 WEIGHTED AVERAGE (÷0.70)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C0006"/>
                <w:sz w:val="16"/>
                <w:szCs w:val="16"/>
              </w:rPr>
              <w:t xml:space="preserve">2.93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3.43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C0006"/>
                <w:sz w:val="16"/>
                <w:szCs w:val="16"/>
              </w:rPr>
              <w:t xml:space="preserve">2.71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4.36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4.57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TIER 1 GATE RESULT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C0006"/>
                <w:sz w:val="16"/>
                <w:szCs w:val="16"/>
              </w:rPr>
              <w:t xml:space="preserve">FAIL — Rule 6 + Rule 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9C0006"/>
                <w:sz w:val="16"/>
                <w:szCs w:val="16"/>
              </w:rPr>
              <w:t xml:space="preserve">FAIL — Rule 6 + Rule 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60" w:before="160"/>
      </w:pPr>
      <w:r>
        <w:rPr>
          <w:i/>
          <w:iCs/>
          <w:sz w:val="18"/>
          <w:szCs w:val="18"/>
        </w:rPr>
        <w:t xml:space="preserve">SNEX: revenue growth is strong in absolute terms (32%+ recently) but highly inconsistent (ranged from −21.5% to +64.5% over 5 years) and largely commodity pass-through; revenue visibility is low (transactional brokerage/trading). Two Tier 1 indicators ≤2 triggers automatic Avoid under Rule 8, independent of the weighted average. — SHEL: normalized for cyclicality per the Part 4 Cyclical Business Adjustment and still shows three sub-3 indicators (growth consistency, moat, revenue visibility) driven by its commodity-price-linked, scale-not-pricing-power business model.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PART 2 — TIER 2, TIER 3 &amp; COMPOSITE SCORE (MFC, CRM, ADBE)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850"/>
        <w:gridCol w:w="1850"/>
        <w:gridCol w:w="1850"/>
      </w:tblGrid>
      <w:tr>
        <w:trPr>
          <w:tblHeader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 (Wt)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MFC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CRM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ADBE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Management Quality &amp; Capital Allocation (8%)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ROIC vs. WACC Spread (6%)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Relative Strength vs. SPY, 6–12mo (3%)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Valuation Multiples: P/FCF, EV/EBITDA, PEG (6%)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Technical Trend Structure (4%)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Analyst Consensus &amp; Est. Revisions (2%)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Volume &amp; Accumulation Signals (1%)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TIER 1 CONTRIBUTION (raw, ×weight)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2.40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3.05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3.20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TIER 2 CONTRIBUTION (raw, ×weight)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0.80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0.75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0.87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TIER 3 CONTRIBUTION (raw, ×weight)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0.27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0.12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0.14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COMPOSITE SCORE (sum × 20)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84</w:t>
            </w:r>
          </w:p>
        </w:tc>
      </w:tr>
      <w:t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DECISION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BUY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BUY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100"/>
                <w:sz w:val="16"/>
                <w:szCs w:val="16"/>
              </w:rPr>
              <w:t xml:space="preserve">STRONG BUY</w:t>
            </w:r>
          </w:p>
        </w:tc>
      </w:tr>
    </w:tbl>
    <w:p>
      <w:pPr>
        <w:spacing w:after="160" w:before="160"/>
      </w:pPr>
      <w:r>
        <w:rPr>
          <w:i/>
          <w:iCs/>
          <w:sz w:val="18"/>
          <w:szCs w:val="18"/>
        </w:rPr>
        <w:t xml:space="preserve">CRM note: an initial pass under-scored FCF Yield &amp; Trend using a stale, higher market-cap figure. Re-priced off the current market cap (~$130–136B, reflecting a ~38–49% trailing-12-month decline), FCF yield is closer to ~11% — a 5, not a 4 — which is why the corrected composite (78) sits meaningfully above a first-pass estimate. This is the framework behaving as designed: an unchanged, still-growing FCF stream getting cheaper as the price falls.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PART 3 — ENTRY CHECKLIST (Part 4, Rules 9–14)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50"/>
        <w:gridCol w:w="1750"/>
        <w:gridCol w:w="175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Entry Rule (Part 4)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MFC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CRM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ADBE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9. Composite Score ≥65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10. Tier 1 weighted avg ≥3.0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11. No Tier 1 indicator = 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12. Price above/reclaimed 200-wk MA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 — new 52-wk high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C0006"/>
                <w:sz w:val="16"/>
                <w:szCs w:val="16"/>
              </w:rPr>
              <w:t xml:space="preserve">FAIL — below MAs, downtrend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C0006"/>
                <w:sz w:val="16"/>
                <w:szCs w:val="16"/>
              </w:rPr>
              <w:t xml:space="preserve">FAIL — below MAs, downtrend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13. Monthly MACD positive/turning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 — positive, at highs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F6000"/>
                <w:sz w:val="16"/>
                <w:szCs w:val="16"/>
              </w:rPr>
              <w:t xml:space="preserve">FAIL — negative, narrowing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DBDB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C0006"/>
                <w:sz w:val="16"/>
                <w:szCs w:val="16"/>
              </w:rPr>
              <w:t xml:space="preserve">FAIL — negative, no turn yet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14. No unhandled binary event risk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FCE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6100"/>
                <w:sz w:val="16"/>
                <w:szCs w:val="16"/>
              </w:rPr>
              <w:t xml:space="preserve">PASS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F6000"/>
                <w:sz w:val="16"/>
                <w:szCs w:val="16"/>
              </w:rPr>
              <w:t xml:space="preserve">FLAG — CEO transition</w:t>
            </w:r>
          </w:p>
        </w:tc>
      </w:tr>
    </w:tbl>
    <w:p>
      <w:pPr>
        <w:spacing w:after="160" w:before="160"/>
      </w:pPr>
      <w:r>
        <w:rPr>
          <w:i/>
          <w:iCs/>
          <w:sz w:val="18"/>
          <w:szCs w:val="18"/>
        </w:rPr>
        <w:t xml:space="preserve">Confirmed against 1-year daily charts (pulled July 6, 2026). Note: Rules 12–13 specify a 200-week MA and a monthly MACD — a 1-year daily view is a shorter, higher-resolution window than that, so treat these as directionally reliable rather than a literal like-for-like match; a true 200-week/monthly read would need ~4 years of weekly data. MFC is in a confirmed uptrend, recently making a new 52-week high ($41.70) with price above both displayed moving averages and MACD reading positive — passes cleanly. CRM and ADBE are both still in confirmed downtrends: price sits well below their moving averages in both cases, and MACD is negative for both. CRM's MACD histogram has narrowed sharply (from troughs near −10 to −15 down to about −0.77), suggesting it is approaching, but has not yet reached, a bullish crossover — worth watching closely. ADBE's MACD remains more deeply negative (about −6 to −11) with less clear evidence of an imminent turn. Bottom line: despite CRM's and ADBE's strong Composite Scores, the Entry Checklist itself says wait — Rules 12–13 exist precisely to prevent buying into a name whose fundamentals look excellent but whose price is still falling. Both stay on active coverage for re-check once price/momentum confirm, rather than being entered now.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PART 4 — POSITION SIZING (Part 5, with Rule 37 Beta Overlay)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0"/>
        <w:gridCol w:w="1750"/>
        <w:gridCol w:w="1850"/>
        <w:gridCol w:w="17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Ticker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Composite / Tier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Base Max Initial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Beta Overlay Adj. (Rule 37)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Adjusted Max Initial / Full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MFC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 / Buy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3%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Beta 0.89 — none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3% / 5%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CRM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78 / Buy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3%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Beta ~1.2 — below 1.3 threshold, none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3% / 5%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ADBE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84 / Strong Buy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5%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Beta 1.43 — 1 increment above 1.3, −1%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4% / 7%</w:t>
            </w:r>
          </w:p>
        </w:tc>
      </w:tr>
    </w:tbl>
    <w:p>
      <w:pPr>
        <w:spacing w:after="160" w:before="160"/>
      </w:pPr>
      <w:r>
        <w:rPr>
          <w:i/>
          <w:iCs/>
          <w:sz w:val="18"/>
          <w:szCs w:val="18"/>
        </w:rPr>
        <w:t xml:space="preserve">No Debt/FCF fragility discount applies to any of the three. CRM and ADBE are both Technology/Software — if both are held, combined sector exposure must stay ≤25% of portfolio (Part 5 hard rule).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PART 5 — PART 11 PORTFOLIO-LEVEL CHECKS</w:t>
      </w:r>
    </w:p>
    <w:p>
      <w:pPr>
        <w:spacing w:after="80"/>
        <w:ind w:left="360"/>
      </w:pPr>
      <w:r>
        <w:rPr>
          <w:sz w:val="20"/>
          <w:szCs w:val="20"/>
        </w:rPr>
        <w:t xml:space="preserve">•  Rule 34 (correlation cap): not computed here — no price history was loaded into the tracker for this test. Flagged conceptually: CRM and ADBE have moved together this year (shared "AI-disruption" narrative, both down sharply). Even if their pairwise correlation comes back above 0.70 when loaded, that is only one pair — each position would show a violation count of 1, which does NOT trigger Rule 34 (requires 2+ other correlated holdings).</w:t>
      </w:r>
    </w:p>
    <w:p>
      <w:pPr>
        <w:spacing w:after="80"/>
        <w:ind w:left="360"/>
      </w:pPr>
      <w:r>
        <w:rPr>
          <w:sz w:val="20"/>
          <w:szCs w:val="20"/>
        </w:rPr>
        <w:t xml:space="preserve">•  Rule 35 (drawdown response): not applicable to single-name testing — this triggers off realized total portfolio value, not individual positions.</w:t>
      </w:r>
    </w:p>
    <w:p>
      <w:pPr>
        <w:spacing w:after="80"/>
        <w:ind w:left="360"/>
      </w:pPr>
      <w:r>
        <w:rPr>
          <w:sz w:val="20"/>
          <w:szCs w:val="20"/>
        </w:rPr>
        <w:t xml:space="preserve">•  Rule 36 (leverage hard cap): not triggered for MFC, CRM, or ADBE. SNEX's ~8x Debt/Equity never reached this test since it failed Tier 1 first — and that ratio reflects client margin financing typical of a broker-dealer, not operating leverage, illustrating a sector-adaptation gap this rule doesn't yet address.</w:t>
      </w:r>
    </w:p>
    <w:p>
      <w:pPr>
        <w:spacing w:after="80"/>
        <w:ind w:left="360"/>
      </w:pPr>
      <w:r>
        <w:rPr>
          <w:sz w:val="20"/>
          <w:szCs w:val="20"/>
        </w:rPr>
        <w:t xml:space="preserve">•  Rule 37 (beta overlay): applied to ADBE (see Position Sizing above). v6 did not specify a rounding convention for betas that aren't a clean multiple of 0.1 above the 1.3 baseline — ADBE's 1.43 was rounded down to one full increment. This gap is now closed in v7: Rule 37 explicitly rounds down to the last completed 0.10 increment.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DATA QUALITY FLAGS &amp; ASSUMPTIONS</w:t>
      </w:r>
    </w:p>
    <w:p>
      <w:pPr>
        <w:spacing w:after="80"/>
        <w:ind w:left="360"/>
      </w:pPr>
      <w:r>
        <w:rPr>
          <w:sz w:val="20"/>
          <w:szCs w:val="20"/>
        </w:rPr>
        <w:t xml:space="preserve">•  SNEX: reported gross/operating margins (1.64% / 0.42%) are artifacts of gross revenue recognition on physical commodity trades, not a meaningful FCF-margin signal — scored qualitatively rather than literally against the rubric thresholds.</w:t>
      </w:r>
    </w:p>
    <w:p>
      <w:pPr>
        <w:spacing w:after="80"/>
        <w:ind w:left="360"/>
      </w:pPr>
      <w:r>
        <w:rPr>
          <w:sz w:val="20"/>
          <w:szCs w:val="20"/>
        </w:rPr>
        <w:t xml:space="preserve">•  SHEL: one data source reported a beta of −0.21, which is inconsistent with typical energy-major volatility and was treated as a likely data anomaly, not used in scoring.</w:t>
      </w:r>
    </w:p>
    <w:p>
      <w:pPr>
        <w:spacing w:after="80"/>
        <w:ind w:left="360"/>
      </w:pPr>
      <w:r>
        <w:rPr>
          <w:sz w:val="20"/>
          <w:szCs w:val="20"/>
        </w:rPr>
        <w:t xml:space="preserve">•  MFC, SHEL: FCF-based Tier 1 indicators are a structurally imperfect fit for insurers and integrated energy majors; ROE trend (per the system's own financials sector-adaptation note) was used as the primary substitute for MFC.</w:t>
      </w:r>
    </w:p>
    <w:p>
      <w:pPr>
        <w:spacing w:after="80"/>
        <w:ind w:left="360"/>
      </w:pPr>
      <w:r>
        <w:rPr>
          <w:sz w:val="20"/>
          <w:szCs w:val="20"/>
        </w:rPr>
        <w:t xml:space="preserve">•  ROIC, beta, and P/E figures varied meaningfully across data providers for every ticker (e.g., CRM ROIC cited anywhere from 6.8% to 11.1%; CRM beta from 1.18 to 1.37) — mid-range estimates were used and should be re-verified against your preferred primary source (Koyfin/Tikr/Stratosphere) before this record is treated as final.</w:t>
      </w:r>
    </w:p>
    <w:p>
      <w:pPr>
        <w:spacing w:after="80"/>
        <w:ind w:left="360"/>
      </w:pPr>
      <w:r>
        <w:rPr>
          <w:sz w:val="20"/>
          <w:szCs w:val="20"/>
        </w:rPr>
        <w:t xml:space="preserve">•  No implied 5-year return calculation (Part 4 NOTE) or bear-case return test (Rule 38) was performed — both require your own documented FCF growth assumptions and were intentionally left for you to complete rather than approximated here.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/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0" w:before="20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2026-07-06T21:11:15.856Z</dcterms:created>
  <dcterms:modified xsi:type="dcterms:W3CDTF">2026-07-06T21:11:15.871Z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