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93A141" w14:textId="75760A0D" w:rsidR="00020A80" w:rsidRDefault="00E1129D" w:rsidP="00E1129D">
      <w:pPr>
        <w:pStyle w:val="Title"/>
      </w:pPr>
      <w:r>
        <w:t>BEST SOURCE FOR FCF TICKER LISTING</w:t>
      </w:r>
    </w:p>
    <w:p w14:paraId="32E1662B" w14:textId="77777777" w:rsidR="00C74E9E" w:rsidRDefault="00C74E9E" w:rsidP="00E1129D"/>
    <w:p w14:paraId="457EEB09" w14:textId="1E8FFBD4" w:rsidR="00E1129D" w:rsidRPr="00E1129D" w:rsidRDefault="00E1129D" w:rsidP="00E1129D">
      <w:r w:rsidRPr="00E1129D">
        <w:t xml:space="preserve">The best free, easy source is </w:t>
      </w:r>
      <w:hyperlink r:id="rId7" w:history="1">
        <w:proofErr w:type="spellStart"/>
        <w:r w:rsidRPr="00E1129D">
          <w:rPr>
            <w:rStyle w:val="Hyperlink"/>
          </w:rPr>
          <w:t>Finviz’s</w:t>
        </w:r>
        <w:proofErr w:type="spellEnd"/>
        <w:r w:rsidRPr="00E1129D">
          <w:rPr>
            <w:rStyle w:val="Hyperlink"/>
          </w:rPr>
          <w:t xml:space="preserve"> stock screener</w:t>
        </w:r>
      </w:hyperlink>
      <w:r w:rsidRPr="00E1129D">
        <w:t>:</w:t>
      </w:r>
    </w:p>
    <w:p w14:paraId="310B9C73" w14:textId="77777777" w:rsidR="00E1129D" w:rsidRPr="00E1129D" w:rsidRDefault="00E1129D" w:rsidP="00E1129D">
      <w:pPr>
        <w:numPr>
          <w:ilvl w:val="0"/>
          <w:numId w:val="4"/>
        </w:numPr>
      </w:pPr>
      <w:r w:rsidRPr="00E1129D">
        <w:t xml:space="preserve">Set </w:t>
      </w:r>
      <w:r w:rsidRPr="00E1129D">
        <w:rPr>
          <w:b/>
          <w:bCs/>
        </w:rPr>
        <w:t>Index → S&amp;P 500</w:t>
      </w:r>
    </w:p>
    <w:p w14:paraId="257DBC00" w14:textId="77777777" w:rsidR="00E1129D" w:rsidRPr="00E1129D" w:rsidRDefault="00E1129D" w:rsidP="00E1129D">
      <w:pPr>
        <w:numPr>
          <w:ilvl w:val="0"/>
          <w:numId w:val="4"/>
        </w:numPr>
      </w:pPr>
      <w:r w:rsidRPr="00E1129D">
        <w:t xml:space="preserve">Open the </w:t>
      </w:r>
      <w:r w:rsidRPr="00E1129D">
        <w:rPr>
          <w:b/>
          <w:bCs/>
        </w:rPr>
        <w:t>Valuation</w:t>
      </w:r>
      <w:r w:rsidRPr="00E1129D">
        <w:t xml:space="preserve"> view</w:t>
      </w:r>
    </w:p>
    <w:p w14:paraId="63A205C5" w14:textId="77777777" w:rsidR="00E1129D" w:rsidRPr="00E1129D" w:rsidRDefault="00E1129D" w:rsidP="00E1129D">
      <w:pPr>
        <w:numPr>
          <w:ilvl w:val="0"/>
          <w:numId w:val="4"/>
        </w:numPr>
      </w:pPr>
      <w:r w:rsidRPr="00E1129D">
        <w:t xml:space="preserve">Sort </w:t>
      </w:r>
      <w:r w:rsidRPr="00E1129D">
        <w:rPr>
          <w:b/>
          <w:bCs/>
        </w:rPr>
        <w:t>P/FCF</w:t>
      </w:r>
      <w:r w:rsidRPr="00E1129D">
        <w:t xml:space="preserve"> from lowest to highest</w:t>
      </w:r>
    </w:p>
    <w:p w14:paraId="59C43221" w14:textId="77777777" w:rsidR="00E1129D" w:rsidRPr="00E1129D" w:rsidRDefault="00E1129D" w:rsidP="00E1129D">
      <w:r w:rsidRPr="00E1129D">
        <w:t xml:space="preserve">Low P/FCF corresponds to high </w:t>
      </w:r>
      <w:r w:rsidRPr="00E1129D">
        <w:rPr>
          <w:b/>
          <w:bCs/>
        </w:rPr>
        <w:t>free-cash-flow yield</w:t>
      </w:r>
      <w:r w:rsidRPr="00E1129D">
        <w:t>, which is generally more meaningful than absolute FCF because it accounts for company size.</w:t>
      </w:r>
    </w:p>
    <w:p w14:paraId="56C3F47A" w14:textId="77777777" w:rsidR="00E1129D" w:rsidRPr="00E1129D" w:rsidRDefault="00E1129D" w:rsidP="00E1129D">
      <w:r w:rsidRPr="00E1129D">
        <w:t>If you specifically want:</w:t>
      </w:r>
    </w:p>
    <w:p w14:paraId="3686DA04" w14:textId="71BE7E13" w:rsidR="00E1129D" w:rsidRPr="00E1129D" w:rsidRDefault="00E1129D" w:rsidP="00E1129D">
      <w:pPr>
        <w:numPr>
          <w:ilvl w:val="0"/>
          <w:numId w:val="5"/>
        </w:numPr>
      </w:pPr>
      <w:r w:rsidRPr="00E1129D">
        <w:rPr>
          <w:b/>
          <w:bCs/>
        </w:rPr>
        <w:t>Highest absolute FCF:</w:t>
      </w:r>
      <w:r w:rsidRPr="00E1129D">
        <w:t xml:space="preserve"> </w:t>
      </w:r>
      <w:hyperlink r:id="rId8" w:history="1">
        <w:proofErr w:type="spellStart"/>
        <w:r w:rsidRPr="00E1129D">
          <w:rPr>
            <w:rStyle w:val="Hyperlink"/>
          </w:rPr>
          <w:t>TickerLeague’s</w:t>
        </w:r>
        <w:proofErr w:type="spellEnd"/>
        <w:r w:rsidRPr="00E1129D">
          <w:rPr>
            <w:rStyle w:val="Hyperlink"/>
          </w:rPr>
          <w:t xml:space="preserve"> FCF ranking</w:t>
        </w:r>
      </w:hyperlink>
      <w:r w:rsidRPr="00E1129D">
        <w:t xml:space="preserve"> is convenient, but you’ll need to cross-reference membership against the </w:t>
      </w:r>
      <w:hyperlink r:id="rId9" w:history="1">
        <w:r w:rsidRPr="00E1129D">
          <w:rPr>
            <w:rStyle w:val="Hyperlink"/>
          </w:rPr>
          <w:t>official S&amp;P 500 constituent list</w:t>
        </w:r>
      </w:hyperlink>
      <w:r w:rsidRPr="00E1129D">
        <w:t>.</w:t>
      </w:r>
    </w:p>
    <w:p w14:paraId="6E66A24B" w14:textId="395591F5" w:rsidR="00E1129D" w:rsidRPr="00E1129D" w:rsidRDefault="00E1129D" w:rsidP="00E1129D">
      <w:pPr>
        <w:numPr>
          <w:ilvl w:val="0"/>
          <w:numId w:val="5"/>
        </w:numPr>
      </w:pPr>
      <w:r w:rsidRPr="00E1129D">
        <w:rPr>
          <w:b/>
          <w:bCs/>
        </w:rPr>
        <w:t>Highest FCF margin:</w:t>
      </w:r>
      <w:r w:rsidRPr="00E1129D">
        <w:t xml:space="preserve"> </w:t>
      </w:r>
      <w:hyperlink r:id="rId10" w:history="1">
        <w:r w:rsidRPr="00E1129D">
          <w:rPr>
            <w:rStyle w:val="Hyperlink"/>
          </w:rPr>
          <w:t>Stox’s S&amp;P 500 FCF-margin list</w:t>
        </w:r>
      </w:hyperlink>
      <w:r w:rsidRPr="00E1129D">
        <w:t>.</w:t>
      </w:r>
    </w:p>
    <w:p w14:paraId="726D0517" w14:textId="77777777" w:rsidR="00E1129D" w:rsidRPr="00E1129D" w:rsidRDefault="00E1129D" w:rsidP="00E1129D">
      <w:pPr>
        <w:numPr>
          <w:ilvl w:val="0"/>
          <w:numId w:val="5"/>
        </w:numPr>
      </w:pPr>
      <w:r w:rsidRPr="00E1129D">
        <w:rPr>
          <w:b/>
          <w:bCs/>
        </w:rPr>
        <w:t>Most auditable raw data:</w:t>
      </w:r>
      <w:r w:rsidRPr="00E1129D">
        <w:t xml:space="preserve"> SEC filings/</w:t>
      </w:r>
      <w:proofErr w:type="spellStart"/>
      <w:r w:rsidRPr="00E1129D">
        <w:t>Companyfacts</w:t>
      </w:r>
      <w:proofErr w:type="spellEnd"/>
      <w:r w:rsidRPr="00E1129D">
        <w:t>, calculating operating cash flow − capital expenditures yourself.</w:t>
      </w:r>
    </w:p>
    <w:p w14:paraId="5B692822" w14:textId="77777777" w:rsidR="00E1129D" w:rsidRPr="00E1129D" w:rsidRDefault="00E1129D" w:rsidP="00E1129D">
      <w:r w:rsidRPr="00E1129D">
        <w:t xml:space="preserve">My preference: use </w:t>
      </w:r>
      <w:proofErr w:type="spellStart"/>
      <w:r w:rsidRPr="00E1129D">
        <w:rPr>
          <w:b/>
          <w:bCs/>
        </w:rPr>
        <w:t>Finviz</w:t>
      </w:r>
      <w:proofErr w:type="spellEnd"/>
      <w:r w:rsidRPr="00E1129D">
        <w:rPr>
          <w:b/>
          <w:bCs/>
        </w:rPr>
        <w:t xml:space="preserve"> for screening</w:t>
      </w:r>
      <w:r w:rsidRPr="00E1129D">
        <w:t>, then verify finalists against their latest 10-Q/10-K. Watch the definition: some providers subtract only purchases of property and equipment, while others use broader capital expenditures. Banks and insurers also don’t compare cleanly on standard FCF.</w:t>
      </w:r>
    </w:p>
    <w:p w14:paraId="791F01EF" w14:textId="77777777" w:rsidR="00E1129D" w:rsidRDefault="00E1129D"/>
    <w:sectPr w:rsidR="00E1129D" w:rsidSect="00E336C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91" w:right="1440" w:bottom="864" w:left="1440" w:header="324" w:footer="3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A7C998" w14:textId="77777777" w:rsidR="0009743F" w:rsidRDefault="0009743F" w:rsidP="00E336C8">
      <w:pPr>
        <w:spacing w:after="0" w:line="240" w:lineRule="auto"/>
      </w:pPr>
      <w:r>
        <w:separator/>
      </w:r>
    </w:p>
  </w:endnote>
  <w:endnote w:type="continuationSeparator" w:id="0">
    <w:p w14:paraId="70EBCBEC" w14:textId="77777777" w:rsidR="0009743F" w:rsidRDefault="0009743F" w:rsidP="00E33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BC305E" w14:textId="77777777" w:rsidR="00E336C8" w:rsidRDefault="00E336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4691D" w14:textId="618A4726" w:rsidR="00E336C8" w:rsidRDefault="00E336C8">
    <w:pPr>
      <w:pStyle w:val="Footer"/>
    </w:pPr>
    <w:fldSimple w:instr=" FILENAME  \* MERGEFORMAT ">
      <w:r w:rsidR="00C74E9E">
        <w:rPr>
          <w:noProof/>
        </w:rPr>
        <w:t>BEST SOURCE FOR FCF TICKER LISTING.docx</w:t>
      </w:r>
    </w:fldSimple>
    <w:r>
      <w:tab/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4549F9" w14:textId="77777777" w:rsidR="00E336C8" w:rsidRDefault="00E33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8D9888" w14:textId="77777777" w:rsidR="0009743F" w:rsidRDefault="0009743F" w:rsidP="00E336C8">
      <w:pPr>
        <w:spacing w:after="0" w:line="240" w:lineRule="auto"/>
      </w:pPr>
      <w:r>
        <w:separator/>
      </w:r>
    </w:p>
  </w:footnote>
  <w:footnote w:type="continuationSeparator" w:id="0">
    <w:p w14:paraId="294844D5" w14:textId="77777777" w:rsidR="0009743F" w:rsidRDefault="0009743F" w:rsidP="00E33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7C12E5" w14:textId="77777777" w:rsidR="00E336C8" w:rsidRDefault="00E336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D4CFD0" w14:textId="77777777" w:rsidR="00E336C8" w:rsidRDefault="00E336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27D0AB" w14:textId="77777777" w:rsidR="00E336C8" w:rsidRDefault="00E336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1BD310B"/>
    <w:multiLevelType w:val="multilevel"/>
    <w:tmpl w:val="553A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803FE"/>
    <w:multiLevelType w:val="multilevel"/>
    <w:tmpl w:val="A11E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2F1CCB"/>
    <w:multiLevelType w:val="hybridMultilevel"/>
    <w:tmpl w:val="F1E226F4"/>
    <w:lvl w:ilvl="0" w:tplc="A07EA5DA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2483379">
    <w:abstractNumId w:val="0"/>
  </w:num>
  <w:num w:numId="2" w16cid:durableId="1855805580">
    <w:abstractNumId w:val="0"/>
  </w:num>
  <w:num w:numId="3" w16cid:durableId="1912226634">
    <w:abstractNumId w:val="3"/>
  </w:num>
  <w:num w:numId="4" w16cid:durableId="57824429">
    <w:abstractNumId w:val="2"/>
  </w:num>
  <w:num w:numId="5" w16cid:durableId="153337563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9D"/>
    <w:rsid w:val="00010701"/>
    <w:rsid w:val="00020A80"/>
    <w:rsid w:val="00034F58"/>
    <w:rsid w:val="00071A9D"/>
    <w:rsid w:val="0009743F"/>
    <w:rsid w:val="000A6F19"/>
    <w:rsid w:val="000B447F"/>
    <w:rsid w:val="001A3F18"/>
    <w:rsid w:val="001A776D"/>
    <w:rsid w:val="002F3890"/>
    <w:rsid w:val="00304492"/>
    <w:rsid w:val="00333BA4"/>
    <w:rsid w:val="003939FA"/>
    <w:rsid w:val="00411A37"/>
    <w:rsid w:val="00453A03"/>
    <w:rsid w:val="00454B1B"/>
    <w:rsid w:val="004B5EE4"/>
    <w:rsid w:val="005032C6"/>
    <w:rsid w:val="00504E2C"/>
    <w:rsid w:val="00521FB0"/>
    <w:rsid w:val="005B1356"/>
    <w:rsid w:val="005B722A"/>
    <w:rsid w:val="005E7B1D"/>
    <w:rsid w:val="00637279"/>
    <w:rsid w:val="00662C51"/>
    <w:rsid w:val="00671F2B"/>
    <w:rsid w:val="006C5766"/>
    <w:rsid w:val="006D3659"/>
    <w:rsid w:val="0078057A"/>
    <w:rsid w:val="007E2861"/>
    <w:rsid w:val="00873711"/>
    <w:rsid w:val="00880C18"/>
    <w:rsid w:val="008B06CD"/>
    <w:rsid w:val="0093606B"/>
    <w:rsid w:val="009447F0"/>
    <w:rsid w:val="00947F3A"/>
    <w:rsid w:val="009B2DB3"/>
    <w:rsid w:val="009D31A2"/>
    <w:rsid w:val="00A901D6"/>
    <w:rsid w:val="00A95D32"/>
    <w:rsid w:val="00AB69F2"/>
    <w:rsid w:val="00B77F7B"/>
    <w:rsid w:val="00B910E0"/>
    <w:rsid w:val="00BA545E"/>
    <w:rsid w:val="00C3309A"/>
    <w:rsid w:val="00C408F9"/>
    <w:rsid w:val="00C74E9E"/>
    <w:rsid w:val="00C75F2A"/>
    <w:rsid w:val="00E1129D"/>
    <w:rsid w:val="00E336C8"/>
    <w:rsid w:val="00E54D04"/>
    <w:rsid w:val="00E66A1D"/>
    <w:rsid w:val="00F5702B"/>
    <w:rsid w:val="00F70237"/>
    <w:rsid w:val="00FB0BAA"/>
    <w:rsid w:val="00F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3BA6"/>
  <w15:chartTrackingRefBased/>
  <w15:docId w15:val="{C56B9C8C-19EF-CE42-A736-4813831E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7F0"/>
    <w:pPr>
      <w:spacing w:before="0" w:after="80" w:line="259" w:lineRule="auto"/>
      <w:contextualSpacing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7F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7F0"/>
    <w:pPr>
      <w:keepNext/>
      <w:keepLines/>
      <w:spacing w:before="60" w:after="0"/>
      <w:outlineLvl w:val="1"/>
    </w:pPr>
    <w:rPr>
      <w:rFonts w:eastAsiaTheme="majorEastAsia" w:cstheme="majorBidi"/>
      <w:b/>
      <w:bCs/>
      <w:color w:val="156082" w:themeColor="accent1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C6"/>
    <w:pPr>
      <w:keepNext/>
      <w:keepLines/>
      <w:spacing w:before="80" w:after="0"/>
      <w:outlineLvl w:val="2"/>
    </w:pPr>
    <w:rPr>
      <w:rFonts w:asciiTheme="minorHAnsi" w:eastAsiaTheme="majorEastAsia" w:hAnsiTheme="minorHAnsi" w:cstheme="majorBidi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6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6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6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6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6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6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47F0"/>
    <w:pPr>
      <w:keepLines/>
      <w:spacing w:after="120"/>
      <w:jc w:val="center"/>
    </w:pPr>
    <w:rPr>
      <w:rFonts w:ascii="Arial Narrow" w:eastAsiaTheme="majorEastAsia" w:hAnsi="Arial Narrow" w:cs="Times New Roman (Headings CS)"/>
      <w:b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7F0"/>
    <w:rPr>
      <w:rFonts w:ascii="Arial Narrow" w:eastAsiaTheme="majorEastAsia" w:hAnsi="Arial Narrow" w:cs="Times New Roman (Headings CS)"/>
      <w:b/>
      <w:kern w:val="28"/>
      <w:sz w:val="40"/>
      <w:szCs w:val="5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47F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C6"/>
    <w:rPr>
      <w:rFonts w:eastAsiaTheme="majorEastAsia" w:cstheme="majorBidi"/>
      <w:b/>
      <w:color w:val="0F4761" w:themeColor="accent1" w:themeShade="BF"/>
      <w:kern w:val="0"/>
      <w:szCs w:val="28"/>
      <w14:ligatures w14:val="none"/>
    </w:rPr>
  </w:style>
  <w:style w:type="paragraph" w:styleId="ListBullet">
    <w:name w:val="List Bullet"/>
    <w:basedOn w:val="Normal"/>
    <w:uiPriority w:val="99"/>
    <w:unhideWhenUsed/>
    <w:qFormat/>
    <w:rsid w:val="009447F0"/>
    <w:pPr>
      <w:numPr>
        <w:numId w:val="3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9447F0"/>
    <w:pPr>
      <w:numPr>
        <w:ilvl w:val="1"/>
      </w:numPr>
      <w:spacing w:after="160"/>
      <w:jc w:val="center"/>
    </w:pPr>
    <w:rPr>
      <w:rFonts w:eastAsiaTheme="majorEastAsia" w:cs="Times New Roman (Headings CS)"/>
      <w:color w:val="595959" w:themeColor="text1" w:themeTint="A6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7F0"/>
    <w:rPr>
      <w:rFonts w:ascii="Calibri" w:eastAsiaTheme="majorEastAsia" w:hAnsi="Calibri" w:cs="Times New Roman (Headings CS)"/>
      <w:color w:val="595959" w:themeColor="text1" w:themeTint="A6"/>
      <w:spacing w:val="5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9447F0"/>
    <w:pPr>
      <w:tabs>
        <w:tab w:val="center" w:pos="4680"/>
        <w:tab w:val="right" w:pos="9360"/>
      </w:tabs>
      <w:spacing w:after="0" w:line="240" w:lineRule="auto"/>
      <w:contextualSpacing w:val="0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9447F0"/>
    <w:rPr>
      <w:rFonts w:ascii="Calibri" w:eastAsiaTheme="minorEastAsia" w:hAnsi="Calibri"/>
      <w:kern w:val="0"/>
      <w:sz w:val="1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447F0"/>
    <w:rPr>
      <w:rFonts w:asciiTheme="majorHAnsi" w:eastAsiaTheme="majorEastAsia" w:hAnsiTheme="majorHAnsi" w:cstheme="majorBidi"/>
      <w:color w:val="0F4761" w:themeColor="accent1" w:themeShade="BF"/>
      <w:kern w:val="0"/>
      <w:sz w:val="36"/>
      <w:szCs w:val="4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6C8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6C8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6C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6C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6C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6C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336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6C8"/>
    <w:rPr>
      <w:rFonts w:ascii="Calibri" w:eastAsiaTheme="minorEastAsia" w:hAnsi="Calibr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336C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33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6C8"/>
    <w:rPr>
      <w:rFonts w:ascii="Calibri" w:eastAsiaTheme="minorEastAsia" w:hAnsi="Calibr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336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6C8"/>
    <w:rPr>
      <w:rFonts w:ascii="Calibri" w:eastAsiaTheme="minorEastAsia" w:hAnsi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112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ckerleague.com/rankings/free-cash-flow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inviz.com/screener.ashx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stox.market/lists/best-fcf-margi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pglobal.com/spdji/en/indices/equity/sp-500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933</Characters>
  <Application>Microsoft Office Word</Application>
  <DocSecurity>0</DocSecurity>
  <Lines>133</Lines>
  <Paragraphs>149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Landry</dc:creator>
  <cp:keywords/>
  <dc:description/>
  <cp:lastModifiedBy>Alan Landry</cp:lastModifiedBy>
  <cp:revision>2</cp:revision>
  <cp:lastPrinted>2026-10-08T22:28:00Z</cp:lastPrinted>
  <dcterms:created xsi:type="dcterms:W3CDTF">2026-10-08T22:27:00Z</dcterms:created>
  <dcterms:modified xsi:type="dcterms:W3CDTF">2026-10-08T22:29:00Z</dcterms:modified>
</cp:coreProperties>
</file>