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AC4651" w14:textId="78747DD8" w:rsidR="00020A80" w:rsidRDefault="00F34106" w:rsidP="00F34106">
      <w:pPr>
        <w:pStyle w:val="Title"/>
      </w:pPr>
      <w:r>
        <w:t>ETF Strategy Review</w:t>
      </w:r>
    </w:p>
    <w:p w14:paraId="42483255" w14:textId="77777777" w:rsidR="00F34106" w:rsidRPr="00F34106" w:rsidRDefault="00F34106" w:rsidP="00F34106">
      <w:r w:rsidRPr="00F34106">
        <w:t xml:space="preserve">ETFs are best viewed as </w:t>
      </w:r>
      <w:r w:rsidRPr="00F34106">
        <w:rPr>
          <w:b/>
          <w:bCs/>
        </w:rPr>
        <w:t>low-cost building blocks</w:t>
      </w:r>
      <w:r w:rsidRPr="00F34106">
        <w:t>, not as a separate asset class. The portfolio strategy should determine how much you hold in stocks, bonds, and cash; ETFs are simply one efficient way to own those assets.</w:t>
      </w:r>
    </w:p>
    <w:p w14:paraId="66BFBF4B" w14:textId="77777777" w:rsidR="00F34106" w:rsidRPr="00F34106" w:rsidRDefault="00F34106" w:rsidP="00F34106">
      <w:pPr>
        <w:pStyle w:val="Heading1"/>
      </w:pPr>
      <w:r w:rsidRPr="00F34106">
        <w:t>A sound long-term structure</w:t>
      </w:r>
    </w:p>
    <w:p w14:paraId="651A86F9" w14:textId="77777777" w:rsidR="00F34106" w:rsidRPr="00F34106" w:rsidRDefault="00F34106" w:rsidP="00F34106">
      <w:pPr>
        <w:pStyle w:val="Heading2"/>
        <w:rPr>
          <w:color w:val="0F4761" w:themeColor="accent1" w:themeShade="BF"/>
        </w:rPr>
      </w:pPr>
      <w:r w:rsidRPr="00F34106">
        <w:rPr>
          <w:color w:val="0F4761" w:themeColor="accent1" w:themeShade="BF"/>
        </w:rPr>
        <w:t>1. Keep short-term needs outside the portfolio</w:t>
      </w:r>
    </w:p>
    <w:p w14:paraId="45B8D96C" w14:textId="77777777" w:rsidR="00F34106" w:rsidRPr="00F34106" w:rsidRDefault="00F34106" w:rsidP="00F34106">
      <w:pPr>
        <w:ind w:left="720"/>
      </w:pPr>
      <w:r w:rsidRPr="00F34106">
        <w:t>Before emphasizing growth ETFs, maintain an emergency reserve and money needed within roughly five years in cash, Treasury bills, CDs, or suitable short-duration holdings. This reduces the chance of selling stock ETFs during a downturn.</w:t>
      </w:r>
    </w:p>
    <w:p w14:paraId="5F79CB57" w14:textId="77777777" w:rsidR="00F34106" w:rsidRPr="00F34106" w:rsidRDefault="00F34106" w:rsidP="00F34106">
      <w:pPr>
        <w:pStyle w:val="Heading2"/>
        <w:rPr>
          <w:color w:val="0F4761" w:themeColor="accent1" w:themeShade="BF"/>
        </w:rPr>
      </w:pPr>
      <w:r w:rsidRPr="00F34106">
        <w:rPr>
          <w:color w:val="0F4761" w:themeColor="accent1" w:themeShade="BF"/>
        </w:rPr>
        <w:t>2. Choose the asset allocation first</w:t>
      </w:r>
    </w:p>
    <w:p w14:paraId="5E7AB0E7" w14:textId="77777777" w:rsidR="00F34106" w:rsidRPr="00F34106" w:rsidRDefault="00F34106" w:rsidP="00F34106">
      <w:pPr>
        <w:ind w:left="720"/>
      </w:pPr>
      <w:r w:rsidRPr="00F34106">
        <w:t>An illustrative starting range: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747"/>
        <w:gridCol w:w="1011"/>
        <w:gridCol w:w="1008"/>
      </w:tblGrid>
      <w:tr w:rsidR="00F34106" w:rsidRPr="00F34106" w14:paraId="505129FC" w14:textId="77777777" w:rsidTr="00F34106">
        <w:trPr>
          <w:tblHeader/>
          <w:tblCellSpacing w:w="15" w:type="dxa"/>
        </w:trPr>
        <w:tc>
          <w:tcPr>
            <w:tcW w:w="0" w:type="auto"/>
            <w:vAlign w:val="center"/>
            <w:hideMark/>
          </w:tcPr>
          <w:p w14:paraId="23E18821" w14:textId="77777777" w:rsidR="00F34106" w:rsidRPr="00F34106" w:rsidRDefault="00F34106" w:rsidP="00F34106">
            <w:pPr>
              <w:rPr>
                <w:b/>
                <w:bCs/>
              </w:rPr>
            </w:pPr>
            <w:r w:rsidRPr="00F34106">
              <w:rPr>
                <w:b/>
                <w:bCs/>
              </w:rPr>
              <w:t>Investor profile</w:t>
            </w:r>
          </w:p>
        </w:tc>
        <w:tc>
          <w:tcPr>
            <w:tcW w:w="0" w:type="auto"/>
            <w:vAlign w:val="center"/>
            <w:hideMark/>
          </w:tcPr>
          <w:p w14:paraId="1E301748" w14:textId="77777777" w:rsidR="00F34106" w:rsidRPr="00F34106" w:rsidRDefault="00F34106" w:rsidP="00F34106">
            <w:pPr>
              <w:rPr>
                <w:b/>
                <w:bCs/>
              </w:rPr>
            </w:pPr>
            <w:r w:rsidRPr="00F34106">
              <w:rPr>
                <w:b/>
                <w:bCs/>
              </w:rPr>
              <w:t>Stock ETFs</w:t>
            </w:r>
          </w:p>
        </w:tc>
        <w:tc>
          <w:tcPr>
            <w:tcW w:w="0" w:type="auto"/>
            <w:vAlign w:val="center"/>
            <w:hideMark/>
          </w:tcPr>
          <w:p w14:paraId="35F9EEF6" w14:textId="77777777" w:rsidR="00F34106" w:rsidRPr="00F34106" w:rsidRDefault="00F34106" w:rsidP="00F34106">
            <w:pPr>
              <w:rPr>
                <w:b/>
                <w:bCs/>
              </w:rPr>
            </w:pPr>
            <w:r w:rsidRPr="00F34106">
              <w:rPr>
                <w:b/>
                <w:bCs/>
              </w:rPr>
              <w:t>Bond ETFs</w:t>
            </w:r>
          </w:p>
        </w:tc>
      </w:tr>
      <w:tr w:rsidR="00F34106" w:rsidRPr="00F34106" w14:paraId="77E65D19" w14:textId="77777777" w:rsidTr="00F34106">
        <w:trPr>
          <w:tblCellSpacing w:w="15" w:type="dxa"/>
        </w:trPr>
        <w:tc>
          <w:tcPr>
            <w:tcW w:w="0" w:type="auto"/>
            <w:vAlign w:val="center"/>
            <w:hideMark/>
          </w:tcPr>
          <w:p w14:paraId="54C4817C" w14:textId="77777777" w:rsidR="00F34106" w:rsidRPr="00F34106" w:rsidRDefault="00F34106" w:rsidP="00F34106">
            <w:r w:rsidRPr="00F34106">
              <w:t>Aggressive, long horizon</w:t>
            </w:r>
          </w:p>
        </w:tc>
        <w:tc>
          <w:tcPr>
            <w:tcW w:w="0" w:type="auto"/>
            <w:vAlign w:val="center"/>
            <w:hideMark/>
          </w:tcPr>
          <w:p w14:paraId="11A86331" w14:textId="77777777" w:rsidR="00F34106" w:rsidRPr="00F34106" w:rsidRDefault="00F34106" w:rsidP="00F34106">
            <w:r w:rsidRPr="00F34106">
              <w:t>80–90%</w:t>
            </w:r>
          </w:p>
        </w:tc>
        <w:tc>
          <w:tcPr>
            <w:tcW w:w="0" w:type="auto"/>
            <w:vAlign w:val="center"/>
            <w:hideMark/>
          </w:tcPr>
          <w:p w14:paraId="03F20CEC" w14:textId="77777777" w:rsidR="00F34106" w:rsidRPr="00F34106" w:rsidRDefault="00F34106" w:rsidP="00F34106">
            <w:r w:rsidRPr="00F34106">
              <w:t>10–20%</w:t>
            </w:r>
          </w:p>
        </w:tc>
      </w:tr>
      <w:tr w:rsidR="00F34106" w:rsidRPr="00F34106" w14:paraId="6855BB57" w14:textId="77777777" w:rsidTr="00F34106">
        <w:trPr>
          <w:tblCellSpacing w:w="15" w:type="dxa"/>
        </w:trPr>
        <w:tc>
          <w:tcPr>
            <w:tcW w:w="0" w:type="auto"/>
            <w:vAlign w:val="center"/>
            <w:hideMark/>
          </w:tcPr>
          <w:p w14:paraId="5B8E7E18" w14:textId="77777777" w:rsidR="00F34106" w:rsidRPr="00F34106" w:rsidRDefault="00F34106" w:rsidP="00F34106">
            <w:r w:rsidRPr="00F34106">
              <w:t>Moderate</w:t>
            </w:r>
          </w:p>
        </w:tc>
        <w:tc>
          <w:tcPr>
            <w:tcW w:w="0" w:type="auto"/>
            <w:vAlign w:val="center"/>
            <w:hideMark/>
          </w:tcPr>
          <w:p w14:paraId="04883BDC" w14:textId="77777777" w:rsidR="00F34106" w:rsidRPr="00F34106" w:rsidRDefault="00F34106" w:rsidP="00F34106">
            <w:r w:rsidRPr="00F34106">
              <w:t>60–70%</w:t>
            </w:r>
          </w:p>
        </w:tc>
        <w:tc>
          <w:tcPr>
            <w:tcW w:w="0" w:type="auto"/>
            <w:vAlign w:val="center"/>
            <w:hideMark/>
          </w:tcPr>
          <w:p w14:paraId="796D11ED" w14:textId="77777777" w:rsidR="00F34106" w:rsidRPr="00F34106" w:rsidRDefault="00F34106" w:rsidP="00F34106">
            <w:r w:rsidRPr="00F34106">
              <w:t>30–40%</w:t>
            </w:r>
          </w:p>
        </w:tc>
      </w:tr>
      <w:tr w:rsidR="00F34106" w:rsidRPr="00F34106" w14:paraId="4C3D1535" w14:textId="77777777" w:rsidTr="00F34106">
        <w:trPr>
          <w:tblCellSpacing w:w="15" w:type="dxa"/>
        </w:trPr>
        <w:tc>
          <w:tcPr>
            <w:tcW w:w="0" w:type="auto"/>
            <w:vAlign w:val="center"/>
            <w:hideMark/>
          </w:tcPr>
          <w:p w14:paraId="3C00D764" w14:textId="77777777" w:rsidR="00F34106" w:rsidRPr="00F34106" w:rsidRDefault="00F34106" w:rsidP="00F34106">
            <w:r w:rsidRPr="00F34106">
              <w:t>Conservative/near retirement</w:t>
            </w:r>
          </w:p>
        </w:tc>
        <w:tc>
          <w:tcPr>
            <w:tcW w:w="0" w:type="auto"/>
            <w:vAlign w:val="center"/>
            <w:hideMark/>
          </w:tcPr>
          <w:p w14:paraId="0753E88E" w14:textId="77777777" w:rsidR="00F34106" w:rsidRPr="00F34106" w:rsidRDefault="00F34106" w:rsidP="00F34106">
            <w:r w:rsidRPr="00F34106">
              <w:t>30–50%</w:t>
            </w:r>
          </w:p>
        </w:tc>
        <w:tc>
          <w:tcPr>
            <w:tcW w:w="0" w:type="auto"/>
            <w:vAlign w:val="center"/>
            <w:hideMark/>
          </w:tcPr>
          <w:p w14:paraId="390D3F2B" w14:textId="77777777" w:rsidR="00F34106" w:rsidRPr="00F34106" w:rsidRDefault="00F34106" w:rsidP="00F34106">
            <w:r w:rsidRPr="00F34106">
              <w:t>50–70%</w:t>
            </w:r>
          </w:p>
        </w:tc>
      </w:tr>
    </w:tbl>
    <w:p w14:paraId="5E63821F" w14:textId="77777777" w:rsidR="00F34106" w:rsidRPr="00F34106" w:rsidRDefault="00F34106" w:rsidP="00F34106">
      <w:pPr>
        <w:ind w:left="720"/>
      </w:pPr>
      <w:r w:rsidRPr="00F34106">
        <w:t xml:space="preserve">The right mix depends more on </w:t>
      </w:r>
      <w:r w:rsidRPr="00F34106">
        <w:rPr>
          <w:b/>
          <w:bCs/>
        </w:rPr>
        <w:t>when you need the money and how much loss you can tolerate</w:t>
      </w:r>
      <w:r w:rsidRPr="00F34106">
        <w:t xml:space="preserve"> than on age alone. A stock-heavy portfolio can temporarily decline 40% or more.</w:t>
      </w:r>
    </w:p>
    <w:p w14:paraId="2A83C05F" w14:textId="77777777" w:rsidR="00F34106" w:rsidRPr="00F34106" w:rsidRDefault="00F34106" w:rsidP="00F34106">
      <w:pPr>
        <w:pStyle w:val="Heading2"/>
        <w:rPr>
          <w:color w:val="0F4761" w:themeColor="accent1" w:themeShade="BF"/>
        </w:rPr>
      </w:pPr>
      <w:r w:rsidRPr="00F34106">
        <w:rPr>
          <w:color w:val="0F4761" w:themeColor="accent1" w:themeShade="BF"/>
        </w:rPr>
        <w:t>3. Build a broad, simple core</w:t>
      </w:r>
    </w:p>
    <w:p w14:paraId="1B77BF93" w14:textId="77777777" w:rsidR="00F34106" w:rsidRPr="00F34106" w:rsidRDefault="00F34106" w:rsidP="00F34106">
      <w:pPr>
        <w:ind w:left="720"/>
      </w:pPr>
      <w:r w:rsidRPr="00F34106">
        <w:t>A diversified portfolio can often be constructed with three ETFs:</w:t>
      </w:r>
    </w:p>
    <w:p w14:paraId="5BFD33AE" w14:textId="77777777" w:rsidR="00F34106" w:rsidRPr="00F34106" w:rsidRDefault="00F34106" w:rsidP="00F34106">
      <w:pPr>
        <w:numPr>
          <w:ilvl w:val="0"/>
          <w:numId w:val="4"/>
        </w:numPr>
        <w:tabs>
          <w:tab w:val="clear" w:pos="720"/>
          <w:tab w:val="num" w:pos="1440"/>
        </w:tabs>
        <w:ind w:left="1440"/>
      </w:pPr>
      <w:r w:rsidRPr="00F34106">
        <w:rPr>
          <w:b/>
          <w:bCs/>
        </w:rPr>
        <w:t>U.S. total-stock-market ETF</w:t>
      </w:r>
    </w:p>
    <w:p w14:paraId="1BB48CC7" w14:textId="77777777" w:rsidR="00F34106" w:rsidRPr="00F34106" w:rsidRDefault="00F34106" w:rsidP="00F34106">
      <w:pPr>
        <w:numPr>
          <w:ilvl w:val="0"/>
          <w:numId w:val="4"/>
        </w:numPr>
        <w:tabs>
          <w:tab w:val="clear" w:pos="720"/>
          <w:tab w:val="num" w:pos="1440"/>
        </w:tabs>
        <w:ind w:left="1440"/>
      </w:pPr>
      <w:r w:rsidRPr="00F34106">
        <w:rPr>
          <w:b/>
          <w:bCs/>
        </w:rPr>
        <w:t>International total-stock-market ETF</w:t>
      </w:r>
    </w:p>
    <w:p w14:paraId="78897DB7" w14:textId="77777777" w:rsidR="00F34106" w:rsidRPr="00F34106" w:rsidRDefault="00F34106" w:rsidP="00F34106">
      <w:pPr>
        <w:numPr>
          <w:ilvl w:val="0"/>
          <w:numId w:val="4"/>
        </w:numPr>
        <w:tabs>
          <w:tab w:val="clear" w:pos="720"/>
          <w:tab w:val="num" w:pos="1440"/>
        </w:tabs>
        <w:ind w:left="1440"/>
      </w:pPr>
      <w:r w:rsidRPr="00F34106">
        <w:rPr>
          <w:b/>
          <w:bCs/>
        </w:rPr>
        <w:t>Broad, investment-grade bond ETF</w:t>
      </w:r>
    </w:p>
    <w:p w14:paraId="4DA8C400" w14:textId="77777777" w:rsidR="00F34106" w:rsidRPr="00F34106" w:rsidRDefault="00F34106" w:rsidP="00F34106">
      <w:pPr>
        <w:ind w:left="720"/>
      </w:pPr>
      <w:r w:rsidRPr="00F34106">
        <w:t>For example, an illustrative moderate allocation might be:</w:t>
      </w:r>
    </w:p>
    <w:p w14:paraId="5E740AD7" w14:textId="77777777" w:rsidR="00F34106" w:rsidRPr="00F34106" w:rsidRDefault="00F34106" w:rsidP="00F34106">
      <w:pPr>
        <w:numPr>
          <w:ilvl w:val="0"/>
          <w:numId w:val="5"/>
        </w:numPr>
        <w:tabs>
          <w:tab w:val="clear" w:pos="720"/>
          <w:tab w:val="num" w:pos="1440"/>
        </w:tabs>
        <w:ind w:left="1440"/>
      </w:pPr>
      <w:r w:rsidRPr="00F34106">
        <w:t>45% U.S. stocks</w:t>
      </w:r>
    </w:p>
    <w:p w14:paraId="24D0C7F4" w14:textId="77777777" w:rsidR="00F34106" w:rsidRPr="00F34106" w:rsidRDefault="00F34106" w:rsidP="00F34106">
      <w:pPr>
        <w:numPr>
          <w:ilvl w:val="0"/>
          <w:numId w:val="5"/>
        </w:numPr>
        <w:tabs>
          <w:tab w:val="clear" w:pos="720"/>
          <w:tab w:val="num" w:pos="1440"/>
        </w:tabs>
        <w:ind w:left="1440"/>
      </w:pPr>
      <w:r w:rsidRPr="00F34106">
        <w:t>20% international stocks</w:t>
      </w:r>
    </w:p>
    <w:p w14:paraId="78939A0E" w14:textId="77777777" w:rsidR="00F34106" w:rsidRPr="00F34106" w:rsidRDefault="00F34106" w:rsidP="00F34106">
      <w:pPr>
        <w:numPr>
          <w:ilvl w:val="0"/>
          <w:numId w:val="5"/>
        </w:numPr>
        <w:tabs>
          <w:tab w:val="clear" w:pos="720"/>
          <w:tab w:val="num" w:pos="1440"/>
        </w:tabs>
        <w:ind w:left="1440"/>
      </w:pPr>
      <w:r w:rsidRPr="00F34106">
        <w:t>35% bonds</w:t>
      </w:r>
    </w:p>
    <w:p w14:paraId="5189F0B0" w14:textId="77777777" w:rsidR="00F34106" w:rsidRPr="00F34106" w:rsidRDefault="00F34106" w:rsidP="00F34106">
      <w:pPr>
        <w:ind w:left="720"/>
      </w:pPr>
      <w:r w:rsidRPr="00F34106">
        <w:t xml:space="preserve">Within the stock allocation, using approximately 60–75% U.S. and 25–40% international exposure is a reasonable diversification range—not a universal formula. ETFs can provide diversification and professional management with a low investment minimum, although diversification cannot prevent losses. </w:t>
      </w:r>
      <w:hyperlink r:id="rId7" w:history="1">
        <w:r w:rsidRPr="00F34106">
          <w:rPr>
            <w:rStyle w:val="Hyperlink"/>
          </w:rPr>
          <w:t>SEC ETF bulletin</w:t>
        </w:r>
      </w:hyperlink>
    </w:p>
    <w:p w14:paraId="33E37577" w14:textId="77777777" w:rsidR="00F34106" w:rsidRPr="00F34106" w:rsidRDefault="00F34106" w:rsidP="00F34106">
      <w:pPr>
        <w:pStyle w:val="Heading2"/>
        <w:rPr>
          <w:color w:val="0F4761" w:themeColor="accent1" w:themeShade="BF"/>
        </w:rPr>
      </w:pPr>
      <w:r w:rsidRPr="00F34106">
        <w:rPr>
          <w:color w:val="0F4761" w:themeColor="accent1" w:themeShade="BF"/>
        </w:rPr>
        <w:t>4. Use specialized ETFs sparingly</w:t>
      </w:r>
    </w:p>
    <w:p w14:paraId="381E34CA" w14:textId="77777777" w:rsidR="00F34106" w:rsidRPr="00F34106" w:rsidRDefault="00F34106" w:rsidP="00F34106">
      <w:pPr>
        <w:ind w:left="720"/>
      </w:pPr>
      <w:r w:rsidRPr="00F34106">
        <w:t xml:space="preserve">A useful </w:t>
      </w:r>
      <w:r w:rsidRPr="00F34106">
        <w:rPr>
          <w:b/>
          <w:bCs/>
        </w:rPr>
        <w:t>core-and-satellite</w:t>
      </w:r>
      <w:r w:rsidRPr="00F34106">
        <w:t xml:space="preserve"> structure is:</w:t>
      </w:r>
    </w:p>
    <w:p w14:paraId="79DC0C0F" w14:textId="77777777" w:rsidR="00F34106" w:rsidRPr="00F34106" w:rsidRDefault="00F34106" w:rsidP="00F34106">
      <w:pPr>
        <w:numPr>
          <w:ilvl w:val="0"/>
          <w:numId w:val="6"/>
        </w:numPr>
        <w:tabs>
          <w:tab w:val="clear" w:pos="720"/>
          <w:tab w:val="num" w:pos="1440"/>
        </w:tabs>
        <w:ind w:left="1440"/>
      </w:pPr>
      <w:r w:rsidRPr="00F34106">
        <w:rPr>
          <w:b/>
          <w:bCs/>
        </w:rPr>
        <w:t>80–95%:</w:t>
      </w:r>
      <w:r w:rsidRPr="00F34106">
        <w:t xml:space="preserve"> broad-market core ETFs</w:t>
      </w:r>
    </w:p>
    <w:p w14:paraId="09C7A41F" w14:textId="77777777" w:rsidR="00F34106" w:rsidRPr="00F34106" w:rsidRDefault="00F34106" w:rsidP="00F34106">
      <w:pPr>
        <w:numPr>
          <w:ilvl w:val="0"/>
          <w:numId w:val="6"/>
        </w:numPr>
        <w:tabs>
          <w:tab w:val="clear" w:pos="720"/>
          <w:tab w:val="num" w:pos="1440"/>
        </w:tabs>
        <w:ind w:left="1440"/>
      </w:pPr>
      <w:r w:rsidRPr="00F34106">
        <w:rPr>
          <w:b/>
          <w:bCs/>
        </w:rPr>
        <w:t>0–20%:</w:t>
      </w:r>
      <w:r w:rsidRPr="00F34106">
        <w:t xml:space="preserve"> optional tilts, such as small-cap, value, real estate, sectors, or individual stocks</w:t>
      </w:r>
    </w:p>
    <w:p w14:paraId="4AEFF8BA" w14:textId="77777777" w:rsidR="00F34106" w:rsidRPr="00F34106" w:rsidRDefault="00F34106" w:rsidP="00F34106">
      <w:pPr>
        <w:ind w:left="720"/>
      </w:pPr>
      <w:r w:rsidRPr="00F34106">
        <w:t>Sector and thematic ETFs may own many securities yet remain highly concentrated in one economic risk. Owning several overlapping ETFs can also create the illusion of diversification—an S&amp;P 500 ETF, growth ETF, Nasdaq ETF, and technology ETF may repeatedly expose you to the same large companies.</w:t>
      </w:r>
    </w:p>
    <w:p w14:paraId="7325CBA3" w14:textId="77777777" w:rsidR="00F34106" w:rsidRPr="00F34106" w:rsidRDefault="00F34106" w:rsidP="00F34106">
      <w:pPr>
        <w:ind w:left="720"/>
      </w:pPr>
      <w:r w:rsidRPr="00F34106">
        <w:t>For long-term wealth building, generally avoid:</w:t>
      </w:r>
    </w:p>
    <w:p w14:paraId="0C0224C7" w14:textId="77777777" w:rsidR="00F34106" w:rsidRPr="00F34106" w:rsidRDefault="00F34106" w:rsidP="00F34106">
      <w:pPr>
        <w:numPr>
          <w:ilvl w:val="0"/>
          <w:numId w:val="7"/>
        </w:numPr>
        <w:tabs>
          <w:tab w:val="clear" w:pos="720"/>
          <w:tab w:val="num" w:pos="1440"/>
        </w:tabs>
        <w:ind w:left="1440"/>
      </w:pPr>
      <w:r w:rsidRPr="00F34106">
        <w:t>Leveraged and inverse ETFs</w:t>
      </w:r>
    </w:p>
    <w:p w14:paraId="4949A3CF" w14:textId="77777777" w:rsidR="00F34106" w:rsidRPr="00F34106" w:rsidRDefault="00F34106" w:rsidP="00F34106">
      <w:pPr>
        <w:numPr>
          <w:ilvl w:val="0"/>
          <w:numId w:val="7"/>
        </w:numPr>
        <w:tabs>
          <w:tab w:val="clear" w:pos="720"/>
          <w:tab w:val="num" w:pos="1440"/>
        </w:tabs>
        <w:ind w:left="1440"/>
      </w:pPr>
      <w:r w:rsidRPr="00F34106">
        <w:t>Single-stock ETFs</w:t>
      </w:r>
    </w:p>
    <w:p w14:paraId="291E1AE9" w14:textId="77777777" w:rsidR="00F34106" w:rsidRPr="00F34106" w:rsidRDefault="00F34106" w:rsidP="00F34106">
      <w:pPr>
        <w:numPr>
          <w:ilvl w:val="0"/>
          <w:numId w:val="7"/>
        </w:numPr>
        <w:tabs>
          <w:tab w:val="clear" w:pos="720"/>
          <w:tab w:val="num" w:pos="1440"/>
        </w:tabs>
        <w:ind w:left="1440"/>
      </w:pPr>
      <w:r w:rsidRPr="00F34106">
        <w:t>Very narrow themes</w:t>
      </w:r>
    </w:p>
    <w:p w14:paraId="02FB26E7" w14:textId="77777777" w:rsidR="00F34106" w:rsidRPr="00F34106" w:rsidRDefault="00F34106" w:rsidP="00F34106">
      <w:pPr>
        <w:numPr>
          <w:ilvl w:val="0"/>
          <w:numId w:val="7"/>
        </w:numPr>
        <w:tabs>
          <w:tab w:val="clear" w:pos="720"/>
          <w:tab w:val="num" w:pos="1440"/>
        </w:tabs>
        <w:ind w:left="1440"/>
      </w:pPr>
      <w:r w:rsidRPr="00F34106">
        <w:t>Products you cannot explain clearly</w:t>
      </w:r>
    </w:p>
    <w:p w14:paraId="78101F9E" w14:textId="77777777" w:rsidR="00F34106" w:rsidRPr="00F34106" w:rsidRDefault="00F34106" w:rsidP="00F34106">
      <w:pPr>
        <w:numPr>
          <w:ilvl w:val="0"/>
          <w:numId w:val="7"/>
        </w:numPr>
        <w:tabs>
          <w:tab w:val="clear" w:pos="720"/>
          <w:tab w:val="num" w:pos="1440"/>
        </w:tabs>
        <w:ind w:left="1440"/>
      </w:pPr>
      <w:r w:rsidRPr="00F34106">
        <w:t>Chasing the ETF with the best recent performance</w:t>
      </w:r>
    </w:p>
    <w:p w14:paraId="1D99D6FB" w14:textId="77777777" w:rsidR="00F34106" w:rsidRPr="00F34106" w:rsidRDefault="00F34106" w:rsidP="00F34106">
      <w:pPr>
        <w:ind w:left="720"/>
      </w:pPr>
      <w:r w:rsidRPr="00F34106">
        <w:lastRenderedPageBreak/>
        <w:t xml:space="preserve">Leveraged and inverse funds commonly target </w:t>
      </w:r>
      <w:r w:rsidRPr="00F34106">
        <w:rPr>
          <w:b/>
          <w:bCs/>
        </w:rPr>
        <w:t>daily</w:t>
      </w:r>
      <w:r w:rsidRPr="00F34106">
        <w:t xml:space="preserve"> results; compounding can cause longer-term performance to diverge substantially from the advertised multiple. </w:t>
      </w:r>
      <w:hyperlink r:id="rId8" w:history="1">
        <w:r w:rsidRPr="00F34106">
          <w:rPr>
            <w:rStyle w:val="Hyperlink"/>
          </w:rPr>
          <w:t>SEC leveraged and inverse ETF guidance</w:t>
        </w:r>
      </w:hyperlink>
    </w:p>
    <w:p w14:paraId="31D918DA" w14:textId="77777777" w:rsidR="00F34106" w:rsidRPr="00F34106" w:rsidRDefault="00F34106" w:rsidP="00F34106">
      <w:pPr>
        <w:pStyle w:val="Heading1"/>
      </w:pPr>
      <w:r w:rsidRPr="00F34106">
        <w:t>How to select among similar ETFs</w:t>
      </w:r>
    </w:p>
    <w:p w14:paraId="709B297A" w14:textId="77777777" w:rsidR="00F34106" w:rsidRPr="00F34106" w:rsidRDefault="00F34106" w:rsidP="00F34106">
      <w:r w:rsidRPr="00F34106">
        <w:t>Evaluate:</w:t>
      </w:r>
    </w:p>
    <w:p w14:paraId="0B9315B3" w14:textId="77777777" w:rsidR="00F34106" w:rsidRPr="00F34106" w:rsidRDefault="00F34106" w:rsidP="00F34106">
      <w:pPr>
        <w:numPr>
          <w:ilvl w:val="0"/>
          <w:numId w:val="8"/>
        </w:numPr>
      </w:pPr>
      <w:r w:rsidRPr="00F34106">
        <w:rPr>
          <w:b/>
          <w:bCs/>
        </w:rPr>
        <w:t>Index and investment mandate:</w:t>
      </w:r>
      <w:r w:rsidRPr="00F34106">
        <w:t xml:space="preserve"> What does it </w:t>
      </w:r>
      <w:proofErr w:type="gramStart"/>
      <w:r w:rsidRPr="00F34106">
        <w:t>actually own</w:t>
      </w:r>
      <w:proofErr w:type="gramEnd"/>
      <w:r w:rsidRPr="00F34106">
        <w:t>?</w:t>
      </w:r>
    </w:p>
    <w:p w14:paraId="24B4288E" w14:textId="77777777" w:rsidR="00F34106" w:rsidRPr="00F34106" w:rsidRDefault="00F34106" w:rsidP="00F34106">
      <w:pPr>
        <w:numPr>
          <w:ilvl w:val="0"/>
          <w:numId w:val="8"/>
        </w:numPr>
      </w:pPr>
      <w:r w:rsidRPr="00F34106">
        <w:rPr>
          <w:b/>
          <w:bCs/>
        </w:rPr>
        <w:t>Expense ratio:</w:t>
      </w:r>
      <w:r w:rsidRPr="00F34106">
        <w:t xml:space="preserve"> Lower costs leave more return compounding for you.</w:t>
      </w:r>
    </w:p>
    <w:p w14:paraId="2E848FBA" w14:textId="77777777" w:rsidR="00F34106" w:rsidRPr="00F34106" w:rsidRDefault="00F34106" w:rsidP="00F34106">
      <w:pPr>
        <w:numPr>
          <w:ilvl w:val="0"/>
          <w:numId w:val="8"/>
        </w:numPr>
      </w:pPr>
      <w:r w:rsidRPr="00F34106">
        <w:rPr>
          <w:b/>
          <w:bCs/>
        </w:rPr>
        <w:t>Diversification:</w:t>
      </w:r>
      <w:r w:rsidRPr="00F34106">
        <w:t xml:space="preserve"> Number of holdings, sector weights and largest positions.</w:t>
      </w:r>
    </w:p>
    <w:p w14:paraId="2E8A98A1" w14:textId="77777777" w:rsidR="00F34106" w:rsidRPr="00F34106" w:rsidRDefault="00F34106" w:rsidP="00F34106">
      <w:pPr>
        <w:numPr>
          <w:ilvl w:val="0"/>
          <w:numId w:val="8"/>
        </w:numPr>
      </w:pPr>
      <w:r w:rsidRPr="00F34106">
        <w:rPr>
          <w:b/>
          <w:bCs/>
        </w:rPr>
        <w:t>Tracking difference:</w:t>
      </w:r>
      <w:r w:rsidRPr="00F34106">
        <w:t xml:space="preserve"> How closely has it followed its benchmark after costs?</w:t>
      </w:r>
    </w:p>
    <w:p w14:paraId="160E2BF6" w14:textId="77777777" w:rsidR="00F34106" w:rsidRPr="00F34106" w:rsidRDefault="00F34106" w:rsidP="00F34106">
      <w:pPr>
        <w:numPr>
          <w:ilvl w:val="0"/>
          <w:numId w:val="8"/>
        </w:numPr>
      </w:pPr>
      <w:r w:rsidRPr="00F34106">
        <w:rPr>
          <w:b/>
          <w:bCs/>
        </w:rPr>
        <w:t>Liquidity:</w:t>
      </w:r>
      <w:r w:rsidRPr="00F34106">
        <w:t xml:space="preserve"> Trading volume and bid–ask spread.</w:t>
      </w:r>
    </w:p>
    <w:p w14:paraId="38B93D2E" w14:textId="77777777" w:rsidR="00F34106" w:rsidRPr="00F34106" w:rsidRDefault="00F34106" w:rsidP="00F34106">
      <w:pPr>
        <w:numPr>
          <w:ilvl w:val="0"/>
          <w:numId w:val="8"/>
        </w:numPr>
      </w:pPr>
      <w:r w:rsidRPr="00F34106">
        <w:rPr>
          <w:b/>
          <w:bCs/>
        </w:rPr>
        <w:t>Fund size and history:</w:t>
      </w:r>
      <w:r w:rsidRPr="00F34106">
        <w:t xml:space="preserve"> Very small funds may be more likely to close.</w:t>
      </w:r>
    </w:p>
    <w:p w14:paraId="356CEC1F" w14:textId="77777777" w:rsidR="00F34106" w:rsidRPr="00F34106" w:rsidRDefault="00F34106" w:rsidP="00F34106">
      <w:pPr>
        <w:numPr>
          <w:ilvl w:val="0"/>
          <w:numId w:val="8"/>
        </w:numPr>
      </w:pPr>
      <w:r w:rsidRPr="00F34106">
        <w:rPr>
          <w:b/>
          <w:bCs/>
        </w:rPr>
        <w:t>Premium/discount to NAV:</w:t>
      </w:r>
      <w:r w:rsidRPr="00F34106">
        <w:t xml:space="preserve"> Particularly important for less-liquid assets.</w:t>
      </w:r>
    </w:p>
    <w:p w14:paraId="2EAB3602" w14:textId="77777777" w:rsidR="00F34106" w:rsidRPr="00F34106" w:rsidRDefault="00F34106" w:rsidP="00F34106">
      <w:pPr>
        <w:numPr>
          <w:ilvl w:val="0"/>
          <w:numId w:val="8"/>
        </w:numPr>
      </w:pPr>
      <w:r w:rsidRPr="00F34106">
        <w:rPr>
          <w:b/>
          <w:bCs/>
        </w:rPr>
        <w:t>Tax characteristics:</w:t>
      </w:r>
      <w:r w:rsidRPr="00F34106">
        <w:t xml:space="preserve"> Distributions, turnover and account location.</w:t>
      </w:r>
    </w:p>
    <w:p w14:paraId="7943AEE8" w14:textId="77777777" w:rsidR="00F34106" w:rsidRPr="00F34106" w:rsidRDefault="00F34106" w:rsidP="00F34106">
      <w:r w:rsidRPr="00F34106">
        <w:t xml:space="preserve">The expense ratio is not the entire cost: spreads, commissions, premiums/discounts and internal trading expenses can also affect returns. The SEC notes that even modest ongoing fees can materially reduce long-term wealth. </w:t>
      </w:r>
      <w:hyperlink r:id="rId9" w:history="1">
        <w:r w:rsidRPr="00F34106">
          <w:rPr>
            <w:rStyle w:val="Hyperlink"/>
          </w:rPr>
          <w:t>SEC fee bulletin</w:t>
        </w:r>
      </w:hyperlink>
    </w:p>
    <w:p w14:paraId="349A05B9" w14:textId="77777777" w:rsidR="00F34106" w:rsidRPr="00F34106" w:rsidRDefault="00F34106" w:rsidP="00F34106">
      <w:pPr>
        <w:pStyle w:val="Heading1"/>
      </w:pPr>
      <w:r w:rsidRPr="00F34106">
        <w:t>Account placement</w:t>
      </w:r>
    </w:p>
    <w:p w14:paraId="13DA6566" w14:textId="77777777" w:rsidR="00F34106" w:rsidRPr="00F34106" w:rsidRDefault="00F34106" w:rsidP="00F34106">
      <w:r w:rsidRPr="00F34106">
        <w:t>As a general starting principle:</w:t>
      </w:r>
    </w:p>
    <w:p w14:paraId="3C70AFB4" w14:textId="77777777" w:rsidR="00F34106" w:rsidRPr="00F34106" w:rsidRDefault="00F34106" w:rsidP="00F34106">
      <w:pPr>
        <w:numPr>
          <w:ilvl w:val="0"/>
          <w:numId w:val="9"/>
        </w:numPr>
      </w:pPr>
      <w:r w:rsidRPr="00F34106">
        <w:rPr>
          <w:b/>
          <w:bCs/>
        </w:rPr>
        <w:t>Taxable account:</w:t>
      </w:r>
      <w:r w:rsidRPr="00F34106">
        <w:t xml:space="preserve"> Broad stock-index ETFs are often suitable because many are relatively tax-efficient.</w:t>
      </w:r>
    </w:p>
    <w:p w14:paraId="4A116854" w14:textId="77777777" w:rsidR="00F34106" w:rsidRPr="00F34106" w:rsidRDefault="00F34106" w:rsidP="00F34106">
      <w:pPr>
        <w:numPr>
          <w:ilvl w:val="0"/>
          <w:numId w:val="9"/>
        </w:numPr>
      </w:pPr>
      <w:r w:rsidRPr="00F34106">
        <w:rPr>
          <w:b/>
          <w:bCs/>
        </w:rPr>
        <w:t>Traditional IRA/401(k):</w:t>
      </w:r>
      <w:r w:rsidRPr="00F34106">
        <w:t xml:space="preserve"> Bond funds and other income-producing assets may benefit from tax deferral.</w:t>
      </w:r>
    </w:p>
    <w:p w14:paraId="18DC337D" w14:textId="77777777" w:rsidR="00F34106" w:rsidRPr="00F34106" w:rsidRDefault="00F34106" w:rsidP="00F34106">
      <w:pPr>
        <w:numPr>
          <w:ilvl w:val="0"/>
          <w:numId w:val="9"/>
        </w:numPr>
      </w:pPr>
      <w:r w:rsidRPr="00F34106">
        <w:rPr>
          <w:b/>
          <w:bCs/>
        </w:rPr>
        <w:t>Roth account:</w:t>
      </w:r>
      <w:r w:rsidRPr="00F34106">
        <w:t xml:space="preserve"> Assets with high expected long-term growth may benefit most from tax-free qualified withdrawals.</w:t>
      </w:r>
    </w:p>
    <w:p w14:paraId="52AFF523" w14:textId="77777777" w:rsidR="00F34106" w:rsidRPr="00F34106" w:rsidRDefault="00F34106" w:rsidP="00F34106">
      <w:r w:rsidRPr="00F34106">
        <w:t xml:space="preserve">But tax placement should be coordinated across the entire household portfolio. It depends on tax bracket, withdrawal horizon, account access and applicable tax law. ETFs may produce fewer capital-gain distributions than comparable mutual funds, but dividends and realized gains can still be taxable. </w:t>
      </w:r>
      <w:hyperlink r:id="rId10" w:history="1">
        <w:r w:rsidRPr="00F34106">
          <w:rPr>
            <w:rStyle w:val="Hyperlink"/>
          </w:rPr>
          <w:t>SEC ETF bulletin</w:t>
        </w:r>
      </w:hyperlink>
    </w:p>
    <w:p w14:paraId="435C186E" w14:textId="77777777" w:rsidR="00F34106" w:rsidRPr="00F34106" w:rsidRDefault="00F34106" w:rsidP="00F34106">
      <w:pPr>
        <w:pStyle w:val="Heading1"/>
      </w:pPr>
      <w:r w:rsidRPr="00F34106">
        <w:t>Maintain the strategy</w:t>
      </w:r>
    </w:p>
    <w:p w14:paraId="3F221033" w14:textId="77777777" w:rsidR="00F34106" w:rsidRPr="00F34106" w:rsidRDefault="00F34106" w:rsidP="00F34106">
      <w:pPr>
        <w:numPr>
          <w:ilvl w:val="0"/>
          <w:numId w:val="10"/>
        </w:numPr>
      </w:pPr>
      <w:r w:rsidRPr="00F34106">
        <w:t>Invest automatically on a regular schedule.</w:t>
      </w:r>
    </w:p>
    <w:p w14:paraId="18D43F02" w14:textId="77777777" w:rsidR="00F34106" w:rsidRPr="00F34106" w:rsidRDefault="00F34106" w:rsidP="00F34106">
      <w:pPr>
        <w:numPr>
          <w:ilvl w:val="0"/>
          <w:numId w:val="10"/>
        </w:numPr>
      </w:pPr>
      <w:r w:rsidRPr="00F34106">
        <w:t>Reinvest distributions unless you need the income.</w:t>
      </w:r>
    </w:p>
    <w:p w14:paraId="2181F856" w14:textId="77777777" w:rsidR="00F34106" w:rsidRPr="00F34106" w:rsidRDefault="00F34106" w:rsidP="00F34106">
      <w:pPr>
        <w:numPr>
          <w:ilvl w:val="0"/>
          <w:numId w:val="10"/>
        </w:numPr>
      </w:pPr>
      <w:r w:rsidRPr="00F34106">
        <w:t>Review annually, not daily.</w:t>
      </w:r>
    </w:p>
    <w:p w14:paraId="1220AF18" w14:textId="77777777" w:rsidR="00F34106" w:rsidRPr="00F34106" w:rsidRDefault="00F34106" w:rsidP="00F34106">
      <w:pPr>
        <w:numPr>
          <w:ilvl w:val="0"/>
          <w:numId w:val="10"/>
        </w:numPr>
      </w:pPr>
      <w:r w:rsidRPr="00F34106">
        <w:t xml:space="preserve">Rebalance once or twice a year, or when an asset class deviates by about </w:t>
      </w:r>
      <w:r w:rsidRPr="00F34106">
        <w:rPr>
          <w:b/>
          <w:bCs/>
        </w:rPr>
        <w:t>5 percentage points</w:t>
      </w:r>
      <w:r w:rsidRPr="00F34106">
        <w:t xml:space="preserve"> from its target.</w:t>
      </w:r>
    </w:p>
    <w:p w14:paraId="0AE9F9DF" w14:textId="77777777" w:rsidR="00F34106" w:rsidRPr="00F34106" w:rsidRDefault="00F34106" w:rsidP="00F34106">
      <w:pPr>
        <w:numPr>
          <w:ilvl w:val="0"/>
          <w:numId w:val="10"/>
        </w:numPr>
      </w:pPr>
      <w:r w:rsidRPr="00F34106">
        <w:t>Prefer directing new contributions toward underweight holdings before selling and triggering taxes.</w:t>
      </w:r>
    </w:p>
    <w:p w14:paraId="4D23A4CC" w14:textId="77777777" w:rsidR="00F34106" w:rsidRPr="00F34106" w:rsidRDefault="00F34106" w:rsidP="00F34106">
      <w:pPr>
        <w:numPr>
          <w:ilvl w:val="0"/>
          <w:numId w:val="10"/>
        </w:numPr>
      </w:pPr>
      <w:r w:rsidRPr="00F34106">
        <w:t>Change the allocation when your goals, time horizon or risk capacity change—not because of headlines or chart signals.</w:t>
      </w:r>
    </w:p>
    <w:p w14:paraId="6B75F635" w14:textId="77777777" w:rsidR="00F34106" w:rsidRPr="00F34106" w:rsidRDefault="00F34106" w:rsidP="00F34106">
      <w:r w:rsidRPr="00F34106">
        <w:t>For a long-term portfolio, indicators such as MACD, Darvas Boxes and moving averages should not drive the core allocation. They may assist tactical entry decisions, but consistent contributions, diversification, low costs, tax management and disciplined rebalancing generally matter much more. A one-fund target-date index fund can also be a good alternative if you want asset allocation and rebalancing handled automatically.</w:t>
      </w:r>
    </w:p>
    <w:p w14:paraId="18D606C0" w14:textId="77777777" w:rsidR="00F34106" w:rsidRPr="00F34106" w:rsidRDefault="00F34106" w:rsidP="00F34106"/>
    <w:sectPr w:rsidR="00F34106" w:rsidRPr="00F34106" w:rsidSect="00E336C8">
      <w:headerReference w:type="even" r:id="rId11"/>
      <w:headerReference w:type="default" r:id="rId12"/>
      <w:footerReference w:type="even" r:id="rId13"/>
      <w:footerReference w:type="default" r:id="rId14"/>
      <w:headerReference w:type="first" r:id="rId15"/>
      <w:footerReference w:type="first" r:id="rId16"/>
      <w:pgSz w:w="12240" w:h="15840"/>
      <w:pgMar w:top="891" w:right="1440" w:bottom="864" w:left="1440" w:header="324" w:footer="3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3B6E2E" w14:textId="77777777" w:rsidR="001E5DA4" w:rsidRDefault="001E5DA4" w:rsidP="00E336C8">
      <w:pPr>
        <w:spacing w:after="0" w:line="240" w:lineRule="auto"/>
      </w:pPr>
      <w:r>
        <w:separator/>
      </w:r>
    </w:p>
  </w:endnote>
  <w:endnote w:type="continuationSeparator" w:id="0">
    <w:p w14:paraId="5392B73A" w14:textId="77777777" w:rsidR="001E5DA4" w:rsidRDefault="001E5DA4" w:rsidP="00E33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C101FE" w14:textId="77777777" w:rsidR="00E336C8" w:rsidRDefault="00E336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BD0E34" w14:textId="3D42B0C2" w:rsidR="00E336C8" w:rsidRDefault="00E336C8">
    <w:pPr>
      <w:pStyle w:val="Footer"/>
    </w:pPr>
    <w:fldSimple w:instr=" FILENAME  \* MERGEFORMAT ">
      <w:r w:rsidR="00EB159A">
        <w:rPr>
          <w:noProof/>
        </w:rPr>
        <w:t>ETF Strategy Review_v1.docx</w:t>
      </w:r>
    </w:fldSimple>
    <w:r>
      <w:tab/>
    </w:r>
    <w:r>
      <w:tab/>
    </w:r>
    <w:r>
      <w:fldChar w:fldCharType="begin"/>
    </w:r>
    <w:r>
      <w:instrText xml:space="preserve"> PAGE  \* MERGEFORMAT </w:instrText>
    </w:r>
    <w:r>
      <w:fldChar w:fldCharType="separate"/>
    </w:r>
    <w:r>
      <w:rPr>
        <w:noProof/>
      </w:rPr>
      <w:t>1</w:t>
    </w:r>
    <w:r>
      <w:fldChar w:fldCharType="end"/>
    </w:r>
    <w:r>
      <w:t xml:space="preserve"> / </w:t>
    </w:r>
    <w:fldSimple w:instr=" NUMPAGES  \* MERGEFORMAT ">
      <w:r>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64E2B1" w14:textId="77777777" w:rsidR="00E336C8" w:rsidRDefault="00E336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828414" w14:textId="77777777" w:rsidR="001E5DA4" w:rsidRDefault="001E5DA4" w:rsidP="00E336C8">
      <w:pPr>
        <w:spacing w:after="0" w:line="240" w:lineRule="auto"/>
      </w:pPr>
      <w:r>
        <w:separator/>
      </w:r>
    </w:p>
  </w:footnote>
  <w:footnote w:type="continuationSeparator" w:id="0">
    <w:p w14:paraId="36EB5987" w14:textId="77777777" w:rsidR="001E5DA4" w:rsidRDefault="001E5DA4" w:rsidP="00E33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54D52B" w14:textId="77777777" w:rsidR="00E336C8" w:rsidRDefault="00E336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B44A4F" w14:textId="77777777" w:rsidR="00E336C8" w:rsidRDefault="00E336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D265C" w14:textId="77777777" w:rsidR="00E336C8" w:rsidRDefault="00E33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8676EE"/>
    <w:multiLevelType w:val="multilevel"/>
    <w:tmpl w:val="C76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167FB"/>
    <w:multiLevelType w:val="multilevel"/>
    <w:tmpl w:val="CB3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B2D02"/>
    <w:multiLevelType w:val="multilevel"/>
    <w:tmpl w:val="A4B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E7068"/>
    <w:multiLevelType w:val="multilevel"/>
    <w:tmpl w:val="2822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AF3871"/>
    <w:multiLevelType w:val="multilevel"/>
    <w:tmpl w:val="0466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D51B2"/>
    <w:multiLevelType w:val="multilevel"/>
    <w:tmpl w:val="ABA4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2F1CCB"/>
    <w:multiLevelType w:val="hybridMultilevel"/>
    <w:tmpl w:val="F1E226F4"/>
    <w:lvl w:ilvl="0" w:tplc="A07EA5DA">
      <w:start w:val="1"/>
      <w:numFmt w:val="bullet"/>
      <w:pStyle w:val="List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77E65F5"/>
    <w:multiLevelType w:val="multilevel"/>
    <w:tmpl w:val="438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483379">
    <w:abstractNumId w:val="0"/>
  </w:num>
  <w:num w:numId="2" w16cid:durableId="1855805580">
    <w:abstractNumId w:val="0"/>
  </w:num>
  <w:num w:numId="3" w16cid:durableId="1912226634">
    <w:abstractNumId w:val="7"/>
  </w:num>
  <w:num w:numId="4" w16cid:durableId="832186138">
    <w:abstractNumId w:val="3"/>
  </w:num>
  <w:num w:numId="5" w16cid:durableId="306008703">
    <w:abstractNumId w:val="6"/>
  </w:num>
  <w:num w:numId="6" w16cid:durableId="2037609088">
    <w:abstractNumId w:val="1"/>
  </w:num>
  <w:num w:numId="7" w16cid:durableId="989137054">
    <w:abstractNumId w:val="8"/>
  </w:num>
  <w:num w:numId="8" w16cid:durableId="1847944122">
    <w:abstractNumId w:val="4"/>
  </w:num>
  <w:num w:numId="9" w16cid:durableId="1741441553">
    <w:abstractNumId w:val="2"/>
  </w:num>
  <w:num w:numId="10" w16cid:durableId="139127306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06"/>
    <w:rsid w:val="00010701"/>
    <w:rsid w:val="00020A80"/>
    <w:rsid w:val="00034F58"/>
    <w:rsid w:val="00071A9D"/>
    <w:rsid w:val="000A6F19"/>
    <w:rsid w:val="000B447F"/>
    <w:rsid w:val="001A3F18"/>
    <w:rsid w:val="001A776D"/>
    <w:rsid w:val="001E5DA4"/>
    <w:rsid w:val="002F3890"/>
    <w:rsid w:val="00304492"/>
    <w:rsid w:val="00333BA4"/>
    <w:rsid w:val="003939FA"/>
    <w:rsid w:val="00411A37"/>
    <w:rsid w:val="00453A03"/>
    <w:rsid w:val="00454B1B"/>
    <w:rsid w:val="004B5EE4"/>
    <w:rsid w:val="005032C6"/>
    <w:rsid w:val="00504E2C"/>
    <w:rsid w:val="00521FB0"/>
    <w:rsid w:val="005B1356"/>
    <w:rsid w:val="005B722A"/>
    <w:rsid w:val="005E7B1D"/>
    <w:rsid w:val="00637279"/>
    <w:rsid w:val="00662C51"/>
    <w:rsid w:val="00671F2B"/>
    <w:rsid w:val="006C5766"/>
    <w:rsid w:val="006D3659"/>
    <w:rsid w:val="00730984"/>
    <w:rsid w:val="0078057A"/>
    <w:rsid w:val="007E2861"/>
    <w:rsid w:val="00873711"/>
    <w:rsid w:val="00880C18"/>
    <w:rsid w:val="008B06CD"/>
    <w:rsid w:val="0093606B"/>
    <w:rsid w:val="009447F0"/>
    <w:rsid w:val="00947F3A"/>
    <w:rsid w:val="009B2DB3"/>
    <w:rsid w:val="009D31A2"/>
    <w:rsid w:val="00A901D6"/>
    <w:rsid w:val="00A95D32"/>
    <w:rsid w:val="00AB69F2"/>
    <w:rsid w:val="00B77F7B"/>
    <w:rsid w:val="00B910E0"/>
    <w:rsid w:val="00BA545E"/>
    <w:rsid w:val="00C3309A"/>
    <w:rsid w:val="00C408F9"/>
    <w:rsid w:val="00C75F2A"/>
    <w:rsid w:val="00E336C8"/>
    <w:rsid w:val="00E54D04"/>
    <w:rsid w:val="00E66A1D"/>
    <w:rsid w:val="00EB159A"/>
    <w:rsid w:val="00F34106"/>
    <w:rsid w:val="00F5702B"/>
    <w:rsid w:val="00F70237"/>
    <w:rsid w:val="00FB0BAA"/>
    <w:rsid w:val="00FF3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86B06"/>
  <w15:chartTrackingRefBased/>
  <w15:docId w15:val="{4C13E912-76AB-384E-B658-31F7EE12A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7F0"/>
    <w:pPr>
      <w:spacing w:before="0" w:after="80" w:line="259" w:lineRule="auto"/>
      <w:contextualSpacing/>
    </w:pPr>
    <w:rPr>
      <w:rFonts w:ascii="Calibri" w:eastAsiaTheme="minorEastAsia" w:hAnsi="Calibri"/>
      <w:kern w:val="0"/>
      <w:sz w:val="22"/>
      <w:szCs w:val="22"/>
      <w14:ligatures w14:val="none"/>
    </w:rPr>
  </w:style>
  <w:style w:type="paragraph" w:styleId="Heading1">
    <w:name w:val="heading 1"/>
    <w:basedOn w:val="Normal"/>
    <w:next w:val="Normal"/>
    <w:link w:val="Heading1Char"/>
    <w:uiPriority w:val="9"/>
    <w:qFormat/>
    <w:rsid w:val="00F34106"/>
    <w:pPr>
      <w:keepNext/>
      <w:keepLines/>
      <w:spacing w:after="0"/>
      <w:outlineLvl w:val="0"/>
    </w:pPr>
    <w:rPr>
      <w:rFonts w:eastAsiaTheme="majorEastAsia" w:cs="Calibri"/>
      <w:b/>
      <w:bCs/>
      <w:color w:val="0F4761" w:themeColor="accent1" w:themeShade="BF"/>
      <w:sz w:val="28"/>
      <w:szCs w:val="32"/>
    </w:rPr>
  </w:style>
  <w:style w:type="paragraph" w:styleId="Heading2">
    <w:name w:val="heading 2"/>
    <w:basedOn w:val="Normal"/>
    <w:next w:val="Normal"/>
    <w:link w:val="Heading2Char"/>
    <w:uiPriority w:val="9"/>
    <w:unhideWhenUsed/>
    <w:qFormat/>
    <w:rsid w:val="00F34106"/>
    <w:pPr>
      <w:keepNext/>
      <w:keepLines/>
      <w:spacing w:before="60" w:after="0"/>
      <w:ind w:firstLine="360"/>
      <w:outlineLvl w:val="1"/>
    </w:pPr>
    <w:rPr>
      <w:rFonts w:eastAsiaTheme="majorEastAsia" w:cstheme="majorBidi"/>
      <w:b/>
      <w:bCs/>
      <w:color w:val="0F4761" w:themeColor="accent1" w:themeShade="BF"/>
      <w:kern w:val="2"/>
      <w:sz w:val="24"/>
      <w:szCs w:val="24"/>
      <w14:ligatures w14:val="standardContextual"/>
    </w:rPr>
  </w:style>
  <w:style w:type="paragraph" w:styleId="Heading3">
    <w:name w:val="heading 3"/>
    <w:basedOn w:val="Normal"/>
    <w:next w:val="Normal"/>
    <w:link w:val="Heading3Char"/>
    <w:uiPriority w:val="9"/>
    <w:semiHidden/>
    <w:unhideWhenUsed/>
    <w:qFormat/>
    <w:rsid w:val="005032C6"/>
    <w:pPr>
      <w:keepNext/>
      <w:keepLines/>
      <w:spacing w:before="80" w:after="0"/>
      <w:outlineLvl w:val="2"/>
    </w:pPr>
    <w:rPr>
      <w:rFonts w:asciiTheme="minorHAnsi" w:eastAsiaTheme="majorEastAsia" w:hAnsiTheme="minorHAnsi" w:cstheme="majorBidi"/>
      <w:b/>
      <w:color w:val="0F4761" w:themeColor="accent1" w:themeShade="BF"/>
      <w:sz w:val="24"/>
      <w:szCs w:val="28"/>
    </w:rPr>
  </w:style>
  <w:style w:type="paragraph" w:styleId="Heading4">
    <w:name w:val="heading 4"/>
    <w:basedOn w:val="Normal"/>
    <w:next w:val="Normal"/>
    <w:link w:val="Heading4Char"/>
    <w:uiPriority w:val="9"/>
    <w:semiHidden/>
    <w:unhideWhenUsed/>
    <w:qFormat/>
    <w:rsid w:val="00E336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36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36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36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36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36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47F0"/>
    <w:pPr>
      <w:keepLines/>
      <w:spacing w:after="120"/>
      <w:jc w:val="center"/>
    </w:pPr>
    <w:rPr>
      <w:rFonts w:ascii="Arial Narrow" w:eastAsiaTheme="majorEastAsia" w:hAnsi="Arial Narrow" w:cs="Times New Roman (Headings CS)"/>
      <w:b/>
      <w:kern w:val="28"/>
      <w:sz w:val="40"/>
      <w:szCs w:val="56"/>
    </w:rPr>
  </w:style>
  <w:style w:type="character" w:customStyle="1" w:styleId="TitleChar">
    <w:name w:val="Title Char"/>
    <w:basedOn w:val="DefaultParagraphFont"/>
    <w:link w:val="Title"/>
    <w:uiPriority w:val="10"/>
    <w:rsid w:val="009447F0"/>
    <w:rPr>
      <w:rFonts w:ascii="Arial Narrow" w:eastAsiaTheme="majorEastAsia" w:hAnsi="Arial Narrow" w:cs="Times New Roman (Headings CS)"/>
      <w:b/>
      <w:kern w:val="28"/>
      <w:sz w:val="40"/>
      <w:szCs w:val="56"/>
      <w14:ligatures w14:val="none"/>
    </w:rPr>
  </w:style>
  <w:style w:type="character" w:customStyle="1" w:styleId="Heading2Char">
    <w:name w:val="Heading 2 Char"/>
    <w:basedOn w:val="DefaultParagraphFont"/>
    <w:link w:val="Heading2"/>
    <w:uiPriority w:val="9"/>
    <w:rsid w:val="00F34106"/>
    <w:rPr>
      <w:rFonts w:ascii="Calibri" w:eastAsiaTheme="majorEastAsia" w:hAnsi="Calibri" w:cstheme="majorBidi"/>
      <w:b/>
      <w:bCs/>
      <w:color w:val="0F4761" w:themeColor="accent1" w:themeShade="BF"/>
    </w:rPr>
  </w:style>
  <w:style w:type="character" w:customStyle="1" w:styleId="Heading3Char">
    <w:name w:val="Heading 3 Char"/>
    <w:basedOn w:val="DefaultParagraphFont"/>
    <w:link w:val="Heading3"/>
    <w:uiPriority w:val="9"/>
    <w:semiHidden/>
    <w:rsid w:val="005032C6"/>
    <w:rPr>
      <w:rFonts w:eastAsiaTheme="majorEastAsia" w:cstheme="majorBidi"/>
      <w:b/>
      <w:color w:val="0F4761" w:themeColor="accent1" w:themeShade="BF"/>
      <w:kern w:val="0"/>
      <w:szCs w:val="28"/>
      <w14:ligatures w14:val="none"/>
    </w:rPr>
  </w:style>
  <w:style w:type="paragraph" w:styleId="ListBullet">
    <w:name w:val="List Bullet"/>
    <w:basedOn w:val="Normal"/>
    <w:uiPriority w:val="99"/>
    <w:unhideWhenUsed/>
    <w:qFormat/>
    <w:rsid w:val="009447F0"/>
    <w:pPr>
      <w:numPr>
        <w:numId w:val="3"/>
      </w:numPr>
    </w:pPr>
  </w:style>
  <w:style w:type="paragraph" w:styleId="Subtitle">
    <w:name w:val="Subtitle"/>
    <w:basedOn w:val="Normal"/>
    <w:next w:val="Normal"/>
    <w:link w:val="SubtitleChar"/>
    <w:uiPriority w:val="11"/>
    <w:qFormat/>
    <w:rsid w:val="009447F0"/>
    <w:pPr>
      <w:numPr>
        <w:ilvl w:val="1"/>
      </w:numPr>
      <w:spacing w:after="160"/>
      <w:jc w:val="center"/>
    </w:pPr>
    <w:rPr>
      <w:rFonts w:eastAsiaTheme="majorEastAsia" w:cs="Times New Roman (Headings CS)"/>
      <w:color w:val="595959" w:themeColor="text1" w:themeTint="A6"/>
      <w:spacing w:val="5"/>
      <w:sz w:val="28"/>
      <w:szCs w:val="28"/>
    </w:rPr>
  </w:style>
  <w:style w:type="character" w:customStyle="1" w:styleId="SubtitleChar">
    <w:name w:val="Subtitle Char"/>
    <w:basedOn w:val="DefaultParagraphFont"/>
    <w:link w:val="Subtitle"/>
    <w:uiPriority w:val="11"/>
    <w:rsid w:val="009447F0"/>
    <w:rPr>
      <w:rFonts w:ascii="Calibri" w:eastAsiaTheme="majorEastAsia" w:hAnsi="Calibri" w:cs="Times New Roman (Headings CS)"/>
      <w:color w:val="595959" w:themeColor="text1" w:themeTint="A6"/>
      <w:spacing w:val="5"/>
      <w:kern w:val="0"/>
      <w:sz w:val="28"/>
      <w:szCs w:val="28"/>
      <w14:ligatures w14:val="none"/>
    </w:rPr>
  </w:style>
  <w:style w:type="paragraph" w:styleId="Footer">
    <w:name w:val="footer"/>
    <w:basedOn w:val="Normal"/>
    <w:link w:val="FooterChar"/>
    <w:uiPriority w:val="99"/>
    <w:unhideWhenUsed/>
    <w:qFormat/>
    <w:rsid w:val="009447F0"/>
    <w:pPr>
      <w:tabs>
        <w:tab w:val="center" w:pos="4680"/>
        <w:tab w:val="right" w:pos="9360"/>
      </w:tabs>
      <w:spacing w:after="0" w:line="240" w:lineRule="auto"/>
      <w:contextualSpacing w:val="0"/>
    </w:pPr>
    <w:rPr>
      <w:sz w:val="18"/>
    </w:rPr>
  </w:style>
  <w:style w:type="character" w:customStyle="1" w:styleId="FooterChar">
    <w:name w:val="Footer Char"/>
    <w:basedOn w:val="DefaultParagraphFont"/>
    <w:link w:val="Footer"/>
    <w:uiPriority w:val="99"/>
    <w:rsid w:val="009447F0"/>
    <w:rPr>
      <w:rFonts w:ascii="Calibri" w:eastAsiaTheme="minorEastAsia" w:hAnsi="Calibri"/>
      <w:kern w:val="0"/>
      <w:sz w:val="18"/>
      <w:szCs w:val="22"/>
      <w14:ligatures w14:val="none"/>
    </w:rPr>
  </w:style>
  <w:style w:type="character" w:customStyle="1" w:styleId="Heading1Char">
    <w:name w:val="Heading 1 Char"/>
    <w:basedOn w:val="DefaultParagraphFont"/>
    <w:link w:val="Heading1"/>
    <w:uiPriority w:val="9"/>
    <w:rsid w:val="00F34106"/>
    <w:rPr>
      <w:rFonts w:ascii="Calibri" w:eastAsiaTheme="majorEastAsia" w:hAnsi="Calibri" w:cs="Calibri"/>
      <w:b/>
      <w:bCs/>
      <w:color w:val="0F4761" w:themeColor="accent1" w:themeShade="BF"/>
      <w:kern w:val="0"/>
      <w:sz w:val="28"/>
      <w:szCs w:val="32"/>
      <w14:ligatures w14:val="none"/>
    </w:rPr>
  </w:style>
  <w:style w:type="character" w:customStyle="1" w:styleId="Heading4Char">
    <w:name w:val="Heading 4 Char"/>
    <w:basedOn w:val="DefaultParagraphFont"/>
    <w:link w:val="Heading4"/>
    <w:uiPriority w:val="9"/>
    <w:semiHidden/>
    <w:rsid w:val="00E336C8"/>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E336C8"/>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336C8"/>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E336C8"/>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E336C8"/>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E336C8"/>
    <w:rPr>
      <w:rFonts w:eastAsiaTheme="majorEastAsia" w:cstheme="majorBidi"/>
      <w:color w:val="272727" w:themeColor="text1" w:themeTint="D8"/>
      <w:kern w:val="0"/>
      <w:sz w:val="22"/>
      <w:szCs w:val="22"/>
      <w14:ligatures w14:val="none"/>
    </w:rPr>
  </w:style>
  <w:style w:type="paragraph" w:styleId="Quote">
    <w:name w:val="Quote"/>
    <w:basedOn w:val="Normal"/>
    <w:next w:val="Normal"/>
    <w:link w:val="QuoteChar"/>
    <w:uiPriority w:val="29"/>
    <w:qFormat/>
    <w:rsid w:val="00E336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36C8"/>
    <w:rPr>
      <w:rFonts w:ascii="Calibri" w:eastAsiaTheme="minorEastAsia" w:hAnsi="Calibri"/>
      <w:i/>
      <w:iCs/>
      <w:color w:val="404040" w:themeColor="text1" w:themeTint="BF"/>
      <w:kern w:val="0"/>
      <w:sz w:val="22"/>
      <w:szCs w:val="22"/>
      <w14:ligatures w14:val="none"/>
    </w:rPr>
  </w:style>
  <w:style w:type="paragraph" w:styleId="ListParagraph">
    <w:name w:val="List Paragraph"/>
    <w:basedOn w:val="Normal"/>
    <w:uiPriority w:val="34"/>
    <w:qFormat/>
    <w:rsid w:val="00E336C8"/>
    <w:pPr>
      <w:ind w:left="720"/>
    </w:pPr>
  </w:style>
  <w:style w:type="character" w:styleId="IntenseEmphasis">
    <w:name w:val="Intense Emphasis"/>
    <w:basedOn w:val="DefaultParagraphFont"/>
    <w:uiPriority w:val="21"/>
    <w:qFormat/>
    <w:rsid w:val="00E336C8"/>
    <w:rPr>
      <w:i/>
      <w:iCs/>
      <w:color w:val="0F4761" w:themeColor="accent1" w:themeShade="BF"/>
    </w:rPr>
  </w:style>
  <w:style w:type="paragraph" w:styleId="IntenseQuote">
    <w:name w:val="Intense Quote"/>
    <w:basedOn w:val="Normal"/>
    <w:next w:val="Normal"/>
    <w:link w:val="IntenseQuoteChar"/>
    <w:uiPriority w:val="30"/>
    <w:qFormat/>
    <w:rsid w:val="00E3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6C8"/>
    <w:rPr>
      <w:rFonts w:ascii="Calibri" w:eastAsiaTheme="minorEastAsia" w:hAnsi="Calibri"/>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E336C8"/>
    <w:rPr>
      <w:b/>
      <w:bCs/>
      <w:smallCaps/>
      <w:color w:val="0F4761" w:themeColor="accent1" w:themeShade="BF"/>
      <w:spacing w:val="5"/>
    </w:rPr>
  </w:style>
  <w:style w:type="paragraph" w:styleId="Header">
    <w:name w:val="header"/>
    <w:basedOn w:val="Normal"/>
    <w:link w:val="HeaderChar"/>
    <w:uiPriority w:val="99"/>
    <w:unhideWhenUsed/>
    <w:rsid w:val="00E33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36C8"/>
    <w:rPr>
      <w:rFonts w:ascii="Calibri" w:eastAsiaTheme="minorEastAsia" w:hAnsi="Calibri"/>
      <w:kern w:val="0"/>
      <w:sz w:val="22"/>
      <w:szCs w:val="22"/>
      <w14:ligatures w14:val="none"/>
    </w:rPr>
  </w:style>
  <w:style w:type="character" w:styleId="Hyperlink">
    <w:name w:val="Hyperlink"/>
    <w:basedOn w:val="DefaultParagraphFont"/>
    <w:uiPriority w:val="99"/>
    <w:unhideWhenUsed/>
    <w:rsid w:val="00F34106"/>
    <w:rPr>
      <w:color w:val="467886" w:themeColor="hyperlink"/>
      <w:u w:val="single"/>
    </w:rPr>
  </w:style>
  <w:style w:type="character" w:styleId="UnresolvedMention">
    <w:name w:val="Unresolved Mention"/>
    <w:basedOn w:val="DefaultParagraphFont"/>
    <w:uiPriority w:val="99"/>
    <w:semiHidden/>
    <w:unhideWhenUsed/>
    <w:rsid w:val="00F341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r.gov/introduction-investing/general-resources/news-alerts/alerts-bulletins/investor-alerts/sec"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vestor.gov/introduction-investing/general-resources/news-alerts/alerts-bulletins/investor-bulletins-24"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investor.gov/introduction-investing/general-resources/news-alerts/alerts-bulletins/investor-bulletins-24" TargetMode="External"/><Relationship Id="rId4" Type="http://schemas.openxmlformats.org/officeDocument/2006/relationships/webSettings" Target="webSettings.xml"/><Relationship Id="rId9" Type="http://schemas.openxmlformats.org/officeDocument/2006/relationships/hyperlink" Target="https://www.investor.gov/introduction-investing/general-resources/news-alerts/alerts-bulletins/mutual-fund-and-etf-fees-and-expenses-investor-bulleti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1350</Words>
  <Characters>4052</Characters>
  <Application>Microsoft Office Word</Application>
  <DocSecurity>0</DocSecurity>
  <Lines>1350</Lines>
  <Paragraphs>1350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Landry</dc:creator>
  <cp:keywords/>
  <dc:description/>
  <cp:lastModifiedBy>Alan Landry</cp:lastModifiedBy>
  <cp:revision>2</cp:revision>
  <dcterms:created xsi:type="dcterms:W3CDTF">2026-10-08T22:14:00Z</dcterms:created>
  <dcterms:modified xsi:type="dcterms:W3CDTF">2026-10-08T22:25:00Z</dcterms:modified>
</cp:coreProperties>
</file>