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F503" w14:textId="544C550F" w:rsidR="002F4EDF" w:rsidRPr="00CB5E36" w:rsidRDefault="00000000" w:rsidP="00CB5E36">
      <w:pPr>
        <w:spacing w:after="0"/>
        <w:jc w:val="center"/>
        <w:rPr>
          <w:rFonts w:asciiTheme="majorHAnsi" w:hAnsiTheme="majorHAnsi" w:cstheme="majorHAnsi"/>
          <w:sz w:val="20"/>
          <w:szCs w:val="10"/>
        </w:rPr>
      </w:pPr>
      <w:r>
        <w:rPr>
          <w:rFonts w:asciiTheme="majorHAnsi" w:hAnsiTheme="majorHAnsi" w:cstheme="majorHAnsi"/>
          <w:b/>
          <w:color w:val="1F497D"/>
          <w:sz w:val="44"/>
        </w:rPr>
        <w:t xml:space="preserve">CLAUDE TRADING SYSTEM </w:t>
      </w:r>
      <w:r>
        <w:rPr>
          <w:rFonts w:asciiTheme="majorHAnsi" w:hAnsiTheme="majorHAnsi" w:cstheme="majorHAnsi"/>
          <w:b/>
          <w:color w:val="1F497D"/>
          <w:sz w:val="28"/>
          <w:szCs w:val="16"/>
        </w:rPr>
        <w:t>(v7)</w:t>
      </w:r>
    </w:p>
    <w:p w14:paraId="699C2252" w14:textId="77777777" w:rsidR="002F4EDF" w:rsidRPr="00B41806" w:rsidRDefault="00000000" w:rsidP="00CB5E36">
      <w:pPr>
        <w:spacing w:after="0"/>
        <w:jc w:val="center"/>
        <w:rPr>
          <w:rFonts w:asciiTheme="majorHAnsi" w:hAnsiTheme="majorHAnsi" w:cstheme="majorHAnsi"/>
        </w:rPr>
      </w:pPr>
      <w:r>
        <w:rPr>
          <w:rFonts w:asciiTheme="majorHAnsi" w:hAnsiTheme="majorHAnsi" w:cstheme="majorHAnsi"/>
          <w:b/>
          <w:color w:val="2E75B6"/>
          <w:sz w:val="32"/>
        </w:rPr>
        <w:t>Complete Framework</w:t>
      </w:r>
    </w:p>
    <w:p w14:paraId="25DD8067" w14:textId="77777777" w:rsidR="005B38B2" w:rsidRDefault="005B38B2">
      <w:pPr>
        <w:spacing w:after="0"/>
        <w:jc w:val="center"/>
      </w:pPr>
      <w:r>
        <w:rPr>
          <w:rFonts w:cs="Calibri"/>
          <w:color w:val="606060"/>
        </w:rPr>
        <w:t>Long-Term Equity Appreciation  |  3–10 Year Horizon</w:t>
      </w:r>
    </w:p>
    <w:p w14:paraId="3D93B660" w14:textId="77777777" w:rsidR="002F4EDF" w:rsidRPr="00B41806" w:rsidRDefault="002F4EDF" w:rsidP="00CB5E36">
      <w:pPr>
        <w:pBdr>
          <w:bottom w:val="single" w:sz="12" w:space="1" w:color="2E75B6"/>
        </w:pBdr>
        <w:spacing w:after="0"/>
        <w:rPr>
          <w:rFonts w:asciiTheme="majorHAnsi" w:hAnsiTheme="majorHAnsi" w:cstheme="majorHAnsi"/>
        </w:rPr>
      </w:pPr>
    </w:p>
    <w:p w14:paraId="66C85B3D" w14:textId="77777777" w:rsidR="005B38B2" w:rsidRDefault="005B38B2" w:rsidP="00CB5E36">
      <w:pPr>
        <w:pStyle w:val="Heading2"/>
        <w:spacing w:before="0"/>
      </w:pPr>
      <w:r>
        <w:t>EXECUTIVE SUMMARY</w:t>
      </w:r>
    </w:p>
    <w:p w14:paraId="68B219BB" w14:textId="77777777" w:rsidR="00CB5E36" w:rsidRDefault="005F5A80">
      <w:pPr>
        <w:spacing w:after="120"/>
      </w:pPr>
      <w:r>
        <w:t xml:space="preserve">This document is a repeatable stock-selection operating system for long-term equity investing over a 3–10 year horizon. It uses a bottom-up, quality-at-reasonable-price approach that ranks businesses through a weighted indicator framework, converts those scores into clear </w:t>
      </w:r>
      <w:r>
        <w:rPr>
          <w:b/>
          <w:bCs/>
        </w:rPr>
        <w:t>BUY</w:t>
      </w:r>
      <w:r>
        <w:t xml:space="preserve"> or </w:t>
      </w:r>
      <w:r>
        <w:rPr>
          <w:b/>
          <w:bCs/>
        </w:rPr>
        <w:t>AVOID</w:t>
      </w:r>
      <w:r>
        <w:t xml:space="preserve"> decisions, and then links those decisions to entry timing, position sizing, and exit discipline. </w:t>
      </w:r>
    </w:p>
    <w:p w14:paraId="63C9862F" w14:textId="77777777" w:rsidR="00CB5E36" w:rsidRDefault="005F5A80" w:rsidP="00CB5E36">
      <w:pPr>
        <w:pStyle w:val="ListParagraph"/>
        <w:numPr>
          <w:ilvl w:val="0"/>
          <w:numId w:val="11"/>
        </w:numPr>
        <w:spacing w:after="120"/>
      </w:pPr>
      <w:r>
        <w:t xml:space="preserve">Tier 1 indicators drive the outcome because they measure the durability of cash generation, growth quality, competitive strength, revenue visibility, and margin structure. </w:t>
      </w:r>
    </w:p>
    <w:p w14:paraId="01A61E75" w14:textId="77777777" w:rsidR="00CB5E36" w:rsidRDefault="005F5A80" w:rsidP="00CB5E36">
      <w:pPr>
        <w:pStyle w:val="ListParagraph"/>
        <w:numPr>
          <w:ilvl w:val="0"/>
          <w:numId w:val="11"/>
        </w:numPr>
        <w:spacing w:after="120"/>
      </w:pPr>
      <w:r>
        <w:t xml:space="preserve">Tier 2 indicators confirm business quality and execution, while </w:t>
      </w:r>
    </w:p>
    <w:p w14:paraId="4480607A" w14:textId="77777777" w:rsidR="00CB5E36" w:rsidRDefault="005F5A80" w:rsidP="00CB5E36">
      <w:pPr>
        <w:pStyle w:val="ListParagraph"/>
        <w:numPr>
          <w:ilvl w:val="0"/>
          <w:numId w:val="11"/>
        </w:numPr>
        <w:spacing w:after="120"/>
      </w:pPr>
      <w:r>
        <w:t xml:space="preserve">Tier 3 indicators help refine timing and valuation without overriding the core fundamental case. </w:t>
      </w:r>
    </w:p>
    <w:p w14:paraId="2F610F40" w14:textId="5CEB2892" w:rsidR="005F5A80" w:rsidRDefault="005F5A80">
      <w:pPr>
        <w:spacing w:after="120"/>
      </w:pPr>
      <w:r>
        <w:t>The Composite Score translates all three tiers into a score out of 100, which then maps to decision thresholds, sizing rules, and monitoring requirements. A limited macro-overlay adjusts urgency and exposure when conditions are unfavorable, but it does not replace business-level analysis. The goal is to make every decision auditable, consistent, and resistant to emotion.</w:t>
      </w:r>
    </w:p>
    <w:p w14:paraId="3992C6CB" w14:textId="77777777" w:rsidR="005B38B2" w:rsidRDefault="005B38B2" w:rsidP="003C2E66">
      <w:pPr>
        <w:pStyle w:val="Heading1"/>
        <w:spacing w:before="240"/>
        <w:rPr>
          <w:rFonts w:cs="Calibri"/>
        </w:rPr>
      </w:pPr>
      <w:r>
        <w:rPr>
          <w:rFonts w:cs="Calibri"/>
        </w:rPr>
        <w:t>PART 1 — PHILOSOPHY &amp; SCOPE</w:t>
      </w:r>
    </w:p>
    <w:p w14:paraId="4EE12A98" w14:textId="77777777" w:rsidR="005B38B2" w:rsidRDefault="005B38B2">
      <w:pPr>
        <w:spacing w:after="120"/>
        <w:rPr>
          <w:rFonts w:cs="Calibri"/>
        </w:rPr>
      </w:pPr>
      <w:r>
        <w:rPr>
          <w:rFonts w:cs="Calibri"/>
        </w:rPr>
        <w:t xml:space="preserve">This operating system targets long-term equity appreciation over a 3–10 year horizon through a quality-at-reasonable-price approach. Stock selection is bottom-up, while a limited macro-overlay adjusts conviction and sizing without overriding business fundamentals.</w:t>
      </w:r>
    </w:p>
    <w:p w14:paraId="2F2BE2AF" w14:textId="1A2B95F5" w:rsidR="005B38B2" w:rsidRDefault="005B38B2" w:rsidP="005B38B2">
      <w:pPr>
        <w:pStyle w:val="Heading2"/>
      </w:pPr>
      <w:r>
        <w:t xml:space="preserve">Core Principles / </w:t>
      </w:r>
      <w:r>
        <w:rPr>
          <w:color w:val="984806" w:themeColor="accent6" w:themeShade="80"/>
        </w:rPr>
        <w:t>Hard Rules</w:t>
      </w:r>
    </w:p>
    <w:p w14:paraId="41A428C5" w14:textId="77777777" w:rsidR="003C2E66" w:rsidRPr="005F5A80" w:rsidRDefault="003C2E66" w:rsidP="00157A25">
      <w:pPr>
        <w:pStyle w:val="ListNumber"/>
        <w:rPr>
          <w:rFonts w:cstheme="minorBidi"/>
        </w:rPr>
      </w:pPr>
      <w:r>
        <w:t>Free cash flow is the most reliable long-term value signal — it is harder to manipulate than earnings and directly funds compounding.</w:t>
      </w:r>
    </w:p>
    <w:p w14:paraId="51BCD532" w14:textId="77777777" w:rsidR="003C2E66" w:rsidRPr="005F5A80" w:rsidRDefault="003C2E66" w:rsidP="00157A25">
      <w:pPr>
        <w:pStyle w:val="ListNumber"/>
        <w:rPr>
          <w:rFonts w:cstheme="minorBidi"/>
        </w:rPr>
      </w:pPr>
      <w:r>
        <w:t>Quality compounds; average reverts. The goal is to own businesses with durable advantages, not to time markets.</w:t>
      </w:r>
    </w:p>
    <w:p w14:paraId="544BD1E1" w14:textId="77777777" w:rsidR="003C2E66" w:rsidRPr="005F5A80" w:rsidRDefault="003C2E66" w:rsidP="00157A25">
      <w:pPr>
        <w:pStyle w:val="ListNumber"/>
        <w:rPr>
          <w:rFonts w:cstheme="minorBidi"/>
        </w:rPr>
      </w:pPr>
      <w:r>
        <w:t>Fundamentals determine direction. Technicals refine timing. Never reverse that hierarchy.</w:t>
      </w:r>
    </w:p>
    <w:p w14:paraId="7BBF8218" w14:textId="77777777" w:rsidR="003C2E66" w:rsidRPr="005F5A80" w:rsidRDefault="003C2E66" w:rsidP="00157A25">
      <w:pPr>
        <w:pStyle w:val="ListNumber"/>
        <w:rPr>
          <w:rFonts w:cstheme="minorBidi"/>
        </w:rPr>
      </w:pPr>
      <w:r>
        <w:t>No single indicator is sufficient. Confluence of signals across tiers is where real edge lives.</w:t>
      </w:r>
    </w:p>
    <w:p w14:paraId="7CEEDF5B" w14:textId="77777777" w:rsidR="003C2E66" w:rsidRPr="005F5A80" w:rsidRDefault="003C2E66" w:rsidP="00157A25">
      <w:pPr>
        <w:pStyle w:val="ListNumber"/>
        <w:rPr>
          <w:rFonts w:cstheme="minorBidi"/>
        </w:rPr>
      </w:pPr>
      <w:r>
        <w:t>Explicit rules prevent emotional override. Every decision — entry, sizing, exit — follows a defined process.</w:t>
      </w:r>
    </w:p>
    <w:p w14:paraId="72FBA403" w14:textId="77777777" w:rsidR="005B38B2" w:rsidRDefault="005B38B2" w:rsidP="005B38B2">
      <w:pPr>
        <w:pStyle w:val="Heading2"/>
      </w:pPr>
      <w:r>
        <w:t>Scope &amp; Applicability</w:t>
      </w:r>
    </w:p>
    <w:p w14:paraId="44D6734A" w14:textId="77777777" w:rsidR="00CB5E36" w:rsidRPr="00CB5E36" w:rsidRDefault="005B38B2" w:rsidP="00CB5E36">
      <w:pPr>
        <w:pStyle w:val="ListParagraph"/>
        <w:numPr>
          <w:ilvl w:val="0"/>
          <w:numId w:val="12"/>
        </w:numPr>
        <w:spacing w:after="120"/>
        <w:rPr>
          <w:rFonts w:cs="Calibri"/>
        </w:rPr>
      </w:pPr>
      <w:r>
        <w:rPr>
          <w:rFonts w:cs="Calibri"/>
        </w:rPr>
        <w:t xml:space="preserve">This system applies to individual equities across all market caps. </w:t>
      </w:r>
    </w:p>
    <w:p w14:paraId="2E5753A5" w14:textId="77777777" w:rsidR="00CB5E36" w:rsidRPr="00CB5E36" w:rsidRDefault="005B38B2" w:rsidP="00CB5E36">
      <w:pPr>
        <w:pStyle w:val="ListParagraph"/>
        <w:numPr>
          <w:ilvl w:val="0"/>
          <w:numId w:val="12"/>
        </w:numPr>
        <w:spacing w:after="120"/>
        <w:ind w:right="-252"/>
        <w:rPr>
          <w:rFonts w:cs="Calibri"/>
        </w:rPr>
      </w:pPr>
      <w:r>
        <w:rPr>
          <w:rFonts w:cs="Calibri"/>
        </w:rPr>
        <w:t xml:space="preserve">Sector-specific adaptations are noted where standard indicators do not apply (e.g., financials, industrials, energy). </w:t>
      </w:r>
    </w:p>
    <w:p w14:paraId="3ACFEDF8" w14:textId="7211C249" w:rsidR="005B38B2" w:rsidRPr="00CB5E36" w:rsidRDefault="005B38B2" w:rsidP="00CB5E36">
      <w:pPr>
        <w:pStyle w:val="ListParagraph"/>
        <w:numPr>
          <w:ilvl w:val="0"/>
          <w:numId w:val="12"/>
        </w:numPr>
        <w:spacing w:after="120"/>
        <w:rPr>
          <w:rFonts w:cs="Calibri"/>
        </w:rPr>
      </w:pPr>
      <w:r>
        <w:rPr>
          <w:rFonts w:cs="Calibri"/>
        </w:rPr>
        <w:t>It is not designed for options, ETFs, short selling, or time horizons under 12 months.</w:t>
      </w:r>
    </w:p>
    <w:p w14:paraId="55E905B4" w14:textId="77777777" w:rsidR="005B38B2" w:rsidRDefault="005B38B2" w:rsidP="005B38B2">
      <w:pPr>
        <w:pStyle w:val="Heading2"/>
      </w:pPr>
      <w:r>
        <w:t>How to Use This System</w:t>
      </w:r>
    </w:p>
    <w:p w14:paraId="678CB696" w14:textId="77777777" w:rsidR="003C2E66" w:rsidRDefault="003C2E66" w:rsidP="00157A25">
      <w:pPr>
        <w:pStyle w:val="ListNumber"/>
        <w:numPr>
          <w:ilvl w:val="0"/>
          <w:numId w:val="9"/>
        </w:numPr>
        <w:rPr>
          <w:rFonts w:cstheme="minorBidi"/>
        </w:rPr>
      </w:pPr>
      <w:r>
        <w:t>Identify a candidate stock that fits the scope of the system.</w:t>
      </w:r>
    </w:p>
    <w:p w14:paraId="1C457D6C" w14:textId="77777777" w:rsidR="003C2E66" w:rsidRDefault="003C2E66" w:rsidP="00157A25">
      <w:pPr>
        <w:pStyle w:val="ListNumber"/>
        <w:numPr>
          <w:ilvl w:val="0"/>
          <w:numId w:val="9"/>
        </w:numPr>
        <w:rPr>
          <w:rFonts w:cstheme="minorBidi"/>
        </w:rPr>
      </w:pPr>
      <w:r>
        <w:t>Score all Tier 1 indicators first. If the Tier 1 weighted average is below 3.0, stop and reject the idea.</w:t>
      </w:r>
    </w:p>
    <w:p w14:paraId="30E96569" w14:textId="77777777" w:rsidR="003C2E66" w:rsidRDefault="003C2E66" w:rsidP="00157A25">
      <w:pPr>
        <w:pStyle w:val="ListNumber"/>
        <w:numPr>
          <w:ilvl w:val="0"/>
          <w:numId w:val="9"/>
        </w:numPr>
        <w:rPr>
          <w:rFonts w:cstheme="minorBidi"/>
        </w:rPr>
      </w:pPr>
      <w:r>
        <w:t>If Tier 1 passes, score Tier 2 and Tier 3 indicators and calculate the Composite Score.</w:t>
      </w:r>
    </w:p>
    <w:p w14:paraId="04E44A6F" w14:textId="77777777" w:rsidR="003C2E66" w:rsidRDefault="003C2E66" w:rsidP="00157A25">
      <w:pPr>
        <w:pStyle w:val="ListNumber"/>
        <w:numPr>
          <w:ilvl w:val="0"/>
          <w:numId w:val="9"/>
        </w:numPr>
        <w:rPr>
          <w:rFonts w:cstheme="minorBidi"/>
        </w:rPr>
      </w:pPr>
      <w:r>
        <w:t>Apply the decision thresholds to classify the stock as Strong Buy, Buy, Watch List, Avoid, or Pass.</w:t>
      </w:r>
    </w:p>
    <w:p w14:paraId="45083D45" w14:textId="77777777" w:rsidR="003C2E66" w:rsidRDefault="003C2E66" w:rsidP="00157A25">
      <w:pPr>
        <w:pStyle w:val="ListNumber"/>
        <w:numPr>
          <w:ilvl w:val="0"/>
          <w:numId w:val="9"/>
        </w:numPr>
        <w:rPr>
          <w:rFonts w:cstheme="minorBidi"/>
        </w:rPr>
      </w:pPr>
      <w:r>
        <w:t>If the stock qualifies for purchase, apply the entry checklist, implied return test, and position-sizing rules.</w:t>
      </w:r>
    </w:p>
    <w:p w14:paraId="68235BB4" w14:textId="77777777" w:rsidR="003C2E66" w:rsidRDefault="003C2E66" w:rsidP="00157A25">
      <w:pPr>
        <w:pStyle w:val="ListNumber"/>
        <w:numPr>
          <w:ilvl w:val="0"/>
          <w:numId w:val="9"/>
        </w:numPr>
        <w:rPr>
          <w:rFonts w:cstheme="minorBidi"/>
        </w:rPr>
      </w:pPr>
      <w:r>
        <w:t>Document the decision, key risks, and review triggers at the time of entry.</w:t>
      </w:r>
    </w:p>
    <w:p w14:paraId="2F81E7DA" w14:textId="77777777" w:rsidR="003C2E66" w:rsidRDefault="003C2E66" w:rsidP="00157A25">
      <w:pPr>
        <w:pStyle w:val="ListNumber"/>
        <w:numPr>
          <w:ilvl w:val="0"/>
          <w:numId w:val="9"/>
        </w:numPr>
        <w:rPr>
          <w:rFonts w:cstheme="minorBidi"/>
        </w:rPr>
      </w:pPr>
      <w:r>
        <w:t>Re-score holdings on the required review schedule and use the sell rules and maintenance process to keep the system current.</w:t>
      </w:r>
    </w:p>
    <w:p w14:paraId="25A85968" w14:textId="77777777" w:rsidR="005B38B2" w:rsidRDefault="005B38B2" w:rsidP="005B38B2">
      <w:pPr>
        <w:pStyle w:val="Heading1"/>
        <w:rPr>
          <w:rFonts w:cs="Calibri"/>
        </w:rPr>
      </w:pPr>
      <w:r>
        <w:rPr>
          <w:rFonts w:cs="Calibri"/>
        </w:rPr>
        <w:lastRenderedPageBreak/>
        <w:t>PART 2 — INDICATOR FRAMEWORK &amp; SCORING</w:t>
      </w:r>
    </w:p>
    <w:p w14:paraId="467AC1FF" w14:textId="77777777" w:rsidR="005B38B2" w:rsidRDefault="005B38B2">
      <w:pPr>
        <w:spacing w:after="120"/>
        <w:rPr>
          <w:rFonts w:cs="Calibri"/>
        </w:rPr>
      </w:pPr>
      <w:r>
        <w:rPr>
          <w:rFonts w:cs="Calibri"/>
        </w:rPr>
        <w:t>Once the investment universe is defined, the next step is to score each stock consistently. Every indicator receives a 1–5 score, which is multiplied by its weight to produce a weighted contribution. The sum of all weighted contributions becomes the Composite Score out of 100.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25"/>
        <w:gridCol w:w="8045"/>
      </w:tblGrid>
      <w:tr w:rsidR="005F5A80" w:rsidRPr="00C2475F" w14:paraId="2FCD539C" w14:textId="77777777" w:rsidTr="00C2475F">
        <w:trPr>
          <w:tblCellSpacing w:w="15" w:type="dxa"/>
          <w:jc w:val="center"/>
        </w:trPr>
        <w:tc>
          <w:tcPr>
            <w:tcW w:w="1080" w:type="dxa"/>
            <w:tcBorders>
              <w:top w:val="single" w:sz="8" w:space="0" w:color="CCCCCC"/>
              <w:left w:val="single" w:sz="8" w:space="0" w:color="CCCCCC"/>
              <w:bottom w:val="single" w:sz="8" w:space="0" w:color="CCCCCC"/>
              <w:right w:val="single" w:sz="8" w:space="0" w:color="CCCCCC"/>
            </w:tcBorders>
            <w:shd w:val="clear" w:color="auto" w:fill="D5E8F0"/>
            <w:tcMar>
              <w:top w:w="0" w:type="dxa"/>
              <w:left w:w="108" w:type="dxa"/>
              <w:bottom w:w="0" w:type="dxa"/>
              <w:right w:w="108" w:type="dxa"/>
            </w:tcMar>
            <w:vAlign w:val="center"/>
            <w:hideMark/>
          </w:tcPr>
          <w:p w14:paraId="6E713DF5" w14:textId="77777777" w:rsidR="005F5A80" w:rsidRPr="00C2475F" w:rsidRDefault="005F5A80">
            <w:pPr>
              <w:spacing w:after="0"/>
              <w:jc w:val="center"/>
              <w:rPr>
                <w:sz w:val="36"/>
                <w:szCs w:val="30"/>
              </w:rPr>
            </w:pPr>
            <w:r>
              <w:rPr>
                <w:b/>
                <w:bCs/>
                <w:color w:val="1F497D"/>
                <w:sz w:val="36"/>
                <w:szCs w:val="30"/>
              </w:rPr>
              <w:t>Score</w:t>
            </w:r>
          </w:p>
        </w:tc>
        <w:tc>
          <w:tcPr>
            <w:tcW w:w="8000" w:type="dxa"/>
            <w:tcBorders>
              <w:top w:val="single" w:sz="8" w:space="0" w:color="CCCCCC"/>
              <w:left w:val="nil"/>
              <w:bottom w:val="single" w:sz="8" w:space="0" w:color="CCCCCC"/>
              <w:right w:val="single" w:sz="8" w:space="0" w:color="CCCCCC"/>
            </w:tcBorders>
            <w:shd w:val="clear" w:color="auto" w:fill="D5E8F0"/>
            <w:tcMar>
              <w:top w:w="0" w:type="dxa"/>
              <w:left w:w="108" w:type="dxa"/>
              <w:bottom w:w="0" w:type="dxa"/>
              <w:right w:w="108" w:type="dxa"/>
            </w:tcMar>
            <w:vAlign w:val="center"/>
            <w:hideMark/>
          </w:tcPr>
          <w:p w14:paraId="0962D68B" w14:textId="77777777" w:rsidR="005F5A80" w:rsidRPr="00C2475F" w:rsidRDefault="005F5A80">
            <w:pPr>
              <w:spacing w:after="0"/>
              <w:jc w:val="center"/>
              <w:rPr>
                <w:sz w:val="36"/>
                <w:szCs w:val="30"/>
              </w:rPr>
            </w:pPr>
            <w:r>
              <w:rPr>
                <w:b/>
                <w:bCs/>
                <w:color w:val="1F497D"/>
                <w:sz w:val="36"/>
                <w:szCs w:val="30"/>
              </w:rPr>
              <w:t>Meaning</w:t>
            </w:r>
          </w:p>
        </w:tc>
      </w:tr>
      <w:tr w:rsidR="005F5A80" w:rsidRPr="00C2475F" w14:paraId="54562671" w14:textId="77777777" w:rsidTr="00C2475F">
        <w:trPr>
          <w:tblCellSpacing w:w="15" w:type="dxa"/>
          <w:jc w:val="center"/>
        </w:trPr>
        <w:tc>
          <w:tcPr>
            <w:tcW w:w="1080" w:type="dxa"/>
            <w:tcBorders>
              <w:top w:val="nil"/>
              <w:left w:val="single" w:sz="8" w:space="0" w:color="CCCCCC"/>
              <w:bottom w:val="single" w:sz="8" w:space="0" w:color="CCCCCC"/>
              <w:right w:val="single" w:sz="8" w:space="0" w:color="CCCCCC"/>
            </w:tcBorders>
            <w:shd w:val="clear" w:color="auto" w:fill="C2D69B"/>
            <w:tcMar>
              <w:top w:w="0" w:type="dxa"/>
              <w:left w:w="108" w:type="dxa"/>
              <w:bottom w:w="0" w:type="dxa"/>
              <w:right w:w="108" w:type="dxa"/>
            </w:tcMar>
            <w:vAlign w:val="center"/>
            <w:hideMark/>
          </w:tcPr>
          <w:p w14:paraId="730D5B97" w14:textId="77777777" w:rsidR="005F5A80" w:rsidRPr="00C2475F" w:rsidRDefault="005F5A80">
            <w:pPr>
              <w:spacing w:after="0"/>
              <w:jc w:val="center"/>
              <w:rPr>
                <w:sz w:val="36"/>
                <w:szCs w:val="30"/>
              </w:rPr>
            </w:pPr>
            <w:r>
              <w:rPr>
                <w:color w:val="000000"/>
                <w:sz w:val="36"/>
                <w:szCs w:val="30"/>
              </w:rPr>
              <w:t>5</w:t>
            </w:r>
          </w:p>
        </w:tc>
        <w:tc>
          <w:tcPr>
            <w:tcW w:w="8000" w:type="dxa"/>
            <w:tcBorders>
              <w:top w:val="nil"/>
              <w:left w:val="nil"/>
              <w:bottom w:val="single" w:sz="8" w:space="0" w:color="CCCCCC"/>
              <w:right w:val="single" w:sz="8" w:space="0" w:color="CCCCCC"/>
            </w:tcBorders>
            <w:shd w:val="clear" w:color="auto" w:fill="C2D69B"/>
            <w:tcMar>
              <w:top w:w="0" w:type="dxa"/>
              <w:left w:w="108" w:type="dxa"/>
              <w:bottom w:w="0" w:type="dxa"/>
              <w:right w:w="108" w:type="dxa"/>
            </w:tcMar>
            <w:vAlign w:val="center"/>
            <w:hideMark/>
          </w:tcPr>
          <w:p w14:paraId="627F9A7A" w14:textId="77777777" w:rsidR="005F5A80" w:rsidRPr="00C2475F" w:rsidRDefault="005F5A80">
            <w:pPr>
              <w:spacing w:after="0"/>
              <w:rPr>
                <w:sz w:val="36"/>
                <w:szCs w:val="30"/>
              </w:rPr>
            </w:pPr>
            <w:r>
              <w:rPr>
                <w:color w:val="000000"/>
                <w:sz w:val="36"/>
                <w:szCs w:val="30"/>
              </w:rPr>
              <w:t>Exceptional — top quintile, strong positive signal</w:t>
            </w:r>
          </w:p>
        </w:tc>
      </w:tr>
      <w:tr w:rsidR="005F5A80" w:rsidRPr="00C2475F" w14:paraId="6A2319E0" w14:textId="77777777" w:rsidTr="00C2475F">
        <w:trPr>
          <w:tblCellSpacing w:w="15" w:type="dxa"/>
          <w:jc w:val="center"/>
        </w:trPr>
        <w:tc>
          <w:tcPr>
            <w:tcW w:w="1080" w:type="dxa"/>
            <w:tcBorders>
              <w:top w:val="nil"/>
              <w:left w:val="single" w:sz="8" w:space="0" w:color="CCCCCC"/>
              <w:bottom w:val="single" w:sz="8" w:space="0" w:color="CCCCCC"/>
              <w:right w:val="single" w:sz="8" w:space="0" w:color="CCCCCC"/>
            </w:tcBorders>
            <w:shd w:val="clear" w:color="auto" w:fill="EAF1DD"/>
            <w:tcMar>
              <w:top w:w="0" w:type="dxa"/>
              <w:left w:w="108" w:type="dxa"/>
              <w:bottom w:w="0" w:type="dxa"/>
              <w:right w:w="108" w:type="dxa"/>
            </w:tcMar>
            <w:vAlign w:val="center"/>
            <w:hideMark/>
          </w:tcPr>
          <w:p w14:paraId="080D9B04" w14:textId="77777777" w:rsidR="005F5A80" w:rsidRPr="00C2475F" w:rsidRDefault="005F5A80">
            <w:pPr>
              <w:spacing w:after="0"/>
              <w:jc w:val="center"/>
              <w:rPr>
                <w:sz w:val="36"/>
                <w:szCs w:val="30"/>
              </w:rPr>
            </w:pPr>
            <w:r>
              <w:rPr>
                <w:color w:val="000000"/>
                <w:sz w:val="36"/>
                <w:szCs w:val="30"/>
              </w:rPr>
              <w:t>4</w:t>
            </w:r>
          </w:p>
        </w:tc>
        <w:tc>
          <w:tcPr>
            <w:tcW w:w="8000" w:type="dxa"/>
            <w:tcBorders>
              <w:top w:val="nil"/>
              <w:left w:val="nil"/>
              <w:bottom w:val="single" w:sz="8" w:space="0" w:color="CCCCCC"/>
              <w:right w:val="single" w:sz="8" w:space="0" w:color="CCCCCC"/>
            </w:tcBorders>
            <w:shd w:val="clear" w:color="auto" w:fill="EAF1DD"/>
            <w:tcMar>
              <w:top w:w="0" w:type="dxa"/>
              <w:left w:w="108" w:type="dxa"/>
              <w:bottom w:w="0" w:type="dxa"/>
              <w:right w:w="108" w:type="dxa"/>
            </w:tcMar>
            <w:vAlign w:val="center"/>
            <w:hideMark/>
          </w:tcPr>
          <w:p w14:paraId="0D009364" w14:textId="77777777" w:rsidR="005F5A80" w:rsidRPr="00C2475F" w:rsidRDefault="005F5A80">
            <w:pPr>
              <w:spacing w:after="0"/>
              <w:rPr>
                <w:sz w:val="36"/>
                <w:szCs w:val="30"/>
              </w:rPr>
            </w:pPr>
            <w:r>
              <w:rPr>
                <w:color w:val="000000"/>
                <w:sz w:val="36"/>
                <w:szCs w:val="30"/>
              </w:rPr>
              <w:t>Good — above average, mild positive signal</w:t>
            </w:r>
          </w:p>
        </w:tc>
      </w:tr>
      <w:tr w:rsidR="005F5A80" w:rsidRPr="00C2475F" w14:paraId="4DB075F0" w14:textId="77777777" w:rsidTr="00C2475F">
        <w:trPr>
          <w:tblCellSpacing w:w="15" w:type="dxa"/>
          <w:jc w:val="center"/>
        </w:trPr>
        <w:tc>
          <w:tcPr>
            <w:tcW w:w="1080" w:type="dxa"/>
            <w:tcBorders>
              <w:top w:val="nil"/>
              <w:left w:val="single" w:sz="8" w:space="0" w:color="CCCCCC"/>
              <w:bottom w:val="single" w:sz="8" w:space="0" w:color="CCCCCC"/>
              <w:right w:val="single" w:sz="8" w:space="0" w:color="CCCCCC"/>
            </w:tcBorders>
            <w:shd w:val="clear" w:color="auto" w:fill="F5F9FC"/>
            <w:tcMar>
              <w:top w:w="0" w:type="dxa"/>
              <w:left w:w="108" w:type="dxa"/>
              <w:bottom w:w="0" w:type="dxa"/>
              <w:right w:w="108" w:type="dxa"/>
            </w:tcMar>
            <w:vAlign w:val="center"/>
            <w:hideMark/>
          </w:tcPr>
          <w:p w14:paraId="5FA48934" w14:textId="77777777" w:rsidR="005F5A80" w:rsidRPr="00C2475F" w:rsidRDefault="005F5A80">
            <w:pPr>
              <w:spacing w:after="0"/>
              <w:jc w:val="center"/>
              <w:rPr>
                <w:sz w:val="36"/>
                <w:szCs w:val="30"/>
              </w:rPr>
            </w:pPr>
            <w:r>
              <w:rPr>
                <w:color w:val="000000"/>
                <w:sz w:val="36"/>
                <w:szCs w:val="30"/>
              </w:rPr>
              <w:t>3</w:t>
            </w:r>
          </w:p>
        </w:tc>
        <w:tc>
          <w:tcPr>
            <w:tcW w:w="8000" w:type="dxa"/>
            <w:tcBorders>
              <w:top w:val="nil"/>
              <w:left w:val="nil"/>
              <w:bottom w:val="single" w:sz="8" w:space="0" w:color="CCCCCC"/>
              <w:right w:val="single" w:sz="8" w:space="0" w:color="CCCCCC"/>
            </w:tcBorders>
            <w:shd w:val="clear" w:color="auto" w:fill="F5F9FC"/>
            <w:tcMar>
              <w:top w:w="0" w:type="dxa"/>
              <w:left w:w="108" w:type="dxa"/>
              <w:bottom w:w="0" w:type="dxa"/>
              <w:right w:w="108" w:type="dxa"/>
            </w:tcMar>
            <w:vAlign w:val="center"/>
            <w:hideMark/>
          </w:tcPr>
          <w:p w14:paraId="46308022" w14:textId="77777777" w:rsidR="005F5A80" w:rsidRPr="00C2475F" w:rsidRDefault="005F5A80">
            <w:pPr>
              <w:spacing w:after="0"/>
              <w:rPr>
                <w:sz w:val="36"/>
                <w:szCs w:val="30"/>
              </w:rPr>
            </w:pPr>
            <w:r>
              <w:rPr>
                <w:color w:val="000000"/>
                <w:sz w:val="36"/>
                <w:szCs w:val="30"/>
              </w:rPr>
              <w:t>Neutral — average, neither confirms nor disqualifies</w:t>
            </w:r>
          </w:p>
        </w:tc>
      </w:tr>
      <w:tr w:rsidR="005F5A80" w:rsidRPr="00C2475F" w14:paraId="432068B2" w14:textId="77777777" w:rsidTr="00C2475F">
        <w:trPr>
          <w:tblCellSpacing w:w="15" w:type="dxa"/>
          <w:jc w:val="center"/>
        </w:trPr>
        <w:tc>
          <w:tcPr>
            <w:tcW w:w="1080" w:type="dxa"/>
            <w:tcBorders>
              <w:top w:val="nil"/>
              <w:left w:val="single" w:sz="8" w:space="0" w:color="CCCCCC"/>
              <w:bottom w:val="single" w:sz="8" w:space="0" w:color="CCCCCC"/>
              <w:right w:val="single" w:sz="8" w:space="0" w:color="CCCCCC"/>
            </w:tcBorders>
            <w:shd w:val="clear" w:color="auto" w:fill="F2DBDB" w:themeFill="accent2" w:themeFillTint="33"/>
            <w:tcMar>
              <w:top w:w="0" w:type="dxa"/>
              <w:left w:w="108" w:type="dxa"/>
              <w:bottom w:w="0" w:type="dxa"/>
              <w:right w:w="108" w:type="dxa"/>
            </w:tcMar>
            <w:vAlign w:val="center"/>
            <w:hideMark/>
          </w:tcPr>
          <w:p w14:paraId="05A94D03" w14:textId="77777777" w:rsidR="005F5A80" w:rsidRPr="00C2475F" w:rsidRDefault="005F5A80">
            <w:pPr>
              <w:spacing w:after="0"/>
              <w:jc w:val="center"/>
              <w:rPr>
                <w:sz w:val="36"/>
                <w:szCs w:val="30"/>
              </w:rPr>
            </w:pPr>
            <w:r>
              <w:rPr>
                <w:color w:val="000000"/>
                <w:sz w:val="36"/>
                <w:szCs w:val="30"/>
              </w:rPr>
              <w:t>2</w:t>
            </w:r>
          </w:p>
        </w:tc>
        <w:tc>
          <w:tcPr>
            <w:tcW w:w="8000" w:type="dxa"/>
            <w:tcBorders>
              <w:top w:val="nil"/>
              <w:left w:val="nil"/>
              <w:bottom w:val="single" w:sz="8" w:space="0" w:color="CCCCCC"/>
              <w:right w:val="single" w:sz="8" w:space="0" w:color="CCCCCC"/>
            </w:tcBorders>
            <w:shd w:val="clear" w:color="auto" w:fill="F2DBDB" w:themeFill="accent2" w:themeFillTint="33"/>
            <w:tcMar>
              <w:top w:w="0" w:type="dxa"/>
              <w:left w:w="108" w:type="dxa"/>
              <w:bottom w:w="0" w:type="dxa"/>
              <w:right w:w="108" w:type="dxa"/>
            </w:tcMar>
            <w:vAlign w:val="center"/>
            <w:hideMark/>
          </w:tcPr>
          <w:p w14:paraId="4AFC10E1" w14:textId="77777777" w:rsidR="005F5A80" w:rsidRPr="00C2475F" w:rsidRDefault="005F5A80">
            <w:pPr>
              <w:spacing w:after="0"/>
              <w:rPr>
                <w:sz w:val="36"/>
                <w:szCs w:val="30"/>
              </w:rPr>
            </w:pPr>
            <w:r>
              <w:rPr>
                <w:color w:val="000000"/>
                <w:sz w:val="36"/>
                <w:szCs w:val="30"/>
              </w:rPr>
              <w:t>Weak — below average, mild negative signal</w:t>
            </w:r>
          </w:p>
        </w:tc>
      </w:tr>
      <w:tr w:rsidR="005F5A80" w:rsidRPr="00C2475F" w14:paraId="085886C2" w14:textId="77777777" w:rsidTr="00C2475F">
        <w:trPr>
          <w:tblCellSpacing w:w="15" w:type="dxa"/>
          <w:jc w:val="center"/>
        </w:trPr>
        <w:tc>
          <w:tcPr>
            <w:tcW w:w="1080" w:type="dxa"/>
            <w:tcBorders>
              <w:top w:val="nil"/>
              <w:left w:val="single" w:sz="8" w:space="0" w:color="CCCCCC"/>
              <w:bottom w:val="single" w:sz="8" w:space="0" w:color="CCCCCC"/>
              <w:right w:val="single" w:sz="8" w:space="0" w:color="CCCCCC"/>
            </w:tcBorders>
            <w:shd w:val="clear" w:color="auto" w:fill="D99594" w:themeFill="accent2" w:themeFillTint="99"/>
            <w:tcMar>
              <w:top w:w="0" w:type="dxa"/>
              <w:left w:w="108" w:type="dxa"/>
              <w:bottom w:w="0" w:type="dxa"/>
              <w:right w:w="108" w:type="dxa"/>
            </w:tcMar>
            <w:vAlign w:val="center"/>
            <w:hideMark/>
          </w:tcPr>
          <w:p w14:paraId="4D5D5027" w14:textId="77777777" w:rsidR="005F5A80" w:rsidRPr="00C2475F" w:rsidRDefault="005F5A80">
            <w:pPr>
              <w:spacing w:after="0"/>
              <w:jc w:val="center"/>
              <w:rPr>
                <w:sz w:val="36"/>
                <w:szCs w:val="30"/>
              </w:rPr>
            </w:pPr>
            <w:r>
              <w:rPr>
                <w:color w:val="000000"/>
                <w:sz w:val="36"/>
                <w:szCs w:val="30"/>
              </w:rPr>
              <w:t>1</w:t>
            </w:r>
          </w:p>
        </w:tc>
        <w:tc>
          <w:tcPr>
            <w:tcW w:w="8000" w:type="dxa"/>
            <w:tcBorders>
              <w:top w:val="nil"/>
              <w:left w:val="nil"/>
              <w:bottom w:val="single" w:sz="8" w:space="0" w:color="CCCCCC"/>
              <w:right w:val="single" w:sz="8" w:space="0" w:color="CCCCCC"/>
            </w:tcBorders>
            <w:shd w:val="clear" w:color="auto" w:fill="D99594" w:themeFill="accent2" w:themeFillTint="99"/>
            <w:tcMar>
              <w:top w:w="0" w:type="dxa"/>
              <w:left w:w="108" w:type="dxa"/>
              <w:bottom w:w="0" w:type="dxa"/>
              <w:right w:w="108" w:type="dxa"/>
            </w:tcMar>
            <w:vAlign w:val="center"/>
            <w:hideMark/>
          </w:tcPr>
          <w:p w14:paraId="0FD8B9B1" w14:textId="77777777" w:rsidR="005F5A80" w:rsidRPr="00C2475F" w:rsidRDefault="005F5A80">
            <w:pPr>
              <w:spacing w:after="0"/>
              <w:rPr>
                <w:sz w:val="36"/>
                <w:szCs w:val="30"/>
              </w:rPr>
            </w:pPr>
            <w:r>
              <w:rPr>
                <w:color w:val="000000"/>
                <w:sz w:val="36"/>
                <w:szCs w:val="30"/>
              </w:rPr>
              <w:t>Poor — bottom quintile, red flag</w:t>
            </w:r>
          </w:p>
        </w:tc>
      </w:tr>
    </w:tbl>
    <w:p w14:paraId="5847C60D" w14:textId="77777777" w:rsidR="006835D7" w:rsidRDefault="006835D7" w:rsidP="005B38B2">
      <w:pPr>
        <w:pStyle w:val="Heading2"/>
      </w:pPr>
    </w:p>
    <w:p w14:paraId="2A5C2409" w14:textId="77777777" w:rsidR="006835D7" w:rsidRDefault="006835D7">
      <w:pPr>
        <w:spacing w:line="276" w:lineRule="auto"/>
        <w:rPr>
          <w:rFonts w:asciiTheme="majorHAnsi" w:eastAsiaTheme="majorEastAsia" w:hAnsiTheme="majorHAnsi" w:cstheme="majorBidi"/>
          <w:b/>
          <w:bCs/>
          <w:color w:val="4F81BD" w:themeColor="accent1"/>
          <w:sz w:val="26"/>
          <w:szCs w:val="26"/>
        </w:rPr>
      </w:pPr>
      <w:r>
        <w:br w:type="page"/>
      </w:r>
    </w:p>
    <w:p w14:paraId="47367095" w14:textId="5485C179" w:rsidR="005B38B2" w:rsidRDefault="005B38B2" w:rsidP="005B38B2">
      <w:pPr>
        <w:pStyle w:val="Heading2"/>
      </w:pPr>
      <w:r>
        <w:lastRenderedPageBreak/>
        <w:t>Tier 1 — Highest Predictive Weight (70% of Decision)</w:t>
      </w:r>
    </w:p>
    <w:p w14:paraId="0E89CF23" w14:textId="77777777" w:rsidR="005B38B2" w:rsidRDefault="005B38B2">
      <w:pPr>
        <w:spacing w:after="120"/>
        <w:rPr>
          <w:rFonts w:cs="Calibri"/>
        </w:rPr>
      </w:pPr>
      <w:r>
        <w:rPr>
          <w:rFonts w:cs="Calibri"/>
        </w:rPr>
        <w:t>Tier 1 drives the decision because it measures the core economics of the business. A stock must earn at least a 3.0 Tier 1 weighted average to continue through the process.</w:t>
      </w:r>
    </w:p>
    <w:tbl>
      <w:tblPr>
        <w:tblStyle w:val="TableGrid"/>
        <w:tblW w:w="10345" w:type="dxa"/>
        <w:tblLook w:val="04A0" w:firstRow="1" w:lastRow="0" w:firstColumn="1" w:lastColumn="0" w:noHBand="0" w:noVBand="1"/>
      </w:tblPr>
      <w:tblGrid>
        <w:gridCol w:w="1345"/>
        <w:gridCol w:w="630"/>
        <w:gridCol w:w="3780"/>
        <w:gridCol w:w="4590"/>
      </w:tblGrid>
      <w:tr w:rsidR="006835D7" w:rsidRPr="00B41806" w14:paraId="6978D41F"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7DC1E5F" w14:textId="77777777"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b/>
                <w:color w:val="1F497D"/>
                <w:sz w:val="21"/>
                <w:szCs w:val="28"/>
              </w:rPr>
              <w:t>Indicator</w:t>
            </w:r>
          </w:p>
        </w:tc>
        <w:tc>
          <w:tcPr>
            <w:tcW w:w="63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3286063E" w14:textId="1C194AD3"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b/>
                <w:color w:val="1F497D"/>
                <w:sz w:val="21"/>
                <w:szCs w:val="28"/>
              </w:rPr>
              <w:t>Wt</w:t>
            </w:r>
          </w:p>
        </w:tc>
        <w:tc>
          <w:tcPr>
            <w:tcW w:w="378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AAA494B" w14:textId="4C59C02E"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b/>
                <w:color w:val="1F497D"/>
                <w:sz w:val="21"/>
                <w:szCs w:val="28"/>
              </w:rPr>
              <w:t xml:space="preserve">Scoring Rubric </w:t>
              <w:br/>
              <w:t>(1–5)</w:t>
            </w:r>
          </w:p>
        </w:tc>
        <w:tc>
          <w:tcPr>
            <w:tcW w:w="459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1CABB1B" w14:textId="77777777"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b/>
                <w:color w:val="1F497D"/>
                <w:sz w:val="21"/>
                <w:szCs w:val="28"/>
              </w:rPr>
              <w:t>Sector Adaptation</w:t>
            </w:r>
          </w:p>
        </w:tc>
      </w:tr>
      <w:tr w:rsidR="006835D7" w:rsidRPr="00B41806" w14:paraId="07002268"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5B6E96E1" w14:textId="02FBBEDF"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sz w:val="21"/>
                <w:szCs w:val="28"/>
              </w:rPr>
              <w:t xml:space="preserve">Free Cash Flow Yield &amp; Trend</w:t>
            </w:r>
          </w:p>
        </w:tc>
        <w:tc>
          <w:tcPr>
            <w:tcW w:w="63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3C9F2BFA" w14:textId="049A50B3"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20%</w:t>
            </w:r>
          </w:p>
        </w:tc>
        <w:tc>
          <w:tcPr>
            <w:tcW w:w="37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4166E16C"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5=FCF yield &gt;6% expanding YoY; </w:t>
            </w:r>
          </w:p>
          <w:p w14:paraId="22E2D0A4"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4=yield 4–6% stable/growing; </w:t>
            </w:r>
          </w:p>
          <w:p w14:paraId="726AE656"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3=yield 2–4% flat; </w:t>
            </w:r>
          </w:p>
          <w:p w14:paraId="0A136B61"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2=yield &lt;2% or declining; </w:t>
            </w:r>
          </w:p>
          <w:p w14:paraId="260B1E90"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1=negative FCF or structural burn</w:t>
            </w:r>
          </w:p>
        </w:tc>
        <w:tc>
          <w:tcPr>
            <w:tcW w:w="459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3A0483E"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Financials: substitute ROE trend vs. peers. Early-stage growth: use FCF margin trajectory direction.</w:t>
            </w:r>
          </w:p>
        </w:tc>
      </w:tr>
      <w:tr w:rsidR="006835D7" w:rsidRPr="00B41806" w14:paraId="188A8BDC"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34A5E2" w14:textId="318294BA"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sz w:val="21"/>
                <w:szCs w:val="28"/>
              </w:rPr>
              <w:t xml:space="preserve">Revenue Growth </w:t>
              <w:br/>
              <w:t>Consistency</w:t>
            </w:r>
          </w:p>
        </w:tc>
        <w:tc>
          <w:tcPr>
            <w:tcW w:w="63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CC8820" w14:textId="12842E6C"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15%</w:t>
            </w:r>
          </w:p>
        </w:tc>
        <w:tc>
          <w:tcPr>
            <w:tcW w:w="3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8EEFDE"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5=15%+ CAGR, &lt;15% variance over 5 yrs;</w:t>
            </w:r>
          </w:p>
          <w:p w14:paraId="6894F2FC"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4=10–15% CAGR low variance; </w:t>
            </w:r>
          </w:p>
          <w:p w14:paraId="353A977F"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3=5–10% CAGR moderate variance; </w:t>
            </w:r>
          </w:p>
          <w:p w14:paraId="23D2B6D5"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2=&lt;5% CAGR or high variance; </w:t>
            </w:r>
          </w:p>
          <w:p w14:paraId="65BCDF18"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1=declining or serial misses</w:t>
            </w:r>
          </w:p>
        </w:tc>
        <w:tc>
          <w:tcPr>
            <w:tcW w:w="459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C79422"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Cyclicals (energy/materials): normalize for commodity cycles. Use volume growth as secondary check.</w:t>
            </w:r>
          </w:p>
        </w:tc>
      </w:tr>
      <w:tr w:rsidR="006835D7" w:rsidRPr="00B41806" w14:paraId="43C719FF"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624308B" w14:textId="7990668E"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sz w:val="21"/>
                <w:szCs w:val="28"/>
              </w:rPr>
              <w:t xml:space="preserve">Competitive </w:t>
              <w:br/>
              <w:t>Moat Quality</w:t>
            </w:r>
          </w:p>
        </w:tc>
        <w:tc>
          <w:tcPr>
            <w:tcW w:w="63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5671220" w14:textId="337F86CB"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15%</w:t>
            </w:r>
          </w:p>
        </w:tc>
        <w:tc>
          <w:tcPr>
            <w:tcW w:w="37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5E2F0FFE"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5=Wide moat — multiple reinforcing advantages; </w:t>
            </w:r>
          </w:p>
          <w:p w14:paraId="4E857038"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4=Narrow but durable — one strong advantage; </w:t>
            </w:r>
          </w:p>
          <w:p w14:paraId="702EF23A"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3=Mild moat, contestable; </w:t>
            </w:r>
          </w:p>
          <w:p w14:paraId="540F8BC3"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2=No clear moat, competes on price; </w:t>
            </w:r>
          </w:p>
          <w:p w14:paraId="737198DF"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1=Actively losing position</w:t>
            </w:r>
          </w:p>
        </w:tc>
        <w:tc>
          <w:tcPr>
            <w:tcW w:w="459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8028577"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Use Morningstar moat ratings as cross-check. Moat must be forward-looking, not just historical. For small/mid caps where Morningstar coverage is absent, the following cross-check is MANDATORY: (a) Pricing power test: has the company raised prices above CPI in the past 5 years without material volume loss? (b) Gross margin vs. industry median: &gt;5pp above median is evidence of pricing power (score +1 confidence); (c) Revenue retention/churn: net revenue retention &gt;110% (SaaS) or multi-year customer tenure and contract length; (d) Switching cost evidence: integration depth, data lock-in, or retraining/migration costs that prevent defection. A score of 4 or 5 requires positive evidence on at least two of the four tests above.</w:t>
            </w:r>
          </w:p>
        </w:tc>
      </w:tr>
      <w:tr w:rsidR="006835D7" w:rsidRPr="00B41806" w14:paraId="7C4D4153"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3D1777" w14:textId="6F259C23"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sz w:val="21"/>
                <w:szCs w:val="28"/>
              </w:rPr>
              <w:t>Revenue Visibility</w:t>
              <w:br/>
              <w:t>(ARR/RPO/</w:t>
              <w:br/>
              <w:t>Backlog/</w:t>
              <w:br/>
              <w:t>Contracted)</w:t>
            </w:r>
          </w:p>
        </w:tc>
        <w:tc>
          <w:tcPr>
            <w:tcW w:w="63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BA032C" w14:textId="74CB974D"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10%</w:t>
            </w:r>
          </w:p>
        </w:tc>
        <w:tc>
          <w:tcPr>
            <w:tcW w:w="3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18B21B"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5=&gt;80% of next-12mo revenue under contract/recurring; </w:t>
            </w:r>
          </w:p>
          <w:p w14:paraId="3775B111"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4=60–80%; </w:t>
            </w:r>
          </w:p>
          <w:p w14:paraId="3916AB5F"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3=40–60%; </w:t>
            </w:r>
          </w:p>
          <w:p w14:paraId="35B93F51"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2=20–40%; </w:t>
            </w:r>
          </w:p>
          <w:p w14:paraId="1EBEDE2B"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1=&lt;20% (fully transactional)</w:t>
            </w:r>
          </w:p>
        </w:tc>
        <w:tc>
          <w:tcPr>
            <w:tcW w:w="459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5DE600"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NOTE: The 5-point rubric thresholds (80%+ ARR = score 5) are calibrated for SaaS and subscription businesses. Non-subscription businesses must be benchmarked against sector peers rather than these absolute thresholds. Sector adaptations: Industrials/defense: backlog-to-revenue ratio (&gt;3x backlog = score 5); Consumer staples: repeat purchase rate and private-label loyalty; Healthcare: formulary coverage, contract renewal rates, and payer concentration; Financials: deposit stability and net interest margin predictability. For cyclical businesses, use the most recent full-cycle average, not peak-cycle figures.</w:t>
            </w:r>
          </w:p>
        </w:tc>
      </w:tr>
      <w:tr w:rsidR="006835D7" w:rsidRPr="00B41806" w14:paraId="0CBE244C" w14:textId="77777777" w:rsidTr="00145E8B">
        <w:tc>
          <w:tcPr>
            <w:tcW w:w="134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3ACFF740" w14:textId="77777777" w:rsidR="006835D7" w:rsidRPr="00D32150" w:rsidRDefault="006835D7" w:rsidP="006835D7">
            <w:pPr>
              <w:jc w:val="center"/>
              <w:rPr>
                <w:rFonts w:asciiTheme="majorHAnsi" w:hAnsiTheme="majorHAnsi" w:cstheme="majorHAnsi"/>
                <w:sz w:val="21"/>
                <w:szCs w:val="28"/>
              </w:rPr>
            </w:pPr>
            <w:r>
              <w:rPr>
                <w:rFonts w:asciiTheme="majorHAnsi" w:hAnsiTheme="majorHAnsi" w:cstheme="majorHAnsi"/>
                <w:sz w:val="21"/>
                <w:szCs w:val="28"/>
              </w:rPr>
              <w:t>FCF Margin Trend</w:t>
            </w:r>
          </w:p>
        </w:tc>
        <w:tc>
          <w:tcPr>
            <w:tcW w:w="63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574D33E1" w14:textId="3F81271E"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10%</w:t>
            </w:r>
          </w:p>
        </w:tc>
        <w:tc>
          <w:tcPr>
            <w:tcW w:w="37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47CC3294"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5=FCF margin &gt;25% expanding; </w:t>
            </w:r>
          </w:p>
          <w:p w14:paraId="7FBD2A8F"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4=15–25% stable/expanding; </w:t>
            </w:r>
          </w:p>
          <w:p w14:paraId="1716A524"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3=5–15% flat; </w:t>
            </w:r>
          </w:p>
          <w:p w14:paraId="5ACA0CD9" w14:textId="77777777" w:rsidR="006835D7" w:rsidRDefault="006835D7" w:rsidP="006835D7">
            <w:pPr>
              <w:rPr>
                <w:rFonts w:asciiTheme="majorHAnsi" w:hAnsiTheme="majorHAnsi" w:cstheme="majorHAnsi"/>
                <w:sz w:val="21"/>
                <w:szCs w:val="28"/>
              </w:rPr>
            </w:pPr>
            <w:r>
              <w:rPr>
                <w:rFonts w:asciiTheme="majorHAnsi" w:hAnsiTheme="majorHAnsi" w:cstheme="majorHAnsi"/>
                <w:sz w:val="21"/>
                <w:szCs w:val="28"/>
              </w:rPr>
              <w:t xml:space="preserve">2=&lt;5% or contracting; </w:t>
            </w:r>
          </w:p>
          <w:p w14:paraId="145BD892"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1=Negative and deteriorating</w:t>
            </w:r>
          </w:p>
        </w:tc>
        <w:tc>
          <w:tcPr>
            <w:tcW w:w="459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2290168F" w14:textId="77777777" w:rsidR="006835D7" w:rsidRPr="00D32150" w:rsidRDefault="006835D7" w:rsidP="006835D7">
            <w:pPr>
              <w:rPr>
                <w:rFonts w:asciiTheme="majorHAnsi" w:hAnsiTheme="majorHAnsi" w:cstheme="majorHAnsi"/>
                <w:sz w:val="21"/>
                <w:szCs w:val="28"/>
              </w:rPr>
            </w:pPr>
            <w:r>
              <w:rPr>
                <w:rFonts w:asciiTheme="majorHAnsi" w:hAnsiTheme="majorHAnsi" w:cstheme="majorHAnsi"/>
                <w:sz w:val="21"/>
                <w:szCs w:val="28"/>
              </w:rPr>
              <w:t>Capital-intensive businesses (utilities, telco): benchmark within sector, not absolute.</w:t>
            </w:r>
          </w:p>
        </w:tc>
      </w:tr>
    </w:tbl>
    <w:p w14:paraId="47829559" w14:textId="77777777" w:rsidR="00DA4EF2" w:rsidRDefault="00DA4EF2">
      <w:pPr>
        <w:spacing w:line="276" w:lineRule="auto"/>
        <w:rPr>
          <w:rFonts w:asciiTheme="majorHAnsi" w:eastAsiaTheme="majorEastAsia" w:hAnsiTheme="majorHAnsi" w:cstheme="majorBidi"/>
          <w:b/>
          <w:bCs/>
          <w:color w:val="4F81BD" w:themeColor="accent1"/>
          <w:sz w:val="26"/>
          <w:szCs w:val="26"/>
        </w:rPr>
      </w:pPr>
      <w:r>
        <w:br w:type="page"/>
      </w:r>
    </w:p>
    <w:p w14:paraId="77A85DE8" w14:textId="77777777" w:rsidR="005B38B2" w:rsidRDefault="005B38B2" w:rsidP="005B38B2">
      <w:pPr>
        <w:pStyle w:val="Heading2"/>
      </w:pPr>
      <w:r>
        <w:lastRenderedPageBreak/>
        <w:t>Tier 2 — High Importance (23% of Decision)</w:t>
      </w:r>
    </w:p>
    <w:p w14:paraId="112780AD" w14:textId="77777777" w:rsidR="005B38B2" w:rsidRDefault="005B38B2">
      <w:pPr>
        <w:spacing w:after="120"/>
        <w:rPr>
          <w:rFonts w:cs="Calibri"/>
        </w:rPr>
      </w:pPr>
      <w:r>
        <w:rPr>
          <w:rFonts w:cs="Calibri"/>
        </w:rPr>
        <w:t>Tier 2 indicators confirm business quality, capital discipline, and market sponsorship. Strong readings increase conviction, while weak readings require a clear explanation before capital is committed.</w:t>
      </w:r>
    </w:p>
    <w:tbl>
      <w:tblPr>
        <w:tblStyle w:val="TableGrid"/>
        <w:tblW w:w="0" w:type="auto"/>
        <w:jc w:val="center"/>
        <w:tblLook w:val="04A0" w:firstRow="1" w:lastRow="0" w:firstColumn="1" w:lastColumn="0" w:noHBand="0" w:noVBand="1"/>
      </w:tblPr>
      <w:tblGrid>
        <w:gridCol w:w="1705"/>
        <w:gridCol w:w="576"/>
        <w:gridCol w:w="4099"/>
        <w:gridCol w:w="3965"/>
      </w:tblGrid>
      <w:tr w:rsidR="002F4EDF" w:rsidRPr="00B41806" w14:paraId="14DA4FCE" w14:textId="77777777" w:rsidTr="00C2475F">
        <w:trPr>
          <w:jc w:val="center"/>
        </w:trPr>
        <w:tc>
          <w:tcPr>
            <w:tcW w:w="1705"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338015D6" w14:textId="77777777" w:rsidR="002F4EDF" w:rsidRPr="00D32150"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Indicator</w:t>
            </w:r>
          </w:p>
        </w:tc>
        <w:tc>
          <w:tcPr>
            <w:tcW w:w="576"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3D273EE" w14:textId="77777777" w:rsidR="002F4EDF" w:rsidRPr="00D32150"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Wt</w:t>
            </w:r>
          </w:p>
        </w:tc>
        <w:tc>
          <w:tcPr>
            <w:tcW w:w="4099"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4BB64C59" w14:textId="77777777" w:rsidR="002F4EDF" w:rsidRPr="00D32150"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Scoring Rubric (1–5)</w:t>
            </w:r>
          </w:p>
        </w:tc>
        <w:tc>
          <w:tcPr>
            <w:tcW w:w="3965"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2B9BD8D6" w14:textId="77777777" w:rsidR="002F4EDF" w:rsidRPr="00D32150"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Sector Adaptation</w:t>
            </w:r>
          </w:p>
        </w:tc>
      </w:tr>
      <w:tr w:rsidR="002F4EDF" w:rsidRPr="00B41806" w14:paraId="315D8EEC" w14:textId="77777777" w:rsidTr="00C2475F">
        <w:trPr>
          <w:jc w:val="center"/>
        </w:trPr>
        <w:tc>
          <w:tcPr>
            <w:tcW w:w="170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6343EF2" w14:textId="77777777" w:rsidR="002F4EDF" w:rsidRPr="00D32150" w:rsidRDefault="00000000" w:rsidP="00382F9D">
            <w:pPr>
              <w:jc w:val="center"/>
              <w:rPr>
                <w:rFonts w:asciiTheme="majorHAnsi" w:hAnsiTheme="majorHAnsi" w:cstheme="majorHAnsi"/>
                <w:sz w:val="21"/>
                <w:szCs w:val="28"/>
              </w:rPr>
            </w:pPr>
            <w:r>
              <w:rPr>
                <w:rFonts w:asciiTheme="majorHAnsi" w:hAnsiTheme="majorHAnsi" w:cstheme="majorHAnsi"/>
                <w:sz w:val="21"/>
                <w:szCs w:val="28"/>
              </w:rPr>
              <w:t>Management Quality &amp; Capital Allocation</w:t>
            </w:r>
          </w:p>
        </w:tc>
        <w:tc>
          <w:tcPr>
            <w:tcW w:w="576"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D5F8AB9"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8%</w:t>
            </w:r>
          </w:p>
        </w:tc>
        <w:tc>
          <w:tcPr>
            <w:tcW w:w="4099"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559DFFC"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5=Founder/operator, exemplary FCF deployment, no dilution; </w:t>
            </w:r>
          </w:p>
          <w:p w14:paraId="63F274ED"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4=Strong track record, minor concerns; </w:t>
            </w:r>
          </w:p>
          <w:p w14:paraId="677C92A5"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3=Mixed or new CEO; </w:t>
            </w:r>
          </w:p>
          <w:p w14:paraId="3112A905"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2=Value-destructive M&amp;A or excess dilution;</w:t>
            </w:r>
          </w:p>
          <w:p w14:paraId="33EAFFEE"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1=Serial misallocator or governance red flags</w:t>
            </w:r>
          </w:p>
        </w:tc>
        <w:tc>
          <w:tcPr>
            <w:tcW w:w="396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59692281"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Review 5+ years of capital allocation. New CEOs default to 3 until track record established.</w:t>
            </w:r>
          </w:p>
        </w:tc>
      </w:tr>
      <w:tr w:rsidR="002F4EDF" w:rsidRPr="00B41806" w14:paraId="6CF44006" w14:textId="77777777" w:rsidTr="00C2475F">
        <w:trPr>
          <w:jc w:val="center"/>
        </w:trPr>
        <w:tc>
          <w:tcPr>
            <w:tcW w:w="170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40C853" w14:textId="77777777" w:rsidR="002F4EDF" w:rsidRPr="00D32150" w:rsidRDefault="00000000" w:rsidP="00382F9D">
            <w:pPr>
              <w:jc w:val="center"/>
              <w:rPr>
                <w:rFonts w:asciiTheme="majorHAnsi" w:hAnsiTheme="majorHAnsi" w:cstheme="majorHAnsi"/>
                <w:sz w:val="21"/>
                <w:szCs w:val="28"/>
              </w:rPr>
            </w:pPr>
            <w:r>
              <w:rPr>
                <w:rFonts w:asciiTheme="majorHAnsi" w:hAnsiTheme="majorHAnsi" w:cstheme="majorHAnsi"/>
                <w:sz w:val="21"/>
                <w:szCs w:val="28"/>
              </w:rPr>
              <w:t>ROIC vs. WACC Spread</w:t>
            </w:r>
          </w:p>
        </w:tc>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521B20"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6%</w:t>
            </w:r>
          </w:p>
        </w:tc>
        <w:tc>
          <w:tcPr>
            <w:tcW w:w="409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E787F3"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5=ROIC &gt;20%, above WACC by &gt;10pp; </w:t>
            </w:r>
          </w:p>
          <w:p w14:paraId="06572948"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4=ROIC 15–20%, above WACC 5–10pp; </w:t>
            </w:r>
          </w:p>
          <w:p w14:paraId="58D764E1"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3=ROIC modestly above WACC; </w:t>
            </w:r>
          </w:p>
          <w:p w14:paraId="5A45EEA4"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2=ROIC below or converging to WACC; </w:t>
            </w:r>
          </w:p>
          <w:p w14:paraId="47E100CA"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1=ROIC persistently below WACC</w:t>
            </w:r>
          </w:p>
        </w:tc>
        <w:tc>
          <w:tcPr>
            <w:tcW w:w="39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E81ED9"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Asset-heavy: use ROCE. Financials: use ROE vs. cost of equity.</w:t>
            </w:r>
          </w:p>
        </w:tc>
      </w:tr>
      <w:tr w:rsidR="002F4EDF" w:rsidRPr="00B41806" w14:paraId="76673756" w14:textId="77777777" w:rsidTr="00C2475F">
        <w:trPr>
          <w:jc w:val="center"/>
        </w:trPr>
        <w:tc>
          <w:tcPr>
            <w:tcW w:w="170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7149142C" w14:textId="77777777" w:rsidR="002F4EDF" w:rsidRPr="00D32150" w:rsidRDefault="00000000" w:rsidP="00382F9D">
            <w:pPr>
              <w:jc w:val="center"/>
              <w:rPr>
                <w:rFonts w:asciiTheme="majorHAnsi" w:hAnsiTheme="majorHAnsi" w:cstheme="majorHAnsi"/>
                <w:sz w:val="21"/>
                <w:szCs w:val="28"/>
              </w:rPr>
            </w:pPr>
            <w:r>
              <w:rPr>
                <w:rFonts w:asciiTheme="majorHAnsi" w:hAnsiTheme="majorHAnsi" w:cstheme="majorHAnsi"/>
                <w:sz w:val="21"/>
                <w:szCs w:val="28"/>
              </w:rPr>
              <w:t>Relative Strength vs. SPY (6–12 mo.)</w:t>
            </w:r>
          </w:p>
        </w:tc>
        <w:tc>
          <w:tcPr>
            <w:tcW w:w="576"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B97CEB4"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3%</w:t>
            </w:r>
          </w:p>
        </w:tc>
        <w:tc>
          <w:tcPr>
            <w:tcW w:w="4099"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29E18677"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5=Outperforming SPY by &gt;15%; </w:t>
            </w:r>
          </w:p>
          <w:p w14:paraId="4BF04A1D"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4=Outperforming 5–15%; </w:t>
            </w:r>
          </w:p>
          <w:p w14:paraId="5C580DEE"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3=In line (±5%); </w:t>
            </w:r>
          </w:p>
          <w:p w14:paraId="391B43AB" w14:textId="77777777" w:rsidR="003C2E66"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2=Underperforming 5–15%; </w:t>
            </w:r>
          </w:p>
          <w:p w14:paraId="65FFD9A6"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1=Underperforming &gt;15%</w:t>
            </w:r>
          </w:p>
        </w:tc>
        <w:tc>
          <w:tcPr>
            <w:tcW w:w="3965"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234DB00A" w14:textId="77777777" w:rsidR="002F4EDF" w:rsidRPr="00D32150" w:rsidRDefault="00000000">
            <w:pPr>
              <w:rPr>
                <w:rFonts w:asciiTheme="majorHAnsi" w:hAnsiTheme="majorHAnsi" w:cstheme="majorHAnsi"/>
                <w:sz w:val="21"/>
                <w:szCs w:val="28"/>
              </w:rPr>
            </w:pPr>
            <w:r>
              <w:rPr>
                <w:rFonts w:asciiTheme="majorHAnsi" w:hAnsiTheme="majorHAnsi" w:cstheme="majorHAnsi"/>
                <w:sz w:val="21"/>
                <w:szCs w:val="28"/>
              </w:rPr>
              <w:t xml:space="preserve">During sector rotations, compare to sector ETF (e.g., XLE for energy) rather than SPY.</w:t>
            </w:r>
          </w:p>
        </w:tc>
      </w:tr>
      <w:tr w:rsidR="002F4EDF" w:rsidRPr="00B41806" w14:paraId="6A749C23" w14:textId="77777777" w:rsidTr="00C2475F">
        <w:trPr>
          <w:jc w:val="center"/>
        </w:trPr>
        <w:tc>
          <w:tcPr>
            <w:tcW w:w="170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C2D7EC" w14:textId="77777777" w:rsidR="002F4EDF" w:rsidRPr="00DA4EF2" w:rsidRDefault="00000000" w:rsidP="005B38B2">
            <w:pPr>
              <w:jc w:val="center"/>
              <w:rPr>
                <w:rFonts w:asciiTheme="majorHAnsi" w:hAnsiTheme="majorHAnsi" w:cstheme="majorHAnsi"/>
                <w:sz w:val="21"/>
                <w:szCs w:val="28"/>
              </w:rPr>
            </w:pPr>
            <w:r>
              <w:rPr>
                <w:rFonts w:asciiTheme="majorHAnsi" w:hAnsiTheme="majorHAnsi" w:cstheme="majorHAnsi"/>
                <w:sz w:val="21"/>
                <w:szCs w:val="28"/>
              </w:rPr>
              <w:t>Valuation Multiples (P/FCF, EV/EBITDA, PEG)</w:t>
            </w:r>
          </w:p>
        </w:tc>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E27855"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6%</w:t>
            </w:r>
          </w:p>
        </w:tc>
        <w:tc>
          <w:tcPr>
            <w:tcW w:w="409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2F61F7"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5=PEG &lt;1.0 AND P/FCF below 5-yr avg; </w:t>
            </w:r>
          </w:p>
          <w:p w14:paraId="58CE4221"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4=Modest discount to history/peers; </w:t>
            </w:r>
          </w:p>
          <w:p w14:paraId="7BCBE080"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3=In line with peers; </w:t>
            </w:r>
          </w:p>
          <w:p w14:paraId="577079A5"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2=Premium with declining fundamentals; </w:t>
            </w:r>
          </w:p>
          <w:p w14:paraId="10F7A568"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1=Extreme multiple with deteriorating business</w:t>
            </w:r>
          </w:p>
        </w:tc>
        <w:tc>
          <w:tcPr>
            <w:tcW w:w="39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9140EE"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Use P/FCF as primary multiple; supplement with EV/EBITDA for capital-intensive sectors and PEG for growth names. Compare against company’s own 5-year history and sector peers. A cheap multiple alone does not justify purchase; evaluate in the context of FCF trend and ROIC.</w:t>
            </w:r>
          </w:p>
        </w:tc>
      </w:tr>
    </w:tbl>
    <w:p w14:paraId="1696D4F7" w14:textId="77777777" w:rsidR="005B38B2" w:rsidRDefault="005B38B2" w:rsidP="005B38B2">
      <w:pPr>
        <w:pStyle w:val="Heading2"/>
      </w:pPr>
      <w:r>
        <w:t>Tier 3 — Confirmatory Weight (7% of Decision)</w:t>
      </w:r>
    </w:p>
    <w:p w14:paraId="3374D0F0" w14:textId="77777777" w:rsidR="005B38B2" w:rsidRDefault="005B38B2">
      <w:pPr>
        <w:spacing w:after="120"/>
        <w:rPr>
          <w:rFonts w:cs="Calibri"/>
        </w:rPr>
      </w:pPr>
      <w:r>
        <w:rPr>
          <w:rFonts w:cs="Calibri"/>
        </w:rPr>
        <w:t>Tier 3 indicators help refine timing, valuation, and sentiment. They can improve or reduce confidence at the margin, but they cannot rescue a weak fundamental case.</w:t>
      </w:r>
    </w:p>
    <w:tbl>
      <w:tblPr>
        <w:tblStyle w:val="TableGrid"/>
        <w:tblW w:w="0" w:type="auto"/>
        <w:jc w:val="center"/>
        <w:tblLook w:val="04A0" w:firstRow="1" w:lastRow="0" w:firstColumn="1" w:lastColumn="0" w:noHBand="0" w:noVBand="1"/>
      </w:tblPr>
      <w:tblGrid>
        <w:gridCol w:w="2592"/>
        <w:gridCol w:w="576"/>
        <w:gridCol w:w="6907"/>
      </w:tblGrid>
      <w:tr w:rsidR="002F4EDF" w:rsidRPr="00B41806" w14:paraId="154770FB" w14:textId="77777777" w:rsidTr="00DA4EF2">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23804C6C" w14:textId="77777777" w:rsidR="002F4EDF" w:rsidRPr="00DA4EF2"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Indicator</w:t>
            </w:r>
          </w:p>
        </w:tc>
        <w:tc>
          <w:tcPr>
            <w:tcW w:w="576"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0C009EC8" w14:textId="77777777" w:rsidR="002F4EDF" w:rsidRPr="00DA4EF2"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Wt</w:t>
            </w:r>
          </w:p>
        </w:tc>
        <w:tc>
          <w:tcPr>
            <w:tcW w:w="6907"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0ED82671" w14:textId="77777777" w:rsidR="002F4EDF" w:rsidRPr="00DA4EF2" w:rsidRDefault="00000000" w:rsidP="00B41806">
            <w:pPr>
              <w:jc w:val="center"/>
              <w:rPr>
                <w:rFonts w:asciiTheme="majorHAnsi" w:hAnsiTheme="majorHAnsi" w:cstheme="majorHAnsi"/>
                <w:sz w:val="21"/>
                <w:szCs w:val="28"/>
              </w:rPr>
            </w:pPr>
            <w:r>
              <w:rPr>
                <w:rFonts w:asciiTheme="majorHAnsi" w:hAnsiTheme="majorHAnsi" w:cstheme="majorHAnsi"/>
                <w:b/>
                <w:color w:val="1F497D"/>
                <w:sz w:val="21"/>
                <w:szCs w:val="28"/>
              </w:rPr>
              <w:t>Scoring Rubric (1–5)</w:t>
            </w:r>
          </w:p>
        </w:tc>
      </w:tr>
      <w:tr w:rsidR="002F4EDF" w:rsidRPr="00B41806" w14:paraId="700DEE63" w14:textId="77777777" w:rsidTr="00DA4EF2">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70C5FBF0" w14:textId="77777777" w:rsidR="002F4EDF" w:rsidRPr="00DA4EF2" w:rsidRDefault="00000000" w:rsidP="005B38B2">
            <w:pPr>
              <w:jc w:val="center"/>
              <w:rPr>
                <w:rFonts w:asciiTheme="majorHAnsi" w:hAnsiTheme="majorHAnsi" w:cstheme="majorHAnsi"/>
                <w:sz w:val="21"/>
                <w:szCs w:val="28"/>
              </w:rPr>
            </w:pPr>
            <w:r>
              <w:rPr>
                <w:rFonts w:asciiTheme="majorHAnsi" w:hAnsiTheme="majorHAnsi" w:cstheme="majorHAnsi"/>
                <w:sz w:val="21"/>
                <w:szCs w:val="28"/>
              </w:rPr>
              <w:t>Technical Trend Structure</w:t>
            </w:r>
          </w:p>
        </w:tc>
        <w:tc>
          <w:tcPr>
            <w:tcW w:w="576"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765F0D36"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4%</w:t>
            </w:r>
          </w:p>
        </w:tc>
        <w:tc>
          <w:tcPr>
            <w:tcW w:w="6907"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378AC787"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5=Price above 200-week MA, MACD positive, Supertrend bullish — all aligned; </w:t>
            </w:r>
          </w:p>
          <w:p w14:paraId="62156A12"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4=Most signals aligned; </w:t>
            </w:r>
          </w:p>
          <w:p w14:paraId="6A93212F"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3=Mixed; </w:t>
            </w:r>
          </w:p>
          <w:p w14:paraId="296CF073"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2=Below 200-week MA or MACD negative; </w:t>
            </w:r>
          </w:p>
          <w:p w14:paraId="53514697"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1=All bearish (timing delay only — not a sell signal if fundamentals are intact)</w:t>
            </w:r>
          </w:p>
        </w:tc>
      </w:tr>
      <w:tr w:rsidR="002F4EDF" w:rsidRPr="00B41806" w14:paraId="3AABCE47" w14:textId="77777777" w:rsidTr="00DA4EF2">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17F3C81" w14:textId="77777777" w:rsidR="002F4EDF" w:rsidRPr="00DA4EF2" w:rsidRDefault="00000000" w:rsidP="005B38B2">
            <w:pPr>
              <w:jc w:val="center"/>
              <w:rPr>
                <w:rFonts w:asciiTheme="majorHAnsi" w:hAnsiTheme="majorHAnsi" w:cstheme="majorHAnsi"/>
                <w:sz w:val="21"/>
                <w:szCs w:val="28"/>
              </w:rPr>
            </w:pPr>
            <w:r>
              <w:rPr>
                <w:rFonts w:asciiTheme="majorHAnsi" w:hAnsiTheme="majorHAnsi" w:cstheme="majorHAnsi"/>
                <w:sz w:val="21"/>
                <w:szCs w:val="28"/>
              </w:rPr>
              <w:t>Analyst Consensus &amp; Estimate Revisions</w:t>
            </w:r>
          </w:p>
        </w:tc>
        <w:tc>
          <w:tcPr>
            <w:tcW w:w="576"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9411A52"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2%</w:t>
            </w:r>
          </w:p>
        </w:tc>
        <w:tc>
          <w:tcPr>
            <w:tcW w:w="6907"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19BA67E"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5=Strong buy + upward revisions 90 days; </w:t>
            </w:r>
          </w:p>
          <w:p w14:paraId="4B4ED610"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4=Buy, stable estimates; </w:t>
            </w:r>
          </w:p>
          <w:p w14:paraId="2A76F6B0"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3=Mixed; </w:t>
            </w:r>
          </w:p>
          <w:p w14:paraId="30E278D5"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2=Hold/sell, downward revisions; </w:t>
            </w:r>
          </w:p>
          <w:p w14:paraId="7B425460"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1=Strong sell, multiple downgrades (sentiment check only)</w:t>
            </w:r>
          </w:p>
        </w:tc>
      </w:tr>
      <w:tr w:rsidR="002F4EDF" w:rsidRPr="00B41806" w14:paraId="0F4022C3" w14:textId="77777777" w:rsidTr="00DA4EF2">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E457DA" w14:textId="77777777" w:rsidR="002F4EDF" w:rsidRDefault="00000000" w:rsidP="005B38B2">
            <w:pPr>
              <w:jc w:val="center"/>
              <w:rPr>
                <w:rFonts w:asciiTheme="majorHAnsi" w:hAnsiTheme="majorHAnsi" w:cstheme="majorHAnsi"/>
                <w:sz w:val="21"/>
                <w:szCs w:val="28"/>
              </w:rPr>
            </w:pPr>
            <w:r>
              <w:rPr>
                <w:rFonts w:asciiTheme="majorHAnsi" w:hAnsiTheme="majorHAnsi" w:cstheme="majorHAnsi"/>
                <w:sz w:val="21"/>
                <w:szCs w:val="28"/>
              </w:rPr>
              <w:t>Volume &amp; Accumulation Signals</w:t>
            </w:r>
          </w:p>
          <w:p w14:paraId="3EF532A1" w14:textId="77777777" w:rsidR="00C2475F" w:rsidRPr="00C2475F" w:rsidRDefault="00C2475F" w:rsidP="00C2475F">
            <w:pPr>
              <w:rPr>
                <w:rFonts w:asciiTheme="majorHAnsi" w:hAnsiTheme="majorHAnsi" w:cstheme="majorHAnsi"/>
                <w:sz w:val="21"/>
                <w:szCs w:val="28"/>
              </w:rPr>
            </w:pPr>
          </w:p>
          <w:p w14:paraId="35E1C9E6" w14:textId="77777777" w:rsidR="00C2475F" w:rsidRDefault="00C2475F" w:rsidP="00C2475F">
            <w:pPr>
              <w:rPr>
                <w:rFonts w:asciiTheme="majorHAnsi" w:hAnsiTheme="majorHAnsi" w:cstheme="majorHAnsi"/>
                <w:sz w:val="21"/>
                <w:szCs w:val="28"/>
              </w:rPr>
            </w:pPr>
          </w:p>
          <w:p w14:paraId="74665BBF" w14:textId="77777777" w:rsidR="00C2475F" w:rsidRDefault="00C2475F" w:rsidP="00C2475F">
            <w:pPr>
              <w:rPr>
                <w:rFonts w:asciiTheme="majorHAnsi" w:hAnsiTheme="majorHAnsi" w:cstheme="majorHAnsi"/>
                <w:sz w:val="21"/>
                <w:szCs w:val="28"/>
              </w:rPr>
            </w:pPr>
          </w:p>
          <w:p w14:paraId="6C1546BE" w14:textId="77777777" w:rsidR="00C2475F" w:rsidRPr="00C2475F" w:rsidRDefault="00C2475F" w:rsidP="00C2475F">
            <w:pPr>
              <w:rPr>
                <w:rFonts w:asciiTheme="majorHAnsi" w:hAnsiTheme="majorHAnsi" w:cstheme="majorHAnsi"/>
                <w:sz w:val="21"/>
                <w:szCs w:val="28"/>
              </w:rPr>
            </w:pPr>
          </w:p>
        </w:tc>
        <w:tc>
          <w:tcPr>
            <w:tcW w:w="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47D5C5"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1%</w:t>
            </w:r>
          </w:p>
        </w:tc>
        <w:tc>
          <w:tcPr>
            <w:tcW w:w="690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E0ABDF"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5=Strong accumulation on high volume 3–6 months (A/D line rising); </w:t>
            </w:r>
          </w:p>
          <w:p w14:paraId="6B2E8AE3"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4=Mild accumulation; </w:t>
            </w:r>
          </w:p>
          <w:p w14:paraId="7393107C"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3=Neutral; </w:t>
            </w:r>
          </w:p>
          <w:p w14:paraId="6BEC6625" w14:textId="77777777" w:rsidR="003C2E66"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2=Distribution; </w:t>
            </w:r>
          </w:p>
          <w:p w14:paraId="67179871"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1=Heavy distribution (confirms interest only; not predictive alone)</w:t>
            </w:r>
          </w:p>
        </w:tc>
      </w:tr>
    </w:tbl>
    <w:p w14:paraId="2A82420C" w14:textId="77777777" w:rsidR="00DA4EF2" w:rsidRDefault="00DA4EF2">
      <w:pPr>
        <w:spacing w:line="276" w:lineRule="auto"/>
        <w:rPr>
          <w:rFonts w:eastAsiaTheme="majorEastAsia" w:cs="Calibri"/>
          <w:b/>
          <w:bCs/>
          <w:color w:val="365F91" w:themeColor="accent1" w:themeShade="BF"/>
          <w:sz w:val="28"/>
          <w:szCs w:val="28"/>
        </w:rPr>
      </w:pPr>
      <w:r>
        <w:rPr>
          <w:rFonts w:cs="Calibri"/>
        </w:rPr>
        <w:br w:type="page"/>
      </w:r>
    </w:p>
    <w:p w14:paraId="622C8A78" w14:textId="77777777" w:rsidR="005B38B2" w:rsidRDefault="005B38B2" w:rsidP="005B38B2">
      <w:pPr>
        <w:pStyle w:val="Heading1"/>
        <w:rPr>
          <w:rFonts w:cs="Calibri"/>
        </w:rPr>
      </w:pPr>
      <w:r>
        <w:rPr>
          <w:rFonts w:cs="Calibri"/>
        </w:rPr>
        <w:lastRenderedPageBreak/>
        <w:t>PART 3 — COMPOSITE SCORE &amp; DECISION RULES</w:t>
      </w:r>
    </w:p>
    <w:p w14:paraId="7CCABAD4" w14:textId="1FA53C3C" w:rsidR="00583E6D" w:rsidRDefault="005F5A80" w:rsidP="00583E6D">
      <w:pPr>
        <w:spacing w:after="0"/>
        <w:rPr>
          <w:b/>
          <w:bCs/>
          <w:color w:val="1F497D"/>
          <w:sz w:val="20"/>
          <w:szCs w:val="20"/>
        </w:rPr>
      </w:pPr>
      <w:r>
        <w:rPr>
          <w:b/>
          <w:bCs/>
          <w:color w:val="1F497D"/>
          <w:sz w:val="20"/>
          <w:szCs w:val="20"/>
        </w:rPr>
        <w:t xml:space="preserve">Composite Score = (∑ score × weight) × 20  |  </w:t>
        <w:br/>
      </w:r>
      <w:r>
        <w:rPr>
          <w:b/>
          <w:bCs/>
          <w:color w:val="1F497D"/>
          <w:sz w:val="20"/>
          <w:szCs w:val="20"/>
          <w:u w:val="single"/>
        </w:rPr>
        <w:t>Correct method</w:t>
      </w:r>
      <w:r>
        <w:rPr>
          <w:b/>
          <w:bCs/>
          <w:color w:val="1F497D"/>
          <w:sz w:val="20"/>
          <w:szCs w:val="20"/>
        </w:rPr>
        <w:t xml:space="preserve">: multiply each indicator’s raw score (1–5) by its individual weight, sum all contributions, then multiply by 20. </w:t>
        <w:br/>
      </w:r>
      <w:r>
        <w:rPr>
          <w:b/>
          <w:bCs/>
          <w:color w:val="1F497D"/>
          <w:sz w:val="20"/>
          <w:szCs w:val="20"/>
          <w:u w:val="single"/>
        </w:rPr>
        <w:t>Do NOT average within tiers</w:t>
      </w:r>
      <w:r>
        <w:rPr>
          <w:b/>
          <w:bCs/>
          <w:color w:val="1F497D"/>
          <w:sz w:val="20"/>
          <w:szCs w:val="20"/>
        </w:rPr>
        <w:t xml:space="preserve"> and apply tier percentages separately — that math is incorrect. </w:t>
      </w:r>
    </w:p>
    <w:p w14:paraId="61C8FBB4" w14:textId="4D81D723" w:rsidR="005F5A80" w:rsidRPr="00583E6D" w:rsidRDefault="005F5A80" w:rsidP="00583E6D">
      <w:pPr>
        <w:spacing w:after="160"/>
        <w:ind w:left="720"/>
        <w:rPr>
          <w:b/>
          <w:bCs/>
          <w:color w:val="1F497D"/>
          <w:sz w:val="20"/>
          <w:szCs w:val="20"/>
        </w:rPr>
      </w:pPr>
      <w:r>
        <w:rPr>
          <w:b/>
          <w:bCs/>
          <w:color w:val="1F497D"/>
          <w:sz w:val="20"/>
          <w:szCs w:val="20"/>
        </w:rPr>
        <w:t>Example: [(FCF Yield×0.20)+(Rev Growth×0.15)+(Moat×0.15)+(Rev Visibility×0.10)+</w:t>
        <w:br/>
        <w:t>(FCF Margin×0.10)+(Mgmt×0.08)+(ROIC×0.06)+(Valuation×0.06)+(Rel Strength×0.03)+ (Technical×0.04)+(Analyst×0.02)+(Volume×0.01)]×20</w:t>
      </w:r>
    </w:p>
    <w:p w14:paraId="766D079F" w14:textId="77777777" w:rsidR="005F5A80" w:rsidRDefault="005F5A80">
      <w:pPr>
        <w:spacing w:after="120"/>
      </w:pPr>
      <w:r>
        <w:t xml:space="preserve">After scoring all indicators, convert the result into an action. The thresholds below determine whether the stock qualifies for purchase, should remain under observation, or should be classified as </w:t>
      </w:r>
      <w:r>
        <w:rPr>
          <w:b/>
          <w:bCs/>
        </w:rPr>
        <w:t>STRONG BUY</w:t>
      </w:r>
      <w:r>
        <w:t xml:space="preserve">, </w:t>
      </w:r>
      <w:r>
        <w:rPr>
          <w:b/>
          <w:bCs/>
        </w:rPr>
        <w:t>BUY</w:t>
      </w:r>
      <w:r>
        <w:t xml:space="preserve">, </w:t>
      </w:r>
      <w:r>
        <w:rPr>
          <w:b/>
          <w:bCs/>
        </w:rPr>
        <w:t>WATCH LIST</w:t>
      </w:r>
      <w:r>
        <w:t xml:space="preserve">, </w:t>
      </w:r>
      <w:r>
        <w:rPr>
          <w:b/>
          <w:bCs/>
        </w:rPr>
        <w:t>AVOID</w:t>
      </w:r>
      <w:r>
        <w:t xml:space="preserve">, or </w:t>
      </w:r>
      <w:r>
        <w:rPr>
          <w:b/>
          <w:bCs/>
        </w:rPr>
        <w:t>PASS</w:t>
      </w:r>
      <w: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9"/>
        <w:gridCol w:w="1614"/>
        <w:gridCol w:w="4847"/>
      </w:tblGrid>
      <w:tr w:rsidR="005F5A80" w14:paraId="7555706E" w14:textId="77777777" w:rsidTr="00DA4EF2">
        <w:trPr>
          <w:tblCellSpacing w:w="15" w:type="dxa"/>
          <w:jc w:val="center"/>
        </w:trPr>
        <w:tc>
          <w:tcPr>
            <w:tcW w:w="1584" w:type="dxa"/>
            <w:tcBorders>
              <w:top w:val="single" w:sz="8" w:space="0" w:color="CCCCCC"/>
              <w:left w:val="single" w:sz="8" w:space="0" w:color="CCCCCC"/>
              <w:bottom w:val="single" w:sz="8" w:space="0" w:color="CCCCCC"/>
              <w:right w:val="single" w:sz="8" w:space="0" w:color="CCCCCC"/>
            </w:tcBorders>
            <w:shd w:val="clear" w:color="auto" w:fill="D5E8F0"/>
            <w:tcMar>
              <w:top w:w="0" w:type="dxa"/>
              <w:left w:w="108" w:type="dxa"/>
              <w:bottom w:w="0" w:type="dxa"/>
              <w:right w:w="108" w:type="dxa"/>
            </w:tcMar>
            <w:vAlign w:val="center"/>
            <w:hideMark/>
          </w:tcPr>
          <w:p w14:paraId="4FCA59CB" w14:textId="77777777" w:rsidR="005F5A80" w:rsidRDefault="005F5A80">
            <w:pPr>
              <w:spacing w:after="0"/>
              <w:jc w:val="center"/>
            </w:pPr>
            <w:r>
              <w:rPr>
                <w:b/>
                <w:bCs/>
                <w:color w:val="1F497D"/>
              </w:rPr>
              <w:t>Score Range</w:t>
            </w:r>
          </w:p>
        </w:tc>
        <w:tc>
          <w:tcPr>
            <w:tcW w:w="1584" w:type="dxa"/>
            <w:tcBorders>
              <w:top w:val="single" w:sz="8" w:space="0" w:color="CCCCCC"/>
              <w:left w:val="nil"/>
              <w:bottom w:val="single" w:sz="8" w:space="0" w:color="CCCCCC"/>
              <w:right w:val="single" w:sz="8" w:space="0" w:color="CCCCCC"/>
            </w:tcBorders>
            <w:shd w:val="clear" w:color="auto" w:fill="D5E8F0"/>
            <w:tcMar>
              <w:top w:w="0" w:type="dxa"/>
              <w:left w:w="108" w:type="dxa"/>
              <w:bottom w:w="0" w:type="dxa"/>
              <w:right w:w="108" w:type="dxa"/>
            </w:tcMar>
            <w:vAlign w:val="center"/>
            <w:hideMark/>
          </w:tcPr>
          <w:p w14:paraId="20E3A454" w14:textId="77777777" w:rsidR="005F5A80" w:rsidRDefault="005F5A80">
            <w:pPr>
              <w:spacing w:after="0"/>
              <w:jc w:val="center"/>
            </w:pPr>
            <w:r>
              <w:rPr>
                <w:b/>
                <w:bCs/>
                <w:color w:val="1F497D"/>
              </w:rPr>
              <w:t>Decision</w:t>
            </w:r>
          </w:p>
        </w:tc>
        <w:tc>
          <w:tcPr>
            <w:tcW w:w="4802" w:type="dxa"/>
            <w:tcBorders>
              <w:top w:val="single" w:sz="8" w:space="0" w:color="CCCCCC"/>
              <w:left w:val="nil"/>
              <w:bottom w:val="single" w:sz="8" w:space="0" w:color="CCCCCC"/>
              <w:right w:val="single" w:sz="8" w:space="0" w:color="CCCCCC"/>
            </w:tcBorders>
            <w:shd w:val="clear" w:color="auto" w:fill="D5E8F0"/>
            <w:tcMar>
              <w:top w:w="0" w:type="dxa"/>
              <w:left w:w="108" w:type="dxa"/>
              <w:bottom w:w="0" w:type="dxa"/>
              <w:right w:w="108" w:type="dxa"/>
            </w:tcMar>
            <w:vAlign w:val="center"/>
            <w:hideMark/>
          </w:tcPr>
          <w:p w14:paraId="5823ED5A" w14:textId="77777777" w:rsidR="005F5A80" w:rsidRDefault="005F5A80">
            <w:pPr>
              <w:spacing w:after="0"/>
              <w:jc w:val="center"/>
            </w:pPr>
            <w:r>
              <w:rPr>
                <w:b/>
                <w:bCs/>
                <w:color w:val="1F497D"/>
              </w:rPr>
              <w:t>Action</w:t>
            </w:r>
          </w:p>
        </w:tc>
      </w:tr>
      <w:tr w:rsidR="005F5A80" w14:paraId="281E94FA" w14:textId="77777777" w:rsidTr="00DA4EF2">
        <w:trPr>
          <w:tblCellSpacing w:w="15" w:type="dxa"/>
          <w:jc w:val="center"/>
        </w:trPr>
        <w:tc>
          <w:tcPr>
            <w:tcW w:w="1584" w:type="dxa"/>
            <w:tcBorders>
              <w:top w:val="nil"/>
              <w:left w:val="single" w:sz="8" w:space="0" w:color="CCCCCC"/>
              <w:bottom w:val="single" w:sz="8" w:space="0" w:color="CCCCCC"/>
              <w:right w:val="single" w:sz="8" w:space="0" w:color="CCCCCC"/>
            </w:tcBorders>
            <w:shd w:val="clear" w:color="auto" w:fill="C2D69B" w:themeFill="accent3" w:themeFillTint="99"/>
            <w:tcMar>
              <w:top w:w="0" w:type="dxa"/>
              <w:left w:w="108" w:type="dxa"/>
              <w:bottom w:w="0" w:type="dxa"/>
              <w:right w:w="108" w:type="dxa"/>
            </w:tcMar>
            <w:vAlign w:val="center"/>
            <w:hideMark/>
          </w:tcPr>
          <w:p w14:paraId="69C72AE3" w14:textId="77777777" w:rsidR="005F5A80" w:rsidRDefault="005F5A80">
            <w:pPr>
              <w:spacing w:after="0"/>
              <w:jc w:val="center"/>
            </w:pPr>
            <w:r>
              <w:rPr>
                <w:color w:val="000000"/>
              </w:rPr>
              <w:t>80–100</w:t>
            </w:r>
          </w:p>
        </w:tc>
        <w:tc>
          <w:tcPr>
            <w:tcW w:w="1584" w:type="dxa"/>
            <w:tcBorders>
              <w:top w:val="nil"/>
              <w:left w:val="nil"/>
              <w:bottom w:val="single" w:sz="8" w:space="0" w:color="CCCCCC"/>
              <w:right w:val="single" w:sz="8" w:space="0" w:color="CCCCCC"/>
            </w:tcBorders>
            <w:shd w:val="clear" w:color="auto" w:fill="C2D69B" w:themeFill="accent3" w:themeFillTint="99"/>
            <w:tcMar>
              <w:top w:w="0" w:type="dxa"/>
              <w:left w:w="108" w:type="dxa"/>
              <w:bottom w:w="0" w:type="dxa"/>
              <w:right w:w="108" w:type="dxa"/>
            </w:tcMar>
            <w:vAlign w:val="center"/>
            <w:hideMark/>
          </w:tcPr>
          <w:p w14:paraId="18C53B22" w14:textId="77777777" w:rsidR="005F5A80" w:rsidRDefault="005F5A80">
            <w:pPr>
              <w:spacing w:after="0"/>
              <w:jc w:val="center"/>
            </w:pPr>
            <w:r>
              <w:rPr>
                <w:b/>
                <w:bCs/>
                <w:color w:val="000000"/>
              </w:rPr>
              <w:t>STRONG BUY</w:t>
            </w:r>
          </w:p>
        </w:tc>
        <w:tc>
          <w:tcPr>
            <w:tcW w:w="4802" w:type="dxa"/>
            <w:tcBorders>
              <w:top w:val="nil"/>
              <w:left w:val="nil"/>
              <w:bottom w:val="single" w:sz="8" w:space="0" w:color="CCCCCC"/>
              <w:right w:val="single" w:sz="8" w:space="0" w:color="CCCCCC"/>
            </w:tcBorders>
            <w:shd w:val="clear" w:color="auto" w:fill="C2D69B" w:themeFill="accent3" w:themeFillTint="99"/>
            <w:tcMar>
              <w:top w:w="0" w:type="dxa"/>
              <w:left w:w="108" w:type="dxa"/>
              <w:bottom w:w="0" w:type="dxa"/>
              <w:right w:w="108" w:type="dxa"/>
            </w:tcMar>
            <w:vAlign w:val="center"/>
            <w:hideMark/>
          </w:tcPr>
          <w:p w14:paraId="617A33B5" w14:textId="77777777" w:rsidR="005F5A80" w:rsidRDefault="005F5A80">
            <w:pPr>
              <w:spacing w:after="0"/>
            </w:pPr>
            <w:r>
              <w:rPr>
                <w:color w:val="000000"/>
              </w:rPr>
              <w:t>Initiate full position per sizing rules</w:t>
            </w:r>
          </w:p>
        </w:tc>
      </w:tr>
      <w:tr w:rsidR="005F5A80" w14:paraId="50DD4728" w14:textId="77777777" w:rsidTr="00DA4EF2">
        <w:trPr>
          <w:tblCellSpacing w:w="15" w:type="dxa"/>
          <w:jc w:val="center"/>
        </w:trPr>
        <w:tc>
          <w:tcPr>
            <w:tcW w:w="1584" w:type="dxa"/>
            <w:tcBorders>
              <w:top w:val="nil"/>
              <w:left w:val="single" w:sz="8" w:space="0" w:color="CCCCCC"/>
              <w:bottom w:val="single" w:sz="8" w:space="0" w:color="CCCCCC"/>
              <w:right w:val="single" w:sz="8" w:space="0" w:color="CCCCCC"/>
            </w:tcBorders>
            <w:shd w:val="clear" w:color="auto" w:fill="EAF1DD" w:themeFill="accent3" w:themeFillTint="33"/>
            <w:tcMar>
              <w:top w:w="0" w:type="dxa"/>
              <w:left w:w="108" w:type="dxa"/>
              <w:bottom w:w="0" w:type="dxa"/>
              <w:right w:w="108" w:type="dxa"/>
            </w:tcMar>
            <w:vAlign w:val="center"/>
            <w:hideMark/>
          </w:tcPr>
          <w:p w14:paraId="3845F5B7" w14:textId="77777777" w:rsidR="005F5A80" w:rsidRDefault="005F5A80">
            <w:pPr>
              <w:spacing w:after="0"/>
              <w:jc w:val="center"/>
            </w:pPr>
            <w:r>
              <w:rPr>
                <w:color w:val="000000"/>
              </w:rPr>
              <w:t>65–79</w:t>
            </w:r>
          </w:p>
        </w:tc>
        <w:tc>
          <w:tcPr>
            <w:tcW w:w="1584" w:type="dxa"/>
            <w:tcBorders>
              <w:top w:val="nil"/>
              <w:left w:val="nil"/>
              <w:bottom w:val="single" w:sz="8" w:space="0" w:color="CCCCCC"/>
              <w:right w:val="single" w:sz="8" w:space="0" w:color="CCCCCC"/>
            </w:tcBorders>
            <w:shd w:val="clear" w:color="auto" w:fill="EAF1DD" w:themeFill="accent3" w:themeFillTint="33"/>
            <w:tcMar>
              <w:top w:w="0" w:type="dxa"/>
              <w:left w:w="108" w:type="dxa"/>
              <w:bottom w:w="0" w:type="dxa"/>
              <w:right w:w="108" w:type="dxa"/>
            </w:tcMar>
            <w:vAlign w:val="center"/>
            <w:hideMark/>
          </w:tcPr>
          <w:p w14:paraId="6EF03E7A" w14:textId="77777777" w:rsidR="005F5A80" w:rsidRDefault="005F5A80">
            <w:pPr>
              <w:spacing w:after="0"/>
              <w:jc w:val="center"/>
            </w:pPr>
            <w:r>
              <w:rPr>
                <w:b/>
                <w:bCs/>
                <w:color w:val="000000"/>
              </w:rPr>
              <w:t>BUY</w:t>
            </w:r>
          </w:p>
        </w:tc>
        <w:tc>
          <w:tcPr>
            <w:tcW w:w="4802" w:type="dxa"/>
            <w:tcBorders>
              <w:top w:val="nil"/>
              <w:left w:val="nil"/>
              <w:bottom w:val="single" w:sz="8" w:space="0" w:color="CCCCCC"/>
              <w:right w:val="single" w:sz="8" w:space="0" w:color="CCCCCC"/>
            </w:tcBorders>
            <w:shd w:val="clear" w:color="auto" w:fill="EAF1DD" w:themeFill="accent3" w:themeFillTint="33"/>
            <w:tcMar>
              <w:top w:w="0" w:type="dxa"/>
              <w:left w:w="108" w:type="dxa"/>
              <w:bottom w:w="0" w:type="dxa"/>
              <w:right w:w="108" w:type="dxa"/>
            </w:tcMar>
            <w:vAlign w:val="center"/>
            <w:hideMark/>
          </w:tcPr>
          <w:p w14:paraId="1199B5B9" w14:textId="77777777" w:rsidR="005F5A80" w:rsidRDefault="005F5A80">
            <w:pPr>
              <w:spacing w:after="0"/>
            </w:pPr>
            <w:r>
              <w:rPr>
                <w:color w:val="000000"/>
              </w:rPr>
              <w:t>Initiate half position; build on confirmation</w:t>
            </w:r>
          </w:p>
        </w:tc>
      </w:tr>
      <w:tr w:rsidR="005F5A80" w14:paraId="65460D07" w14:textId="77777777" w:rsidTr="00DA4EF2">
        <w:trPr>
          <w:tblCellSpacing w:w="15" w:type="dxa"/>
          <w:jc w:val="center"/>
        </w:trPr>
        <w:tc>
          <w:tcPr>
            <w:tcW w:w="1584" w:type="dxa"/>
            <w:tcBorders>
              <w:top w:val="nil"/>
              <w:left w:val="single" w:sz="8" w:space="0" w:color="CCCCCC"/>
              <w:bottom w:val="single" w:sz="8" w:space="0" w:color="CCCCCC"/>
              <w:right w:val="single" w:sz="8" w:space="0" w:color="CCCCCC"/>
            </w:tcBorders>
            <w:shd w:val="clear" w:color="auto" w:fill="F5F9FC"/>
            <w:tcMar>
              <w:top w:w="0" w:type="dxa"/>
              <w:left w:w="108" w:type="dxa"/>
              <w:bottom w:w="0" w:type="dxa"/>
              <w:right w:w="108" w:type="dxa"/>
            </w:tcMar>
            <w:vAlign w:val="center"/>
            <w:hideMark/>
          </w:tcPr>
          <w:p w14:paraId="53FFB846" w14:textId="77777777" w:rsidR="005F5A80" w:rsidRDefault="005F5A80">
            <w:pPr>
              <w:spacing w:after="0"/>
              <w:jc w:val="center"/>
            </w:pPr>
            <w:r>
              <w:rPr>
                <w:color w:val="000000"/>
              </w:rPr>
              <w:t>50–64</w:t>
            </w:r>
          </w:p>
        </w:tc>
        <w:tc>
          <w:tcPr>
            <w:tcW w:w="1584" w:type="dxa"/>
            <w:tcBorders>
              <w:top w:val="nil"/>
              <w:left w:val="nil"/>
              <w:bottom w:val="single" w:sz="8" w:space="0" w:color="CCCCCC"/>
              <w:right w:val="single" w:sz="8" w:space="0" w:color="CCCCCC"/>
            </w:tcBorders>
            <w:shd w:val="clear" w:color="auto" w:fill="F5F9FC"/>
            <w:tcMar>
              <w:top w:w="0" w:type="dxa"/>
              <w:left w:w="108" w:type="dxa"/>
              <w:bottom w:w="0" w:type="dxa"/>
              <w:right w:w="108" w:type="dxa"/>
            </w:tcMar>
            <w:vAlign w:val="center"/>
            <w:hideMark/>
          </w:tcPr>
          <w:p w14:paraId="144D411B" w14:textId="77777777" w:rsidR="005F5A80" w:rsidRDefault="005F5A80">
            <w:pPr>
              <w:spacing w:after="0"/>
              <w:jc w:val="center"/>
            </w:pPr>
            <w:r>
              <w:rPr>
                <w:b/>
                <w:bCs/>
                <w:color w:val="000000"/>
              </w:rPr>
              <w:t>WATCH LIST</w:t>
            </w:r>
          </w:p>
        </w:tc>
        <w:tc>
          <w:tcPr>
            <w:tcW w:w="4802" w:type="dxa"/>
            <w:tcBorders>
              <w:top w:val="nil"/>
              <w:left w:val="nil"/>
              <w:bottom w:val="single" w:sz="8" w:space="0" w:color="CCCCCC"/>
              <w:right w:val="single" w:sz="8" w:space="0" w:color="CCCCCC"/>
            </w:tcBorders>
            <w:shd w:val="clear" w:color="auto" w:fill="F5F9FC"/>
            <w:tcMar>
              <w:top w:w="0" w:type="dxa"/>
              <w:left w:w="108" w:type="dxa"/>
              <w:bottom w:w="0" w:type="dxa"/>
              <w:right w:w="108" w:type="dxa"/>
            </w:tcMar>
            <w:vAlign w:val="center"/>
            <w:hideMark/>
          </w:tcPr>
          <w:p w14:paraId="72C75CF5" w14:textId="77777777" w:rsidR="005F5A80" w:rsidRDefault="005F5A80">
            <w:pPr>
              <w:spacing w:after="0"/>
            </w:pPr>
            <w:r>
              <w:rPr>
                <w:color w:val="000000"/>
              </w:rPr>
              <w:t>Monitor for improvement; no capital deployment</w:t>
            </w:r>
          </w:p>
        </w:tc>
      </w:tr>
      <w:tr w:rsidR="005F5A80" w14:paraId="5934AB05" w14:textId="77777777" w:rsidTr="00DA4EF2">
        <w:trPr>
          <w:tblCellSpacing w:w="15" w:type="dxa"/>
          <w:jc w:val="center"/>
        </w:trPr>
        <w:tc>
          <w:tcPr>
            <w:tcW w:w="1584" w:type="dxa"/>
            <w:tcBorders>
              <w:top w:val="nil"/>
              <w:left w:val="single" w:sz="8" w:space="0" w:color="CCCCCC"/>
              <w:bottom w:val="single" w:sz="8" w:space="0" w:color="CCCCCC"/>
              <w:right w:val="single" w:sz="8" w:space="0" w:color="CCCCCC"/>
            </w:tcBorders>
            <w:shd w:val="clear" w:color="auto" w:fill="F2DBDB" w:themeFill="accent2" w:themeFillTint="33"/>
            <w:tcMar>
              <w:top w:w="0" w:type="dxa"/>
              <w:left w:w="108" w:type="dxa"/>
              <w:bottom w:w="0" w:type="dxa"/>
              <w:right w:w="108" w:type="dxa"/>
            </w:tcMar>
            <w:vAlign w:val="center"/>
            <w:hideMark/>
          </w:tcPr>
          <w:p w14:paraId="4B6EA048" w14:textId="77777777" w:rsidR="005F5A80" w:rsidRDefault="005F5A80">
            <w:pPr>
              <w:spacing w:after="0"/>
              <w:jc w:val="center"/>
            </w:pPr>
            <w:r>
              <w:rPr>
                <w:color w:val="000000"/>
              </w:rPr>
              <w:t>35–49</w:t>
            </w:r>
          </w:p>
        </w:tc>
        <w:tc>
          <w:tcPr>
            <w:tcW w:w="1584" w:type="dxa"/>
            <w:tcBorders>
              <w:top w:val="nil"/>
              <w:left w:val="nil"/>
              <w:bottom w:val="single" w:sz="8" w:space="0" w:color="CCCCCC"/>
              <w:right w:val="single" w:sz="8" w:space="0" w:color="CCCCCC"/>
            </w:tcBorders>
            <w:shd w:val="clear" w:color="auto" w:fill="F2DBDB" w:themeFill="accent2" w:themeFillTint="33"/>
            <w:tcMar>
              <w:top w:w="0" w:type="dxa"/>
              <w:left w:w="108" w:type="dxa"/>
              <w:bottom w:w="0" w:type="dxa"/>
              <w:right w:w="108" w:type="dxa"/>
            </w:tcMar>
            <w:vAlign w:val="center"/>
            <w:hideMark/>
          </w:tcPr>
          <w:p w14:paraId="6E07C2B8" w14:textId="77777777" w:rsidR="005F5A80" w:rsidRDefault="005F5A80">
            <w:pPr>
              <w:spacing w:after="0"/>
              <w:jc w:val="center"/>
            </w:pPr>
            <w:r>
              <w:rPr>
                <w:b/>
                <w:bCs/>
                <w:color w:val="000000"/>
              </w:rPr>
              <w:t>AVOID</w:t>
            </w:r>
          </w:p>
        </w:tc>
        <w:tc>
          <w:tcPr>
            <w:tcW w:w="4802" w:type="dxa"/>
            <w:tcBorders>
              <w:top w:val="nil"/>
              <w:left w:val="nil"/>
              <w:bottom w:val="single" w:sz="8" w:space="0" w:color="CCCCCC"/>
              <w:right w:val="single" w:sz="8" w:space="0" w:color="CCCCCC"/>
            </w:tcBorders>
            <w:shd w:val="clear" w:color="auto" w:fill="F2DBDB" w:themeFill="accent2" w:themeFillTint="33"/>
            <w:tcMar>
              <w:top w:w="0" w:type="dxa"/>
              <w:left w:w="108" w:type="dxa"/>
              <w:bottom w:w="0" w:type="dxa"/>
              <w:right w:w="108" w:type="dxa"/>
            </w:tcMar>
            <w:vAlign w:val="center"/>
            <w:hideMark/>
          </w:tcPr>
          <w:p w14:paraId="3AC60182" w14:textId="77777777" w:rsidR="005F5A80" w:rsidRDefault="005F5A80">
            <w:pPr>
              <w:spacing w:after="0"/>
            </w:pPr>
            <w:r>
              <w:rPr>
                <w:color w:val="000000"/>
              </w:rPr>
              <w:t>Fundamental concerns; revisit in 2 quarters</w:t>
            </w:r>
          </w:p>
        </w:tc>
      </w:tr>
      <w:tr w:rsidR="005F5A80" w14:paraId="1B8F70E5" w14:textId="77777777" w:rsidTr="00DA4EF2">
        <w:trPr>
          <w:tblCellSpacing w:w="15" w:type="dxa"/>
          <w:jc w:val="center"/>
        </w:trPr>
        <w:tc>
          <w:tcPr>
            <w:tcW w:w="1584" w:type="dxa"/>
            <w:tcBorders>
              <w:top w:val="nil"/>
              <w:left w:val="single" w:sz="8" w:space="0" w:color="CCCCCC"/>
              <w:bottom w:val="single" w:sz="8" w:space="0" w:color="CCCCCC"/>
              <w:right w:val="single" w:sz="8" w:space="0" w:color="CCCCCC"/>
            </w:tcBorders>
            <w:shd w:val="clear" w:color="auto" w:fill="D99594" w:themeFill="accent2" w:themeFillTint="99"/>
            <w:tcMar>
              <w:top w:w="0" w:type="dxa"/>
              <w:left w:w="108" w:type="dxa"/>
              <w:bottom w:w="0" w:type="dxa"/>
              <w:right w:w="108" w:type="dxa"/>
            </w:tcMar>
            <w:vAlign w:val="center"/>
            <w:hideMark/>
          </w:tcPr>
          <w:p w14:paraId="5491D401" w14:textId="77777777" w:rsidR="005F5A80" w:rsidRDefault="005F5A80">
            <w:pPr>
              <w:spacing w:after="0"/>
              <w:jc w:val="center"/>
            </w:pPr>
            <w:r>
              <w:rPr>
                <w:color w:val="000000"/>
              </w:rPr>
              <w:t>&lt;35</w:t>
            </w:r>
          </w:p>
        </w:tc>
        <w:tc>
          <w:tcPr>
            <w:tcW w:w="1584" w:type="dxa"/>
            <w:tcBorders>
              <w:top w:val="nil"/>
              <w:left w:val="nil"/>
              <w:bottom w:val="single" w:sz="8" w:space="0" w:color="CCCCCC"/>
              <w:right w:val="single" w:sz="8" w:space="0" w:color="CCCCCC"/>
            </w:tcBorders>
            <w:shd w:val="clear" w:color="auto" w:fill="D99594" w:themeFill="accent2" w:themeFillTint="99"/>
            <w:tcMar>
              <w:top w:w="0" w:type="dxa"/>
              <w:left w:w="108" w:type="dxa"/>
              <w:bottom w:w="0" w:type="dxa"/>
              <w:right w:w="108" w:type="dxa"/>
            </w:tcMar>
            <w:vAlign w:val="center"/>
            <w:hideMark/>
          </w:tcPr>
          <w:p w14:paraId="797F077F" w14:textId="77777777" w:rsidR="005F5A80" w:rsidRDefault="005F5A80">
            <w:pPr>
              <w:spacing w:after="0"/>
              <w:jc w:val="center"/>
            </w:pPr>
            <w:r>
              <w:rPr>
                <w:b/>
                <w:bCs/>
                <w:color w:val="000000"/>
              </w:rPr>
              <w:t>PASS</w:t>
            </w:r>
          </w:p>
        </w:tc>
        <w:tc>
          <w:tcPr>
            <w:tcW w:w="4802" w:type="dxa"/>
            <w:tcBorders>
              <w:top w:val="nil"/>
              <w:left w:val="nil"/>
              <w:bottom w:val="single" w:sz="8" w:space="0" w:color="CCCCCC"/>
              <w:right w:val="single" w:sz="8" w:space="0" w:color="CCCCCC"/>
            </w:tcBorders>
            <w:shd w:val="clear" w:color="auto" w:fill="D99594" w:themeFill="accent2" w:themeFillTint="99"/>
            <w:tcMar>
              <w:top w:w="0" w:type="dxa"/>
              <w:left w:w="108" w:type="dxa"/>
              <w:bottom w:w="0" w:type="dxa"/>
              <w:right w:w="108" w:type="dxa"/>
            </w:tcMar>
            <w:vAlign w:val="center"/>
            <w:hideMark/>
          </w:tcPr>
          <w:p w14:paraId="194F8AE0" w14:textId="77777777" w:rsidR="005F5A80" w:rsidRDefault="005F5A80">
            <w:pPr>
              <w:spacing w:after="0"/>
            </w:pPr>
            <w:r>
              <w:rPr>
                <w:color w:val="000000"/>
              </w:rPr>
              <w:t>Do not invest; remove from active coverage</w:t>
            </w:r>
          </w:p>
        </w:tc>
      </w:tr>
    </w:tbl>
    <w:p w14:paraId="68EAB989" w14:textId="7895F7E3" w:rsidR="005B38B2" w:rsidRPr="00583E6D" w:rsidRDefault="005B38B2" w:rsidP="005B38B2">
      <w:pPr>
        <w:pStyle w:val="Heading2"/>
        <w:rPr>
          <w:color w:val="984806" w:themeColor="accent6" w:themeShade="80"/>
        </w:rPr>
      </w:pPr>
      <w:r>
        <w:rPr>
          <w:color w:val="984806" w:themeColor="accent6" w:themeShade="80"/>
        </w:rPr>
        <w:t>Hard Rules (cont’d)</w:t>
      </w:r>
    </w:p>
    <w:p w14:paraId="0FDCAD64" w14:textId="77777777" w:rsidR="003C2E66" w:rsidRPr="005F5A80" w:rsidRDefault="003C2E66" w:rsidP="00157A25">
      <w:pPr>
        <w:pStyle w:val="ListNumber"/>
        <w:rPr>
          <w:rFonts w:cstheme="minorBidi"/>
        </w:rPr>
      </w:pPr>
      <w:r>
        <w:t>A stock with a Tier 1 weighted average below 3.0 cannot qualify as Buy or Strong Buy. [Tier 1 weighted average = (∑ Tier 1 score × weight) ÷ 0.70. A floor of 3.0 is equivalent to a Tier 1 raw weighted contribution of ≥2.10.]</w:t>
      </w:r>
    </w:p>
    <w:p w14:paraId="1FF48908" w14:textId="77777777" w:rsidR="003C2E66" w:rsidRPr="005F5A80" w:rsidRDefault="003C2E66" w:rsidP="00157A25">
      <w:pPr>
        <w:pStyle w:val="ListNumber"/>
        <w:rPr>
          <w:rFonts w:cstheme="minorBidi"/>
        </w:rPr>
      </w:pPr>
      <w:r>
        <w:t>Any Tier 1 indicator scored at 1 requires a mandatory qualitative review before any decision.</w:t>
      </w:r>
    </w:p>
    <w:p w14:paraId="0339B820" w14:textId="77777777" w:rsidR="003C2E66" w:rsidRPr="005F5A80" w:rsidRDefault="003C2E66" w:rsidP="00157A25">
      <w:pPr>
        <w:pStyle w:val="ListNumber"/>
        <w:rPr>
          <w:rFonts w:cstheme="minorBidi"/>
        </w:rPr>
      </w:pPr>
      <w:r>
        <w:t>Two or more Tier 1 indicators scored at 2 or below automatically classify the stock as Avoid.</w:t>
      </w:r>
    </w:p>
    <w:p w14:paraId="58594A49" w14:textId="77777777" w:rsidR="005B38B2" w:rsidRDefault="005B38B2" w:rsidP="005B38B2">
      <w:pPr>
        <w:pStyle w:val="Heading1"/>
        <w:rPr>
          <w:rFonts w:cs="Calibri"/>
        </w:rPr>
      </w:pPr>
      <w:r>
        <w:rPr>
          <w:rFonts w:cs="Calibri"/>
        </w:rPr>
        <w:t>PART 4 — ENTRY RULES</w:t>
      </w:r>
    </w:p>
    <w:p w14:paraId="7483C83B" w14:textId="77777777" w:rsidR="005B38B2" w:rsidRDefault="005B38B2">
      <w:pPr>
        <w:spacing w:after="120"/>
        <w:rPr>
          <w:rFonts w:cs="Calibri"/>
        </w:rPr>
      </w:pPr>
      <w:r>
        <w:rPr>
          <w:rFonts w:cs="Calibri"/>
        </w:rPr>
        <w:t xml:space="preserve">A buy decision does not automatically create an entry. This section applies timing and risk controls so capital is deployed only when business quality, valuation, and market structure are aligned.</w:t>
      </w:r>
    </w:p>
    <w:p w14:paraId="7EA57DFC" w14:textId="77777777" w:rsidR="005B38B2" w:rsidRDefault="005B38B2" w:rsidP="005B38B2">
      <w:pPr>
        <w:pStyle w:val="Heading2"/>
      </w:pPr>
      <w:r>
        <w:t>Cyclical Business Adjustment</w:t>
      </w:r>
    </w:p>
    <w:p w14:paraId="3C2B1F70" w14:textId="77777777" w:rsidR="001522F7" w:rsidRDefault="005B38B2" w:rsidP="001522F7">
      <w:pPr>
        <w:spacing w:after="120"/>
        <w:ind w:right="-234"/>
        <w:rPr>
          <w:rFonts w:cs="Calibri"/>
        </w:rPr>
      </w:pPr>
      <w:r>
        <w:rPr>
          <w:rFonts w:cs="Calibri"/>
        </w:rPr>
        <w:t xml:space="preserve">For cyclical businesses in energy, materials, and industrials, the Tier 1 floor of 3.0 must be evaluated on normalized mid-cycle metrics, not trough figures. A high-quality cyclical at the bottom of its cycle will frequently fail the FCF Yield and Revenue Growth rubrics based on current figures alone — which is precisely when long-term entry opportunity is highest. </w:t>
      </w:r>
    </w:p>
    <w:p w14:paraId="2DDF24CF" w14:textId="5D61EFA4" w:rsidR="005B38B2" w:rsidRDefault="005B38B2" w:rsidP="001522F7">
      <w:pPr>
        <w:spacing w:after="120"/>
        <w:ind w:right="-234"/>
        <w:rPr>
          <w:rFonts w:cs="Calibri"/>
        </w:rPr>
      </w:pPr>
      <w:r>
        <w:rPr>
          <w:rFonts w:cs="Calibri"/>
          <w:b/>
          <w:bCs/>
          <w:color w:val="2E75B6"/>
        </w:rPr>
        <w:t>Rule:</w:t>
      </w:r>
      <w:r>
        <w:rPr>
          <w:rFonts w:cs="Calibri"/>
        </w:rPr>
        <w:t xml:space="preserve"> If FCF yield or revenue growth is temporarily depressed due to a documented commodity or demand cycle, the analyst may substitute a 5-year average or mid-cycle estimate for trough-year figures, with explicit written documentation of the cycle rationale. The substituted estimate must be conservative (below the historical mid-cycle average, not above it) and reviewed at the next quarterly re-score. This adjustment applies to Tier 1 scoring only and does not relax the hard rules in Part 3.</w:t>
      </w:r>
    </w:p>
    <w:p w14:paraId="6493E134" w14:textId="5EA55612" w:rsidR="005B38B2" w:rsidRDefault="005B38B2" w:rsidP="005B38B2">
      <w:pPr>
        <w:pStyle w:val="Heading2"/>
      </w:pPr>
      <w:r>
        <w:t xml:space="preserve">Entry Checklist / </w:t>
      </w:r>
      <w:r>
        <w:rPr>
          <w:color w:val="984806" w:themeColor="accent6" w:themeShade="80"/>
        </w:rPr>
        <w:t>Hard Rules (cont’d)</w:t>
      </w:r>
    </w:p>
    <w:p w14:paraId="18337716" w14:textId="77777777" w:rsidR="003C2E66" w:rsidRPr="005F5A80" w:rsidRDefault="003C2E66" w:rsidP="00157A25">
      <w:pPr>
        <w:pStyle w:val="ListNumber"/>
        <w:rPr>
          <w:rFonts w:cstheme="minorBidi"/>
        </w:rPr>
      </w:pPr>
      <w:r>
        <w:t>Composite Score is 65 or higher.</w:t>
      </w:r>
    </w:p>
    <w:p w14:paraId="096C4FC0" w14:textId="77777777" w:rsidR="00615F6A" w:rsidRPr="005F5A80" w:rsidRDefault="00615F6A" w:rsidP="00157A25">
      <w:pPr>
        <w:pStyle w:val="ListNumber"/>
        <w:rPr>
          <w:rFonts w:cstheme="minorBidi"/>
        </w:rPr>
      </w:pPr>
      <w:r>
        <w:t>Tier 1 weighted average is 3.0 or higher.</w:t>
      </w:r>
    </w:p>
    <w:p w14:paraId="1B3C3A8A" w14:textId="77777777" w:rsidR="00615F6A" w:rsidRPr="005F5A80" w:rsidRDefault="00615F6A" w:rsidP="00157A25">
      <w:pPr>
        <w:pStyle w:val="ListNumber"/>
        <w:rPr>
          <w:rFonts w:cstheme="minorBidi"/>
        </w:rPr>
      </w:pPr>
      <w:r>
        <w:t>No Tier 1 indicator is scored at 1.</w:t>
      </w:r>
    </w:p>
    <w:p w14:paraId="709E860A" w14:textId="77777777" w:rsidR="00615F6A" w:rsidRPr="005F5A80" w:rsidRDefault="00615F6A" w:rsidP="00157A25">
      <w:pPr>
        <w:pStyle w:val="ListNumber"/>
        <w:rPr>
          <w:rFonts w:cstheme="minorBidi"/>
        </w:rPr>
      </w:pPr>
      <w:r>
        <w:t xml:space="preserve">Price is above the 200-week moving average, or has reclaimed it within the past 6 months after a sustained decline.</w:t>
      </w:r>
    </w:p>
    <w:p w14:paraId="0C891988" w14:textId="77777777" w:rsidR="00615F6A" w:rsidRPr="005F5A80" w:rsidRDefault="00615F6A" w:rsidP="00157A25">
      <w:pPr>
        <w:pStyle w:val="ListNumber"/>
        <w:rPr>
          <w:rFonts w:cstheme="minorBidi"/>
        </w:rPr>
      </w:pPr>
      <w:r>
        <w:t>Monthly MACD is positive or turning positive.</w:t>
      </w:r>
    </w:p>
    <w:p w14:paraId="02A53F77" w14:textId="77777777" w:rsidR="00615F6A" w:rsidRPr="005F5A80" w:rsidRDefault="00615F6A" w:rsidP="00157A25">
      <w:pPr>
        <w:pStyle w:val="ListNumber"/>
        <w:rPr>
          <w:rFonts w:cstheme="minorBidi"/>
        </w:rPr>
      </w:pPr>
      <w:r>
        <w:t>No near-term binary event risk is present unless the thesis explicitly includes it.</w:t>
      </w:r>
    </w:p>
    <w:p w14:paraId="18806F88" w14:textId="77777777" w:rsidR="005F5A80" w:rsidRDefault="005F5A80">
      <w:pPr>
        <w:spacing w:before="80" w:after="120"/>
      </w:pPr>
      <w:r>
        <w:rPr>
          <w:b/>
          <w:bCs/>
          <w:color w:val="2E75B6"/>
        </w:rPr>
        <w:lastRenderedPageBreak/>
        <w:t>NOTE:</w:t>
      </w:r>
      <w:r>
        <w:t xml:space="preserve"> </w:t>
      </w:r>
      <w:r>
        <w:rPr>
          <w:i/>
          <w:iCs/>
        </w:rPr>
        <w:t xml:space="preserve">Before entry, calculate the implied 5-year return at the current price assuming your base-case FCF growth. If the implied annual return is below 10%, the margin of safety is insufficient regardless of indicator scores.</w:t>
      </w:r>
    </w:p>
    <w:p w14:paraId="124369D6" w14:textId="77777777" w:rsidR="005B38B2" w:rsidRDefault="005B38B2" w:rsidP="005B38B2">
      <w:pPr>
        <w:pStyle w:val="Heading1"/>
        <w:rPr>
          <w:rFonts w:cs="Calibri"/>
        </w:rPr>
      </w:pPr>
      <w:r>
        <w:rPr>
          <w:rFonts w:cs="Calibri"/>
        </w:rPr>
        <w:t>PART 5 — POSITION SIZING</w:t>
      </w:r>
    </w:p>
    <w:p w14:paraId="3F3FEE6A" w14:textId="77777777" w:rsidR="003C2E66" w:rsidRDefault="003C2E66">
      <w:pPr>
        <w:spacing w:after="120"/>
        <w:rPr>
          <w:rFonts w:cs="Calibri"/>
        </w:rPr>
      </w:pPr>
      <w:r>
        <w:rPr>
          <w:rFonts w:cs="Calibri"/>
        </w:rPr>
        <w:t>Position sizing converts conviction into exposure. Higher-quality, better-scoring ideas earn more capital, while portfolio rules prevent a single mistake from causing outsized damage.</w:t>
      </w:r>
    </w:p>
    <w:tbl>
      <w:tblPr>
        <w:tblStyle w:val="TableGrid"/>
        <w:tblW w:w="0" w:type="auto"/>
        <w:jc w:val="center"/>
        <w:tblLook w:val="04A0" w:firstRow="1" w:lastRow="0" w:firstColumn="1" w:lastColumn="0" w:noHBand="0" w:noVBand="1"/>
      </w:tblPr>
      <w:tblGrid>
        <w:gridCol w:w="2880"/>
        <w:gridCol w:w="2785"/>
        <w:gridCol w:w="3330"/>
      </w:tblGrid>
      <w:tr w:rsidR="002F4EDF" w:rsidRPr="00B41806" w14:paraId="10EE2B15" w14:textId="77777777" w:rsidTr="003C2E66">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D5E8F0"/>
          </w:tcPr>
          <w:p w14:paraId="12AA30C7"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b/>
                <w:color w:val="1F497D"/>
                <w:sz w:val="21"/>
                <w:szCs w:val="28"/>
              </w:rPr>
              <w:t>Composite Score</w:t>
            </w:r>
          </w:p>
        </w:tc>
        <w:tc>
          <w:tcPr>
            <w:tcW w:w="2785" w:type="dxa"/>
            <w:tcBorders>
              <w:top w:val="single" w:sz="4" w:space="0" w:color="CCCCCC"/>
              <w:left w:val="single" w:sz="4" w:space="0" w:color="CCCCCC"/>
              <w:bottom w:val="single" w:sz="4" w:space="0" w:color="CCCCCC"/>
              <w:right w:val="single" w:sz="4" w:space="0" w:color="CCCCCC"/>
            </w:tcBorders>
            <w:shd w:val="clear" w:color="auto" w:fill="D5E8F0"/>
          </w:tcPr>
          <w:p w14:paraId="261DF4B9"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b/>
                <w:color w:val="1F497D"/>
                <w:sz w:val="21"/>
                <w:szCs w:val="28"/>
              </w:rPr>
              <w:t>Max Initial Position</w:t>
            </w:r>
          </w:p>
        </w:tc>
        <w:tc>
          <w:tcPr>
            <w:tcW w:w="3330" w:type="dxa"/>
            <w:tcBorders>
              <w:top w:val="single" w:sz="4" w:space="0" w:color="CCCCCC"/>
              <w:left w:val="single" w:sz="4" w:space="0" w:color="CCCCCC"/>
              <w:bottom w:val="single" w:sz="4" w:space="0" w:color="CCCCCC"/>
              <w:right w:val="single" w:sz="4" w:space="0" w:color="CCCCCC"/>
            </w:tcBorders>
            <w:shd w:val="clear" w:color="auto" w:fill="D5E8F0"/>
          </w:tcPr>
          <w:p w14:paraId="66421A0C"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b/>
                <w:color w:val="1F497D"/>
                <w:sz w:val="21"/>
                <w:szCs w:val="28"/>
              </w:rPr>
              <w:t>Max Full Position</w:t>
            </w:r>
          </w:p>
        </w:tc>
      </w:tr>
      <w:tr w:rsidR="002F4EDF" w:rsidRPr="00B41806" w14:paraId="2CA69653" w14:textId="77777777" w:rsidTr="003C2E66">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1BF78D9D"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80–100 (Strong Buy)</w:t>
            </w:r>
          </w:p>
        </w:tc>
        <w:tc>
          <w:tcPr>
            <w:tcW w:w="2785" w:type="dxa"/>
            <w:tcBorders>
              <w:top w:val="single" w:sz="4" w:space="0" w:color="CCCCCC"/>
              <w:left w:val="single" w:sz="4" w:space="0" w:color="CCCCCC"/>
              <w:bottom w:val="single" w:sz="4" w:space="0" w:color="CCCCCC"/>
              <w:right w:val="single" w:sz="4" w:space="0" w:color="CCCCCC"/>
            </w:tcBorders>
            <w:shd w:val="clear" w:color="auto" w:fill="F5F9FC"/>
          </w:tcPr>
          <w:p w14:paraId="0300705E"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5% of portfolio</w:t>
            </w:r>
          </w:p>
        </w:tc>
        <w:tc>
          <w:tcPr>
            <w:tcW w:w="3330" w:type="dxa"/>
            <w:tcBorders>
              <w:top w:val="single" w:sz="4" w:space="0" w:color="CCCCCC"/>
              <w:left w:val="single" w:sz="4" w:space="0" w:color="CCCCCC"/>
              <w:bottom w:val="single" w:sz="4" w:space="0" w:color="CCCCCC"/>
              <w:right w:val="single" w:sz="4" w:space="0" w:color="CCCCCC"/>
            </w:tcBorders>
            <w:shd w:val="clear" w:color="auto" w:fill="F5F9FC"/>
          </w:tcPr>
          <w:p w14:paraId="42E37FB2"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8% of portfolio</w:t>
            </w:r>
          </w:p>
        </w:tc>
      </w:tr>
      <w:tr w:rsidR="002F4EDF" w:rsidRPr="00B41806" w14:paraId="7EE467CC" w14:textId="77777777" w:rsidTr="003C2E66">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DE1C3A6"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65–79  (Buy)</w:t>
            </w:r>
          </w:p>
        </w:tc>
        <w:tc>
          <w:tcPr>
            <w:tcW w:w="2785" w:type="dxa"/>
            <w:tcBorders>
              <w:top w:val="single" w:sz="4" w:space="0" w:color="CCCCCC"/>
              <w:left w:val="single" w:sz="4" w:space="0" w:color="CCCCCC"/>
              <w:bottom w:val="single" w:sz="4" w:space="0" w:color="CCCCCC"/>
              <w:right w:val="single" w:sz="4" w:space="0" w:color="CCCCCC"/>
            </w:tcBorders>
            <w:shd w:val="clear" w:color="auto" w:fill="FFFFFF"/>
          </w:tcPr>
          <w:p w14:paraId="291B7473"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3% of portfolio</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Pr>
          <w:p w14:paraId="1D4F1BA6"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5% of portfolio</w:t>
            </w:r>
          </w:p>
        </w:tc>
      </w:tr>
      <w:tr w:rsidR="002F4EDF" w:rsidRPr="00B41806" w14:paraId="43E63398" w14:textId="77777777" w:rsidTr="003C2E66">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1B6EFBAA"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Below 65</w:t>
            </w:r>
          </w:p>
        </w:tc>
        <w:tc>
          <w:tcPr>
            <w:tcW w:w="2785" w:type="dxa"/>
            <w:tcBorders>
              <w:top w:val="single" w:sz="4" w:space="0" w:color="CCCCCC"/>
              <w:left w:val="single" w:sz="4" w:space="0" w:color="CCCCCC"/>
              <w:bottom w:val="single" w:sz="4" w:space="0" w:color="CCCCCC"/>
              <w:right w:val="single" w:sz="4" w:space="0" w:color="CCCCCC"/>
            </w:tcBorders>
            <w:shd w:val="clear" w:color="auto" w:fill="F5F9FC"/>
          </w:tcPr>
          <w:p w14:paraId="0BB97AA8"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0%</w:t>
            </w:r>
          </w:p>
        </w:tc>
        <w:tc>
          <w:tcPr>
            <w:tcW w:w="3330" w:type="dxa"/>
            <w:tcBorders>
              <w:top w:val="single" w:sz="4" w:space="0" w:color="CCCCCC"/>
              <w:left w:val="single" w:sz="4" w:space="0" w:color="CCCCCC"/>
              <w:bottom w:val="single" w:sz="4" w:space="0" w:color="CCCCCC"/>
              <w:right w:val="single" w:sz="4" w:space="0" w:color="CCCCCC"/>
            </w:tcBorders>
            <w:shd w:val="clear" w:color="auto" w:fill="F5F9FC"/>
          </w:tcPr>
          <w:p w14:paraId="65A346F6" w14:textId="77777777" w:rsidR="002F4EDF" w:rsidRPr="00DA4EF2" w:rsidRDefault="00000000" w:rsidP="006F0F01">
            <w:pPr>
              <w:jc w:val="center"/>
              <w:rPr>
                <w:rFonts w:asciiTheme="majorHAnsi" w:hAnsiTheme="majorHAnsi" w:cstheme="majorHAnsi"/>
                <w:sz w:val="21"/>
                <w:szCs w:val="28"/>
              </w:rPr>
            </w:pPr>
            <w:r>
              <w:rPr>
                <w:rFonts w:asciiTheme="majorHAnsi" w:hAnsiTheme="majorHAnsi" w:cstheme="majorHAnsi"/>
                <w:sz w:val="21"/>
                <w:szCs w:val="28"/>
              </w:rPr>
              <w:t>0%</w:t>
            </w:r>
          </w:p>
        </w:tc>
      </w:tr>
    </w:tbl>
    <w:p w14:paraId="0F5A4F7F" w14:textId="11334C42" w:rsidR="00DA4EF2" w:rsidRDefault="00DA4EF2">
      <w:pPr>
        <w:spacing w:line="276" w:lineRule="auto"/>
        <w:rPr>
          <w:rFonts w:asciiTheme="majorHAnsi" w:eastAsiaTheme="majorEastAsia" w:hAnsiTheme="majorHAnsi" w:cstheme="majorBidi"/>
          <w:b/>
          <w:bCs/>
          <w:color w:val="4F81BD" w:themeColor="accent1"/>
          <w:sz w:val="26"/>
          <w:szCs w:val="26"/>
        </w:rPr>
      </w:pPr>
    </w:p>
    <w:p w14:paraId="16A884A5" w14:textId="77777777" w:rsidR="005B38B2" w:rsidRDefault="005B38B2" w:rsidP="005B38B2">
      <w:pPr>
        <w:pStyle w:val="Heading2"/>
      </w:pPr>
      <w:r>
        <w:t>Sizing Modifiers</w:t>
      </w:r>
    </w:p>
    <w:p w14:paraId="59F568AF" w14:textId="77777777" w:rsidR="003C2E66" w:rsidRDefault="003C2E66">
      <w:pPr>
        <w:pStyle w:val="ListBullet"/>
        <w:numPr>
          <w:ilvl w:val="0"/>
          <w:numId w:val="7"/>
        </w:numPr>
        <w:spacing w:line="276" w:lineRule="auto"/>
        <w:rPr>
          <w:rFonts w:cstheme="minorBidi"/>
        </w:rPr>
      </w:pPr>
      <w:r>
        <w:rPr>
          <w:rFonts w:cs="Calibri"/>
        </w:rPr>
        <w:t>Insider ownership &gt;5% with recent open-market purchases: +1% to max position.</w:t>
      </w:r>
    </w:p>
    <w:p w14:paraId="36BDEB00" w14:textId="77777777" w:rsidR="003C2E66" w:rsidRDefault="003C2E66">
      <w:pPr>
        <w:pStyle w:val="ListBullet"/>
        <w:numPr>
          <w:ilvl w:val="0"/>
          <w:numId w:val="7"/>
        </w:numPr>
        <w:spacing w:line="276" w:lineRule="auto"/>
        <w:rPr>
          <w:rFonts w:cstheme="minorBidi"/>
        </w:rPr>
      </w:pPr>
      <w:r>
        <w:rPr>
          <w:rFonts w:cs="Calibri"/>
        </w:rPr>
        <w:t>Debt/FCF ratio above 4x: –1% to max position (fragility discount).</w:t>
      </w:r>
    </w:p>
    <w:p w14:paraId="2EED2848" w14:textId="77777777" w:rsidR="003C2E66" w:rsidRDefault="003C2E66">
      <w:pPr>
        <w:pStyle w:val="ListBullet"/>
        <w:numPr>
          <w:ilvl w:val="0"/>
          <w:numId w:val="7"/>
        </w:numPr>
        <w:spacing w:line="276" w:lineRule="auto"/>
        <w:rPr>
          <w:rFonts w:cstheme="minorBidi"/>
        </w:rPr>
      </w:pPr>
      <w:r>
        <w:rPr>
          <w:rFonts w:cs="Calibri"/>
        </w:rPr>
        <w:t>Single customer &gt;30% of revenue: –1% to max position.</w:t>
      </w:r>
    </w:p>
    <w:p w14:paraId="5B2F1E5B" w14:textId="77777777" w:rsidR="003C2E66" w:rsidRDefault="003C2E66">
      <w:pPr>
        <w:pStyle w:val="ListBullet"/>
        <w:numPr>
          <w:ilvl w:val="0"/>
          <w:numId w:val="7"/>
        </w:numPr>
        <w:spacing w:line="276" w:lineRule="auto"/>
        <w:rPr>
          <w:rFonts w:cstheme="minorBidi"/>
        </w:rPr>
      </w:pPr>
      <w:r>
        <w:rPr>
          <w:rFonts w:cs="Calibri"/>
        </w:rPr>
        <w:t>Position in same sector as existing holding &gt;5%: cap combined sector exposure at 25% of portfolio.</w:t>
      </w:r>
    </w:p>
    <w:p w14:paraId="39AC7ED9" w14:textId="77777777" w:rsidR="003C2E66" w:rsidRDefault="003C2E66">
      <w:pPr>
        <w:pStyle w:val="ListBullet"/>
        <w:numPr>
          <w:ilvl w:val="0"/>
          <w:numId w:val="7"/>
        </w:numPr>
        <w:spacing w:line="276" w:lineRule="auto"/>
        <w:rPr>
          <w:rFonts w:cstheme="minorBidi"/>
        </w:rPr>
      </w:pPr>
      <w:r>
        <w:rPr>
          <w:rFonts w:cs="Calibri"/>
        </w:rPr>
        <w:t>Macro headwind active (see Part 7): –1% to all new positions in affected sectors.</w:t>
      </w:r>
    </w:p>
    <w:p w14:paraId="298B12FD" w14:textId="77777777" w:rsidR="005B38B2" w:rsidRDefault="005B38B2" w:rsidP="005B38B2">
      <w:pPr>
        <w:pStyle w:val="Heading2"/>
      </w:pPr>
      <w:r>
        <w:t>Hard Rules</w:t>
      </w:r>
    </w:p>
    <w:p w14:paraId="57644AAD" w14:textId="77777777" w:rsidR="003C2E66" w:rsidRDefault="003C2E66">
      <w:pPr>
        <w:pStyle w:val="ListBullet"/>
        <w:numPr>
          <w:ilvl w:val="0"/>
          <w:numId w:val="8"/>
        </w:numPr>
        <w:spacing w:line="276" w:lineRule="auto"/>
        <w:rPr>
          <w:rFonts w:cstheme="minorBidi"/>
        </w:rPr>
      </w:pPr>
      <w:r>
        <w:rPr>
          <w:rFonts w:cs="Calibri"/>
        </w:rPr>
        <w:t>No single position &gt;8% of portfolio at cost.</w:t>
      </w:r>
    </w:p>
    <w:p w14:paraId="3D91B5BA" w14:textId="77777777" w:rsidR="003C2E66" w:rsidRDefault="003C2E66">
      <w:pPr>
        <w:pStyle w:val="ListBullet"/>
        <w:numPr>
          <w:ilvl w:val="0"/>
          <w:numId w:val="8"/>
        </w:numPr>
        <w:spacing w:line="276" w:lineRule="auto"/>
        <w:rPr>
          <w:rFonts w:cstheme="minorBidi"/>
        </w:rPr>
      </w:pPr>
      <w:r>
        <w:rPr>
          <w:rFonts w:cs="Calibri"/>
        </w:rPr>
        <w:t>No single sector &gt;25% of portfolio.</w:t>
      </w:r>
    </w:p>
    <w:p w14:paraId="19F5631C" w14:textId="77777777" w:rsidR="003C2E66" w:rsidRDefault="003C2E66">
      <w:pPr>
        <w:pStyle w:val="ListBullet"/>
        <w:numPr>
          <w:ilvl w:val="0"/>
          <w:numId w:val="8"/>
        </w:numPr>
        <w:spacing w:line="276" w:lineRule="auto"/>
        <w:rPr>
          <w:rFonts w:cstheme="minorBidi"/>
        </w:rPr>
      </w:pPr>
      <w:r>
        <w:rPr>
          <w:rFonts w:cs="Calibri"/>
        </w:rPr>
        <w:t>Minimum 12 positions in a fully invested portfolio.</w:t>
      </w:r>
    </w:p>
    <w:p w14:paraId="75E7E809" w14:textId="77777777" w:rsidR="003C2E66" w:rsidRDefault="003C2E66">
      <w:pPr>
        <w:pStyle w:val="ListBullet"/>
        <w:numPr>
          <w:ilvl w:val="0"/>
          <w:numId w:val="8"/>
        </w:numPr>
        <w:spacing w:line="276" w:lineRule="auto"/>
        <w:rPr>
          <w:rFonts w:cstheme="minorBidi"/>
        </w:rPr>
      </w:pPr>
      <w:r>
        <w:rPr>
          <w:rFonts w:cs="Calibri"/>
        </w:rPr>
        <w:t xml:space="preserve">Cash allocation: 5–15% at all times (dry powder and risk management).</w:t>
      </w:r>
    </w:p>
    <w:p w14:paraId="2F5A3EC4" w14:textId="248839EA" w:rsidR="001522F7" w:rsidRPr="00C2475F" w:rsidRDefault="003C2E66" w:rsidP="00C2475F">
      <w:pPr>
        <w:pStyle w:val="ListBullet"/>
        <w:numPr>
          <w:ilvl w:val="0"/>
          <w:numId w:val="8"/>
        </w:numPr>
        <w:spacing w:line="276" w:lineRule="auto"/>
        <w:rPr>
          <w:rFonts w:cs="Calibri"/>
        </w:rPr>
      </w:pPr>
      <w:r>
        <w:rPr>
          <w:rFonts w:cs="Calibri"/>
          <w:b/>
          <w:bCs/>
        </w:rPr>
        <w:t xml:space="preserve">Scarce qualified ideas: </w:t>
      </w:r>
      <w:r>
        <w:rPr>
          <w:rFonts w:cs="Calibri"/>
        </w:rPr>
        <w:t>If fewer than 12 qualifying ideas (Composite Score ≥65) are available, do NOT lower the scoring threshold to achieve full investment. Hold the difference in cash. Forcing positions below the threshold to reach a target number of holdings is a systematic error that degrades long-term performance.</w:t>
      </w:r>
    </w:p>
    <w:p w14:paraId="6E703897" w14:textId="77777777" w:rsidR="005B38B2" w:rsidRDefault="005B38B2" w:rsidP="005B38B2">
      <w:pPr>
        <w:pStyle w:val="Heading1"/>
        <w:rPr>
          <w:rFonts w:cs="Calibri"/>
        </w:rPr>
      </w:pPr>
      <w:r>
        <w:rPr>
          <w:rFonts w:cs="Calibri"/>
        </w:rPr>
        <w:t>PART 6 — EXIT &amp; SELL RULES</w:t>
      </w:r>
    </w:p>
    <w:p w14:paraId="6237D9A9" w14:textId="77777777" w:rsidR="003C2E66" w:rsidRDefault="003C2E66">
      <w:pPr>
        <w:spacing w:after="120"/>
        <w:rPr>
          <w:rFonts w:cs="Calibri"/>
        </w:rPr>
      </w:pPr>
      <w:r>
        <w:rPr>
          <w:rFonts w:cs="Calibri"/>
        </w:rPr>
        <w:t xml:space="preserve">A repeatable system needs explicit exit rules as much as entry rules. This section separates true deterioration from temporary volatility so positions are trimmed or sold for the right reasons.</w:t>
      </w:r>
    </w:p>
    <w:p w14:paraId="13A61C50" w14:textId="466A139A" w:rsidR="005B38B2" w:rsidRPr="001522F7" w:rsidRDefault="005B38B2" w:rsidP="005B38B2">
      <w:pPr>
        <w:pStyle w:val="Heading2"/>
        <w:rPr>
          <w:color w:val="984806" w:themeColor="accent6" w:themeShade="80"/>
        </w:rPr>
      </w:pPr>
      <w:r>
        <w:t xml:space="preserve">Sell Triggers — Fundamental (act within 30 days of confirmation) / </w:t>
      </w:r>
      <w:r>
        <w:rPr>
          <w:color w:val="984806" w:themeColor="accent6" w:themeShade="80"/>
        </w:rPr>
        <w:t>Hard Rules (cont’d)</w:t>
      </w:r>
    </w:p>
    <w:p w14:paraId="6698DC76" w14:textId="77777777" w:rsidR="00615F6A" w:rsidRPr="005F5A80" w:rsidRDefault="00615F6A" w:rsidP="00157A25">
      <w:pPr>
        <w:pStyle w:val="ListNumber"/>
        <w:rPr>
          <w:rFonts w:cstheme="minorBidi"/>
        </w:rPr>
      </w:pPr>
      <w:r>
        <w:t>FCF Yield &amp; Trend falls to 1 for two consecutive quarters.</w:t>
      </w:r>
    </w:p>
    <w:p w14:paraId="114E8BF0" w14:textId="77777777" w:rsidR="00615F6A" w:rsidRPr="005F5A80" w:rsidRDefault="00615F6A" w:rsidP="00157A25">
      <w:pPr>
        <w:pStyle w:val="ListNumber"/>
        <w:rPr>
          <w:rFonts w:cstheme="minorBidi"/>
        </w:rPr>
      </w:pPr>
      <w:r>
        <w:t>Competitive moat degrades from durable to absent.</w:t>
      </w:r>
    </w:p>
    <w:p w14:paraId="0D5B2D57" w14:textId="77777777" w:rsidR="00615F6A" w:rsidRPr="005F5A80" w:rsidRDefault="00615F6A" w:rsidP="00157A25">
      <w:pPr>
        <w:pStyle w:val="ListNumber"/>
        <w:rPr>
          <w:rFonts w:cstheme="minorBidi"/>
        </w:rPr>
      </w:pPr>
      <w:r>
        <w:t xml:space="preserve">ROIC falls below WACC for two consecutive years.</w:t>
      </w:r>
    </w:p>
    <w:p w14:paraId="7DE70A17" w14:textId="77777777" w:rsidR="00615F6A" w:rsidRPr="005F5A80" w:rsidRDefault="00615F6A" w:rsidP="00157A25">
      <w:pPr>
        <w:pStyle w:val="ListNumber"/>
        <w:rPr>
          <w:rFonts w:cstheme="minorBidi"/>
        </w:rPr>
      </w:pPr>
      <w:r>
        <w:t>Management quality falls to 1 because of destructive capital allocation.</w:t>
      </w:r>
    </w:p>
    <w:p w14:paraId="237B09FF" w14:textId="77777777" w:rsidR="00615F6A" w:rsidRPr="005F5A80" w:rsidRDefault="00615F6A" w:rsidP="00157A25">
      <w:pPr>
        <w:pStyle w:val="ListNumber"/>
        <w:rPr>
          <w:rFonts w:cstheme="minorBidi"/>
        </w:rPr>
      </w:pPr>
      <w:r>
        <w:t>Revenue growth turns negative for two consecutive quarters without a credible cyclical explanation (see Part 4 Cyclical Business Adjustment — documented cycle rationale applies here equally).</w:t>
      </w:r>
    </w:p>
    <w:p w14:paraId="423B35DB" w14:textId="77777777" w:rsidR="00615F6A" w:rsidRPr="005F5A80" w:rsidRDefault="00615F6A" w:rsidP="00157A25">
      <w:pPr>
        <w:pStyle w:val="ListNumber"/>
        <w:rPr>
          <w:rFonts w:cstheme="minorBidi"/>
        </w:rPr>
      </w:pPr>
      <w:r>
        <w:t>Debt-to-FCF exceeds 6x with no credible deleveraging path.</w:t>
      </w:r>
    </w:p>
    <w:p w14:paraId="748DF191" w14:textId="093298A5" w:rsidR="005B38B2" w:rsidRDefault="005B38B2" w:rsidP="005B38B2">
      <w:pPr>
        <w:pStyle w:val="Heading2"/>
      </w:pPr>
      <w:r>
        <w:t xml:space="preserve">Sell Triggers — Valuation (trim or sell when price exceeds intrinsic value) / </w:t>
      </w:r>
      <w:r>
        <w:rPr>
          <w:color w:val="984806" w:themeColor="accent6" w:themeShade="80"/>
        </w:rPr>
        <w:t>Hard Rules (cont’d)</w:t>
      </w:r>
    </w:p>
    <w:p w14:paraId="04792DCF" w14:textId="77777777" w:rsidR="003C2E66" w:rsidRPr="005F5A80" w:rsidRDefault="003C2E66" w:rsidP="00157A25">
      <w:pPr>
        <w:pStyle w:val="ListNumber"/>
      </w:pPr>
      <w:r>
        <w:t>P/FCF rises above 50x while FCF growth is below 15%.</w:t>
      </w:r>
    </w:p>
    <w:p w14:paraId="37DF017E" w14:textId="77777777" w:rsidR="003C2E66" w:rsidRPr="005F5A80" w:rsidRDefault="003C2E66" w:rsidP="00157A25">
      <w:pPr>
        <w:pStyle w:val="ListNumber"/>
      </w:pPr>
      <w:r>
        <w:t>Implied 5-year annualized return falls below 7%.</w:t>
      </w:r>
    </w:p>
    <w:p w14:paraId="01490775" w14:textId="77777777" w:rsidR="003C2E66" w:rsidRPr="005F5A80" w:rsidRDefault="003C2E66" w:rsidP="00157A25">
      <w:pPr>
        <w:pStyle w:val="ListNumber"/>
      </w:pPr>
      <w:r>
        <w:t>Position size grows above the maximum full position because of appreciation.</w:t>
      </w:r>
    </w:p>
    <w:p w14:paraId="01490776" w14:textId="77777777" w:rsidR="003C2E66" w:rsidRPr="005F5A80" w:rsidRDefault="003C2E66" w:rsidP="00157A25">
      <w:pPr>
        <w:pStyle w:val="ListNumber"/>
      </w:pPr>
      <w:r>
        <w:t>A re-score that reduces a holding to a lower decision tier (e.g., Strong Buy to Buy) requires trimming the position to the new tier’s maximum full position (Part 5) within 30 days, even if no other sell trigger has fired.</w:t>
      </w:r>
    </w:p>
    <w:p w14:paraId="69AFCE52" w14:textId="77777777" w:rsidR="005F5A80" w:rsidRDefault="005F5A80" w:rsidP="005F5A80">
      <w:pPr>
        <w:pStyle w:val="Heading2"/>
      </w:pPr>
      <w:r>
        <w:lastRenderedPageBreak/>
        <w:t>Hold Through (do NOT sell based on these alone)</w:t>
      </w:r>
    </w:p>
    <w:p w14:paraId="188B102F" w14:textId="77777777" w:rsidR="003C2E66" w:rsidRDefault="003C2E66">
      <w:pPr>
        <w:pStyle w:val="ListBullet"/>
        <w:numPr>
          <w:ilvl w:val="0"/>
          <w:numId w:val="10"/>
        </w:numPr>
        <w:spacing w:line="276" w:lineRule="auto"/>
      </w:pPr>
      <w:r>
        <w:t>Short-term price decline of 20–30% with no change in Tier 1/2 fundamentals — this is noise.</w:t>
      </w:r>
    </w:p>
    <w:p w14:paraId="29F8ABB3" w14:textId="77777777" w:rsidR="003C2E66" w:rsidRDefault="003C2E66">
      <w:pPr>
        <w:pStyle w:val="ListBullet"/>
        <w:numPr>
          <w:ilvl w:val="0"/>
          <w:numId w:val="10"/>
        </w:numPr>
        <w:spacing w:line="276" w:lineRule="auto"/>
      </w:pPr>
      <w:r>
        <w:t>One quarter of earnings miss — evaluate cause; only sell if it signals structural deterioration.</w:t>
      </w:r>
    </w:p>
    <w:p w14:paraId="43DFB696" w14:textId="77777777" w:rsidR="003C2E66" w:rsidRDefault="003C2E66">
      <w:pPr>
        <w:pStyle w:val="ListBullet"/>
        <w:numPr>
          <w:ilvl w:val="0"/>
          <w:numId w:val="10"/>
        </w:numPr>
        <w:spacing w:line="276" w:lineRule="auto"/>
      </w:pPr>
      <w:r>
        <w:t>Analyst downgrades — lagging indicator; revisit Tier 1/2 signals instead.</w:t>
      </w:r>
    </w:p>
    <w:p w14:paraId="786C7A0C" w14:textId="77777777" w:rsidR="003C2E66" w:rsidRDefault="003C2E66">
      <w:pPr>
        <w:pStyle w:val="ListBullet"/>
        <w:numPr>
          <w:ilvl w:val="0"/>
          <w:numId w:val="10"/>
        </w:numPr>
        <w:spacing w:line="276" w:lineRule="auto"/>
      </w:pPr>
      <w:r>
        <w:t>Market-wide selloff — if fundamentals are intact, this is often an opportunity to add, not sell.</w:t>
      </w:r>
    </w:p>
    <w:p w14:paraId="74930B3A" w14:textId="77777777" w:rsidR="00382F9D" w:rsidRPr="003C2E66" w:rsidRDefault="005B38B2">
      <w:pPr>
        <w:pStyle w:val="ListBullet"/>
        <w:numPr>
          <w:ilvl w:val="0"/>
          <w:numId w:val="10"/>
        </w:numPr>
        <w:rPr>
          <w:rFonts w:asciiTheme="minorHAnsi" w:hAnsiTheme="minorHAnsi" w:cstheme="minorBidi"/>
        </w:rPr>
      </w:pPr>
      <w:r>
        <w:t>Narrative shift or negative press — evaluate facts, not sentiment.</w:t>
      </w:r>
    </w:p>
    <w:p w14:paraId="4822AD6D" w14:textId="1E10F8CA" w:rsidR="005B38B2" w:rsidRDefault="005B38B2" w:rsidP="005B38B2">
      <w:pPr>
        <w:pStyle w:val="Heading2"/>
      </w:pPr>
      <w:r>
        <w:t xml:space="preserve">Annual Review Process / </w:t>
      </w:r>
      <w:r>
        <w:rPr>
          <w:color w:val="984806" w:themeColor="accent6" w:themeShade="80"/>
        </w:rPr>
        <w:t>Hard Rules (cont’d)</w:t>
      </w:r>
    </w:p>
    <w:p w14:paraId="75640417" w14:textId="77777777" w:rsidR="00D13FDE" w:rsidRPr="005F5A80" w:rsidRDefault="00D13FDE" w:rsidP="00157A25">
      <w:pPr>
        <w:pStyle w:val="ListNumber"/>
        <w:rPr>
          <w:rFonts w:cstheme="minorBidi"/>
        </w:rPr>
      </w:pPr>
      <w:r>
        <w:t>Re-score every holding annually, or within 2 weeks of any material earnings release.</w:t>
      </w:r>
    </w:p>
    <w:p w14:paraId="18FDC9DD" w14:textId="77777777" w:rsidR="00D13FDE" w:rsidRPr="005F5A80" w:rsidRDefault="00D13FDE" w:rsidP="00157A25">
      <w:pPr>
        <w:pStyle w:val="ListNumber"/>
        <w:rPr>
          <w:rFonts w:cstheme="minorBidi"/>
        </w:rPr>
      </w:pPr>
      <w:r>
        <w:t>If the Composite Score falls below 50, move the holding to Watch List status and set a 90-day improvement deadline.</w:t>
      </w:r>
    </w:p>
    <w:p w14:paraId="18FDC9DE" w14:textId="77777777" w:rsidR="00D13FDE" w:rsidRPr="005F5A80" w:rsidRDefault="00D13FDE" w:rsidP="00157A25">
      <w:pPr>
        <w:pStyle w:val="ListNumber"/>
        <w:rPr>
          <w:rFonts w:cstheme="minorBidi"/>
        </w:rPr>
      </w:pPr>
      <w:r>
        <w:t>If a Watch List holding has not returned to a Composite Score of 50 or higher by the 90-day deadline, sell within 30 days of the deadline lapsing. An extension is not permitted without a documented, dated re-score showing a credible path back above 50.</w:t>
      </w:r>
    </w:p>
    <w:p w14:paraId="3CBEBA07" w14:textId="6E38B9BE" w:rsidR="00DA4EF2" w:rsidRPr="00C2475F" w:rsidRDefault="00D13FDE" w:rsidP="00157A25">
      <w:pPr>
        <w:pStyle w:val="ListNumber"/>
        <w:rPr>
          <w:rFonts w:cstheme="minorBidi"/>
        </w:rPr>
      </w:pPr>
      <w:r>
        <w:t>If the Composite Score falls below 35, sell within 30 days.</w:t>
      </w:r>
    </w:p>
    <w:p w14:paraId="7BF376BB" w14:textId="77777777" w:rsidR="005B38B2" w:rsidRDefault="005B38B2" w:rsidP="005B38B2">
      <w:pPr>
        <w:pStyle w:val="Heading1"/>
        <w:rPr>
          <w:rFonts w:cs="Calibri"/>
        </w:rPr>
      </w:pPr>
      <w:r>
        <w:rPr>
          <w:rFonts w:cs="Calibri"/>
        </w:rPr>
        <w:t>PART 7 — MACRO-OVERLAY</w:t>
      </w:r>
    </w:p>
    <w:p w14:paraId="461EDC1E" w14:textId="77777777" w:rsidR="003C2E66" w:rsidRDefault="003C2E66">
      <w:pPr>
        <w:spacing w:after="120"/>
      </w:pPr>
      <w:r>
        <w:rPr>
          <w:rFonts w:cs="Calibri"/>
        </w:rPr>
        <w:t>The system remains fundamentally bottom-up, but market conditions can affect timing and risk. The macro-overlay modifies position size and entry urgency without changing the underlying business score.</w:t>
      </w:r>
    </w:p>
    <w:tbl>
      <w:tblPr>
        <w:tblStyle w:val="TableGrid"/>
        <w:tblW w:w="0" w:type="auto"/>
        <w:jc w:val="center"/>
        <w:tblLook w:val="04A0" w:firstRow="1" w:lastRow="0" w:firstColumn="1" w:lastColumn="0" w:noHBand="0" w:noVBand="1"/>
      </w:tblPr>
      <w:tblGrid>
        <w:gridCol w:w="3168"/>
        <w:gridCol w:w="6192"/>
      </w:tblGrid>
      <w:tr w:rsidR="002F4EDF" w:rsidRPr="00B41806" w14:paraId="22F68297" w14:textId="77777777" w:rsidTr="00D343AB">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D5E8F0"/>
          </w:tcPr>
          <w:p w14:paraId="28EF523A"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b/>
                <w:color w:val="1F497D"/>
                <w:sz w:val="21"/>
                <w:szCs w:val="28"/>
              </w:rPr>
              <w:t>Macro Condition</w:t>
            </w:r>
          </w:p>
        </w:tc>
        <w:tc>
          <w:tcPr>
            <w:tcW w:w="6192" w:type="dxa"/>
            <w:tcBorders>
              <w:top w:val="single" w:sz="4" w:space="0" w:color="CCCCCC"/>
              <w:left w:val="single" w:sz="4" w:space="0" w:color="CCCCCC"/>
              <w:bottom w:val="single" w:sz="4" w:space="0" w:color="CCCCCC"/>
              <w:right w:val="single" w:sz="4" w:space="0" w:color="CCCCCC"/>
            </w:tcBorders>
            <w:shd w:val="clear" w:color="auto" w:fill="D5E8F0"/>
          </w:tcPr>
          <w:p w14:paraId="0032410F"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b/>
                <w:color w:val="1F497D"/>
                <w:sz w:val="21"/>
                <w:szCs w:val="28"/>
              </w:rPr>
              <w:t>Effect on System</w:t>
            </w:r>
          </w:p>
        </w:tc>
      </w:tr>
      <w:tr w:rsidR="002F4EDF" w:rsidRPr="00B41806" w14:paraId="18DE564F" w14:textId="77777777" w:rsidTr="00DA4EF2">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5FC9FCA"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Rising rate environment</w:t>
              <w:br/>
              <w:t>(Fed tightening cycle active)</w:t>
            </w:r>
          </w:p>
        </w:tc>
        <w:tc>
          <w:tcPr>
            <w:tcW w:w="6192"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278AF4CE"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Reduce max position size by 1% for high-multiple growth stocks (P/FCF &gt;40x). Favor FCF yield and low-debt names.</w:t>
            </w:r>
          </w:p>
        </w:tc>
      </w:tr>
      <w:tr w:rsidR="002F4EDF" w:rsidRPr="00B41806" w14:paraId="712C91BE" w14:textId="77777777" w:rsidTr="00DA4EF2">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A1D584"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Inverted yield curve</w:t>
              <w:br/>
              <w:t>(2s/10s inverted &gt;3 months)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88E0FF"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Raise cash floor to 10% minimum. No new positions in cyclicals or leveraged businesses. Favor defensive compounders.</w:t>
            </w:r>
          </w:p>
        </w:tc>
      </w:tr>
      <w:tr w:rsidR="002F4EDF" w:rsidRPr="00B41806" w14:paraId="571D21C6" w14:textId="77777777" w:rsidTr="00DA4EF2">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55E010A5"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Credit spreads widening rapidly</w:t>
              <w:br/>
              <w:t>(HY spreads &gt;600 bps)</w:t>
            </w:r>
          </w:p>
        </w:tc>
        <w:tc>
          <w:tcPr>
            <w:tcW w:w="6192"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FEB7611"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Pause all new entries. Reassess existing holdings with Debt/FCF &gt;3x. Hold cash.</w:t>
            </w:r>
          </w:p>
        </w:tc>
      </w:tr>
      <w:tr w:rsidR="002F4EDF" w:rsidRPr="00B41806" w14:paraId="42F38304" w14:textId="77777777" w:rsidTr="00DA4EF2">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A57A3B"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Broad market downtrend</w:t>
              <w:br/>
              <w:t>(SPY below 200-week MA)</w:t>
            </w:r>
          </w:p>
        </w:tc>
        <w:tc>
          <w:tcPr>
            <w:tcW w:w="61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4EDFFB"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Reduce all new position sizes by 50%. Continue holding fundamentally intact positions. Accumulate Watch List candidates for entry when trend recovers.</w:t>
            </w:r>
          </w:p>
        </w:tc>
      </w:tr>
      <w:tr w:rsidR="002F4EDF" w:rsidRPr="00B41806" w14:paraId="42FAE60D" w14:textId="77777777" w:rsidTr="00DA4EF2">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2F5FA56"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Sector-specific regulatory/geopolitical risk</w:t>
            </w:r>
          </w:p>
        </w:tc>
        <w:tc>
          <w:tcPr>
            <w:tcW w:w="6192"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1916C78"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Reduce sector cap from 25% to 15% for affected sector. Re-evaluate moat scores for regulatory dependency.</w:t>
            </w:r>
          </w:p>
        </w:tc>
      </w:tr>
    </w:tbl>
    <w:p w14:paraId="0C63BCCD" w14:textId="5D76930D" w:rsidR="001522F7" w:rsidRDefault="005F5A80" w:rsidP="001522F7">
      <w:pPr>
        <w:spacing w:before="80" w:after="120"/>
        <w:rPr>
          <w:i/>
          <w:iCs/>
        </w:rPr>
      </w:pPr>
      <w:r>
        <w:rPr>
          <w:b/>
          <w:bCs/>
          <w:color w:val="2E75B6"/>
        </w:rPr>
        <w:t>NOTE:</w:t>
      </w:r>
      <w:r>
        <w:t xml:space="preserve"> </w:t>
      </w:r>
      <w:r>
        <w:rPr>
          <w:i/>
          <w:iCs/>
        </w:rPr>
        <w:t xml:space="preserve">Macro overlays are temporary modifiers. When the condition resolves, revert to standard sizing. Do </w:t>
      </w:r>
      <w:r>
        <w:rPr>
          <w:b/>
          <w:bCs/>
          <w:i/>
          <w:iCs/>
        </w:rPr>
        <w:t>NOT</w:t>
      </w:r>
      <w:r>
        <w:rPr>
          <w:i/>
          <w:iCs/>
        </w:rPr>
        <w:t xml:space="preserve"> let macro fear permanently suppress position sizes in fundamentally strong businesses.</w:t>
      </w:r>
    </w:p>
    <w:p w14:paraId="28F440C0" w14:textId="77777777" w:rsidR="001522F7" w:rsidRDefault="001522F7">
      <w:pPr>
        <w:spacing w:line="276" w:lineRule="auto"/>
        <w:rPr>
          <w:i/>
          <w:iCs/>
        </w:rPr>
      </w:pPr>
      <w:r>
        <w:rPr>
          <w:i/>
          <w:iCs/>
        </w:rPr>
        <w:br w:type="page"/>
      </w:r>
    </w:p>
    <w:p w14:paraId="694EB194" w14:textId="77777777" w:rsidR="005B38B2" w:rsidRDefault="005B38B2" w:rsidP="005B38B2">
      <w:pPr>
        <w:pStyle w:val="Heading1"/>
        <w:rPr>
          <w:rFonts w:cs="Calibri"/>
        </w:rPr>
      </w:pPr>
      <w:r>
        <w:rPr>
          <w:rFonts w:cs="Calibri"/>
        </w:rPr>
        <w:lastRenderedPageBreak/>
        <w:t>PART 8 — STOCK SCORING TEMPLATE</w:t>
      </w:r>
    </w:p>
    <w:p w14:paraId="0AFF61F2" w14:textId="77777777" w:rsidR="003C2E66" w:rsidRDefault="003C2E66">
      <w:pPr>
        <w:spacing w:after="120"/>
      </w:pPr>
      <w:r>
        <w:rPr>
          <w:rFonts w:cs="Calibri"/>
        </w:rPr>
        <w:t xml:space="preserve">Use this template to compare multiple candidates side by side. Score each indicator from 1 to 5, calculate each indicator’s weighted contribution (score × weight) and sum across all indicators, then record the Composite Score, decision, and key risks.</w:t>
      </w:r>
    </w:p>
    <w:tbl>
      <w:tblPr>
        <w:tblStyle w:val="TableGrid"/>
        <w:tblW w:w="0" w:type="auto"/>
        <w:tblLook w:val="04A0" w:firstRow="1" w:lastRow="0" w:firstColumn="1" w:lastColumn="0" w:noHBand="0" w:noVBand="1"/>
      </w:tblPr>
      <w:tblGrid>
        <w:gridCol w:w="2560"/>
        <w:gridCol w:w="582"/>
        <w:gridCol w:w="938"/>
        <w:gridCol w:w="938"/>
        <w:gridCol w:w="938"/>
        <w:gridCol w:w="938"/>
        <w:gridCol w:w="938"/>
        <w:gridCol w:w="938"/>
        <w:gridCol w:w="938"/>
        <w:gridCol w:w="938"/>
      </w:tblGrid>
      <w:tr w:rsidR="002F4EDF" w:rsidRPr="00B41806" w14:paraId="434D98D3" w14:textId="77777777">
        <w:tc>
          <w:tcPr>
            <w:tcW w:w="2880" w:type="dxa"/>
            <w:tcBorders>
              <w:top w:val="single" w:sz="4" w:space="0" w:color="CCCCCC"/>
              <w:left w:val="single" w:sz="4" w:space="0" w:color="CCCCCC"/>
              <w:bottom w:val="single" w:sz="4" w:space="0" w:color="CCCCCC"/>
              <w:right w:val="single" w:sz="4" w:space="0" w:color="CCCCCC"/>
            </w:tcBorders>
            <w:shd w:val="clear" w:color="auto" w:fill="D5E8F0"/>
          </w:tcPr>
          <w:p w14:paraId="025D38F7"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Indicator</w:t>
            </w:r>
          </w:p>
        </w:tc>
        <w:tc>
          <w:tcPr>
            <w:tcW w:w="576" w:type="dxa"/>
            <w:tcBorders>
              <w:top w:val="single" w:sz="4" w:space="0" w:color="CCCCCC"/>
              <w:left w:val="single" w:sz="4" w:space="0" w:color="CCCCCC"/>
              <w:bottom w:val="single" w:sz="4" w:space="0" w:color="CCCCCC"/>
              <w:right w:val="single" w:sz="4" w:space="0" w:color="CCCCCC"/>
            </w:tcBorders>
            <w:shd w:val="clear" w:color="auto" w:fill="D5E8F0"/>
          </w:tcPr>
          <w:p w14:paraId="4D5F0A1C"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Wt</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213BEB9"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A</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A8894EC"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B</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44C61A25"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C</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7EE5D34E"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D</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1E85DAE"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E</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A5ED046"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F</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0268F522"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G</w:t>
            </w: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0F90DBD1"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Stock H</w:t>
            </w:r>
          </w:p>
        </w:tc>
      </w:tr>
      <w:tr w:rsidR="002F4EDF" w:rsidRPr="00B41806" w14:paraId="45B0B5D7" w14:textId="77777777">
        <w:tc>
          <w:tcPr>
            <w:tcW w:w="2880" w:type="dxa"/>
            <w:tcBorders>
              <w:top w:val="single" w:sz="4" w:space="0" w:color="CCCCCC"/>
              <w:left w:val="single" w:sz="4" w:space="0" w:color="CCCCCC"/>
              <w:bottom w:val="single" w:sz="4" w:space="0" w:color="CCCCCC"/>
              <w:right w:val="single" w:sz="4" w:space="0" w:color="CCCCCC"/>
            </w:tcBorders>
            <w:shd w:val="clear" w:color="auto" w:fill="D5E8F0"/>
          </w:tcPr>
          <w:p w14:paraId="12ECB477"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TIER 1 — Highest Predictive Weight (70%)</w:t>
            </w:r>
          </w:p>
        </w:tc>
        <w:tc>
          <w:tcPr>
            <w:tcW w:w="576" w:type="dxa"/>
            <w:tcBorders>
              <w:top w:val="single" w:sz="4" w:space="0" w:color="CCCCCC"/>
              <w:left w:val="single" w:sz="4" w:space="0" w:color="CCCCCC"/>
              <w:bottom w:val="single" w:sz="4" w:space="0" w:color="CCCCCC"/>
              <w:right w:val="single" w:sz="4" w:space="0" w:color="CCCCCC"/>
            </w:tcBorders>
            <w:shd w:val="clear" w:color="auto" w:fill="D5E8F0"/>
          </w:tcPr>
          <w:p w14:paraId="1DD3FC9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88E120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2D55B8C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4C9FAE1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24E7BBB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9186CB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91056A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32D9A6F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2E6A765" w14:textId="77777777" w:rsidR="002F4EDF" w:rsidRPr="00DA4EF2" w:rsidRDefault="002F4EDF" w:rsidP="00DA4EF2">
            <w:pPr>
              <w:jc w:val="center"/>
              <w:rPr>
                <w:rFonts w:asciiTheme="majorHAnsi" w:hAnsiTheme="majorHAnsi" w:cstheme="majorHAnsi"/>
                <w:sz w:val="21"/>
                <w:szCs w:val="21"/>
              </w:rPr>
            </w:pPr>
          </w:p>
        </w:tc>
      </w:tr>
      <w:tr w:rsidR="002F4EDF" w:rsidRPr="00B41806" w14:paraId="623F5096"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273CE561"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Free Cash Flow Yield &amp; Trend</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66387FC5"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20%</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08A97F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FF57C3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7AAD90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055421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1D5C7B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15CBE3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DFAC11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7CE592A" w14:textId="77777777" w:rsidR="002F4EDF" w:rsidRPr="00DA4EF2" w:rsidRDefault="002F4EDF" w:rsidP="00DA4EF2">
            <w:pPr>
              <w:jc w:val="center"/>
              <w:rPr>
                <w:rFonts w:asciiTheme="majorHAnsi" w:hAnsiTheme="majorHAnsi" w:cstheme="majorHAnsi"/>
                <w:sz w:val="21"/>
                <w:szCs w:val="21"/>
              </w:rPr>
            </w:pPr>
          </w:p>
        </w:tc>
      </w:tr>
      <w:tr w:rsidR="002F4EDF" w:rsidRPr="00B41806" w14:paraId="54FB4A32"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32036A67"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Revenue Growth Consistency</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4815B813"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15%</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44395C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FD4F9B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87B8FF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574F6F1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D66B10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7A35A2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0C64B8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24B7CAF" w14:textId="77777777" w:rsidR="002F4EDF" w:rsidRPr="00DA4EF2" w:rsidRDefault="002F4EDF" w:rsidP="00DA4EF2">
            <w:pPr>
              <w:jc w:val="center"/>
              <w:rPr>
                <w:rFonts w:asciiTheme="majorHAnsi" w:hAnsiTheme="majorHAnsi" w:cstheme="majorHAnsi"/>
                <w:sz w:val="21"/>
                <w:szCs w:val="21"/>
              </w:rPr>
            </w:pPr>
          </w:p>
        </w:tc>
      </w:tr>
      <w:tr w:rsidR="002F4EDF" w:rsidRPr="00B41806" w14:paraId="2861D2A6"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475A4D56"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Competitive Moat Quality</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6E55A8AB"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15%</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7348C7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5FCFA0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50FFD9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1803BA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F7E7A6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22A5C0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E18F1E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E03F1D8" w14:textId="77777777" w:rsidR="002F4EDF" w:rsidRPr="00DA4EF2" w:rsidRDefault="002F4EDF" w:rsidP="00DA4EF2">
            <w:pPr>
              <w:jc w:val="center"/>
              <w:rPr>
                <w:rFonts w:asciiTheme="majorHAnsi" w:hAnsiTheme="majorHAnsi" w:cstheme="majorHAnsi"/>
                <w:sz w:val="21"/>
                <w:szCs w:val="21"/>
              </w:rPr>
            </w:pPr>
          </w:p>
        </w:tc>
      </w:tr>
      <w:tr w:rsidR="002F4EDF" w:rsidRPr="00B41806" w14:paraId="5F1CA83F"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4BDAE26D"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Revenue Visibility (ARR/Backlog)</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272D4B50"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10%</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FAEFC2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70B3D1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532FFD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08E5B5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5053BA5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720F80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6D8A6A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07EE4CF" w14:textId="77777777" w:rsidR="002F4EDF" w:rsidRPr="00DA4EF2" w:rsidRDefault="002F4EDF" w:rsidP="00DA4EF2">
            <w:pPr>
              <w:jc w:val="center"/>
              <w:rPr>
                <w:rFonts w:asciiTheme="majorHAnsi" w:hAnsiTheme="majorHAnsi" w:cstheme="majorHAnsi"/>
                <w:sz w:val="21"/>
                <w:szCs w:val="21"/>
              </w:rPr>
            </w:pPr>
          </w:p>
        </w:tc>
      </w:tr>
      <w:tr w:rsidR="002F4EDF" w:rsidRPr="00B41806" w14:paraId="57ACEB7A"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696F6AED"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FCF Margin Trend</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7265F178"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10%</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BED6D9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E925AB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FAF6AB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79E8DF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8B9AE5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6636AB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F0115F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7B57743" w14:textId="77777777" w:rsidR="002F4EDF" w:rsidRPr="00DA4EF2" w:rsidRDefault="002F4EDF" w:rsidP="00DA4EF2">
            <w:pPr>
              <w:jc w:val="center"/>
              <w:rPr>
                <w:rFonts w:asciiTheme="majorHAnsi" w:hAnsiTheme="majorHAnsi" w:cstheme="majorHAnsi"/>
                <w:sz w:val="21"/>
                <w:szCs w:val="21"/>
              </w:rPr>
            </w:pPr>
          </w:p>
        </w:tc>
      </w:tr>
      <w:tr w:rsidR="002F4EDF" w:rsidRPr="00B41806" w14:paraId="26192E85" w14:textId="77777777">
        <w:tc>
          <w:tcPr>
            <w:tcW w:w="2880" w:type="dxa"/>
            <w:tcBorders>
              <w:top w:val="single" w:sz="4" w:space="0" w:color="CCCCCC"/>
              <w:left w:val="single" w:sz="4" w:space="0" w:color="CCCCCC"/>
              <w:bottom w:val="single" w:sz="4" w:space="0" w:color="CCCCCC"/>
              <w:right w:val="single" w:sz="4" w:space="0" w:color="CCCCCC"/>
            </w:tcBorders>
            <w:shd w:val="clear" w:color="auto" w:fill="BDD7EE"/>
          </w:tcPr>
          <w:p w14:paraId="1FD2929F"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TIER 1 WEIGHTED SCORE</w:t>
            </w:r>
          </w:p>
        </w:tc>
        <w:tc>
          <w:tcPr>
            <w:tcW w:w="576" w:type="dxa"/>
            <w:tcBorders>
              <w:top w:val="single" w:sz="4" w:space="0" w:color="CCCCCC"/>
              <w:left w:val="single" w:sz="4" w:space="0" w:color="CCCCCC"/>
              <w:bottom w:val="single" w:sz="4" w:space="0" w:color="CCCCCC"/>
              <w:right w:val="single" w:sz="4" w:space="0" w:color="CCCCCC"/>
            </w:tcBorders>
            <w:shd w:val="clear" w:color="auto" w:fill="BDD7EE"/>
          </w:tcPr>
          <w:p w14:paraId="6C4F956E"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70%</w:t>
            </w: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44249B9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4B71C8A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72B452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0208892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C82D93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2D4CFD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936D51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79A50C3" w14:textId="77777777" w:rsidR="002F4EDF" w:rsidRPr="00DA4EF2" w:rsidRDefault="002F4EDF" w:rsidP="00DA4EF2">
            <w:pPr>
              <w:jc w:val="center"/>
              <w:rPr>
                <w:rFonts w:asciiTheme="majorHAnsi" w:hAnsiTheme="majorHAnsi" w:cstheme="majorHAnsi"/>
                <w:sz w:val="21"/>
                <w:szCs w:val="21"/>
              </w:rPr>
            </w:pPr>
          </w:p>
        </w:tc>
      </w:tr>
      <w:tr w:rsidR="002F4EDF" w:rsidRPr="00B41806" w14:paraId="51BB93B0" w14:textId="77777777">
        <w:tc>
          <w:tcPr>
            <w:tcW w:w="2880" w:type="dxa"/>
            <w:tcBorders>
              <w:top w:val="single" w:sz="4" w:space="0" w:color="CCCCCC"/>
              <w:left w:val="single" w:sz="4" w:space="0" w:color="CCCCCC"/>
              <w:bottom w:val="single" w:sz="4" w:space="0" w:color="CCCCCC"/>
              <w:right w:val="single" w:sz="4" w:space="0" w:color="CCCCCC"/>
            </w:tcBorders>
            <w:shd w:val="clear" w:color="auto" w:fill="D5E8F0"/>
          </w:tcPr>
          <w:p w14:paraId="2F1A6A73"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TIER 2 — High Importance (23%)</w:t>
            </w:r>
          </w:p>
        </w:tc>
        <w:tc>
          <w:tcPr>
            <w:tcW w:w="576" w:type="dxa"/>
            <w:tcBorders>
              <w:top w:val="single" w:sz="4" w:space="0" w:color="CCCCCC"/>
              <w:left w:val="single" w:sz="4" w:space="0" w:color="CCCCCC"/>
              <w:bottom w:val="single" w:sz="4" w:space="0" w:color="CCCCCC"/>
              <w:right w:val="single" w:sz="4" w:space="0" w:color="CCCCCC"/>
            </w:tcBorders>
            <w:shd w:val="clear" w:color="auto" w:fill="D5E8F0"/>
          </w:tcPr>
          <w:p w14:paraId="2372983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7E46590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BD28D0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077A236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73AC439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32A9BB4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3482F20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1E8AEE5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2E5B773" w14:textId="77777777" w:rsidR="002F4EDF" w:rsidRPr="00DA4EF2" w:rsidRDefault="002F4EDF" w:rsidP="00DA4EF2">
            <w:pPr>
              <w:jc w:val="center"/>
              <w:rPr>
                <w:rFonts w:asciiTheme="majorHAnsi" w:hAnsiTheme="majorHAnsi" w:cstheme="majorHAnsi"/>
                <w:sz w:val="21"/>
                <w:szCs w:val="21"/>
              </w:rPr>
            </w:pPr>
          </w:p>
        </w:tc>
      </w:tr>
      <w:tr w:rsidR="002F4EDF" w:rsidRPr="00B41806" w14:paraId="63A0DA31"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241DA9C5"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Management Quality &amp; Capital Allocation</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2106B473"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8%</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945570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4276FD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7F9967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D0D4E0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2767E3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6D4D58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E0F815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3E0D6E6" w14:textId="77777777" w:rsidR="002F4EDF" w:rsidRPr="00DA4EF2" w:rsidRDefault="002F4EDF" w:rsidP="00DA4EF2">
            <w:pPr>
              <w:jc w:val="center"/>
              <w:rPr>
                <w:rFonts w:asciiTheme="majorHAnsi" w:hAnsiTheme="majorHAnsi" w:cstheme="majorHAnsi"/>
                <w:sz w:val="21"/>
                <w:szCs w:val="21"/>
              </w:rPr>
            </w:pPr>
          </w:p>
        </w:tc>
      </w:tr>
      <w:tr w:rsidR="002F4EDF" w:rsidRPr="00B41806" w14:paraId="1AF27E74"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2CDF8330"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ROIC vs. WACC Spread</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15B885CF"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6%</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2F2009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90E332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0CDD1F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2FBAB7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BED044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ECA567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364B78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9E17FD9" w14:textId="77777777" w:rsidR="002F4EDF" w:rsidRPr="00DA4EF2" w:rsidRDefault="002F4EDF" w:rsidP="00DA4EF2">
            <w:pPr>
              <w:jc w:val="center"/>
              <w:rPr>
                <w:rFonts w:asciiTheme="majorHAnsi" w:hAnsiTheme="majorHAnsi" w:cstheme="majorHAnsi"/>
                <w:sz w:val="21"/>
                <w:szCs w:val="21"/>
              </w:rPr>
            </w:pPr>
          </w:p>
        </w:tc>
      </w:tr>
      <w:tr w:rsidR="002F4EDF" w:rsidRPr="00B41806" w14:paraId="546D2C91"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63E9DAB7"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Relative Strength vs. SPY (6–12 mo.)</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1D788FA0"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3%</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52AAB3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0F8334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CD3144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8BD2B6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C36D8D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F28D84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CFE6D3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7B0CB1E" w14:textId="77777777" w:rsidR="002F4EDF" w:rsidRPr="00DA4EF2" w:rsidRDefault="002F4EDF" w:rsidP="00DA4EF2">
            <w:pPr>
              <w:jc w:val="center"/>
              <w:rPr>
                <w:rFonts w:asciiTheme="majorHAnsi" w:hAnsiTheme="majorHAnsi" w:cstheme="majorHAnsi"/>
                <w:sz w:val="21"/>
                <w:szCs w:val="21"/>
              </w:rPr>
            </w:pPr>
          </w:p>
        </w:tc>
      </w:tr>
      <w:tr w:rsidR="002F4EDF" w:rsidRPr="00B41806" w14:paraId="181FB3F6"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11E00171"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Valuation Multiples (P/FCF, EV/EBITDA, PEG)</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59A41807"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6%</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73AA56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FE91B1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5CC2238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EDA56A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93AFF4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75F88D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710FE8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201BF97" w14:textId="77777777" w:rsidR="002F4EDF" w:rsidRPr="00DA4EF2" w:rsidRDefault="002F4EDF" w:rsidP="00DA4EF2">
            <w:pPr>
              <w:jc w:val="center"/>
              <w:rPr>
                <w:rFonts w:asciiTheme="majorHAnsi" w:hAnsiTheme="majorHAnsi" w:cstheme="majorHAnsi"/>
                <w:sz w:val="21"/>
                <w:szCs w:val="21"/>
              </w:rPr>
            </w:pPr>
          </w:p>
        </w:tc>
      </w:tr>
      <w:tr w:rsidR="002F4EDF" w:rsidRPr="00B41806" w14:paraId="4D0BF013" w14:textId="77777777">
        <w:tc>
          <w:tcPr>
            <w:tcW w:w="2880" w:type="dxa"/>
            <w:tcBorders>
              <w:top w:val="single" w:sz="4" w:space="0" w:color="CCCCCC"/>
              <w:left w:val="single" w:sz="4" w:space="0" w:color="CCCCCC"/>
              <w:bottom w:val="single" w:sz="4" w:space="0" w:color="CCCCCC"/>
              <w:right w:val="single" w:sz="4" w:space="0" w:color="CCCCCC"/>
            </w:tcBorders>
            <w:shd w:val="clear" w:color="auto" w:fill="BDD7EE"/>
          </w:tcPr>
          <w:p w14:paraId="7B539B73"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TIER 2 WEIGHTED SCORE</w:t>
            </w:r>
          </w:p>
        </w:tc>
        <w:tc>
          <w:tcPr>
            <w:tcW w:w="576" w:type="dxa"/>
            <w:tcBorders>
              <w:top w:val="single" w:sz="4" w:space="0" w:color="CCCCCC"/>
              <w:left w:val="single" w:sz="4" w:space="0" w:color="CCCCCC"/>
              <w:bottom w:val="single" w:sz="4" w:space="0" w:color="CCCCCC"/>
              <w:right w:val="single" w:sz="4" w:space="0" w:color="CCCCCC"/>
            </w:tcBorders>
            <w:shd w:val="clear" w:color="auto" w:fill="BDD7EE"/>
          </w:tcPr>
          <w:p w14:paraId="517F96BE"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23%</w:t>
            </w: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26C6DC8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3607EBC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8ED3A5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FE3D78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2D0FBB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7654631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E69F5C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62074C6E" w14:textId="77777777" w:rsidR="002F4EDF" w:rsidRPr="00DA4EF2" w:rsidRDefault="002F4EDF" w:rsidP="00DA4EF2">
            <w:pPr>
              <w:jc w:val="center"/>
              <w:rPr>
                <w:rFonts w:asciiTheme="majorHAnsi" w:hAnsiTheme="majorHAnsi" w:cstheme="majorHAnsi"/>
                <w:sz w:val="21"/>
                <w:szCs w:val="21"/>
              </w:rPr>
            </w:pPr>
          </w:p>
        </w:tc>
      </w:tr>
      <w:tr w:rsidR="002F4EDF" w:rsidRPr="00B41806" w14:paraId="3CAC1EAF" w14:textId="77777777">
        <w:tc>
          <w:tcPr>
            <w:tcW w:w="2880" w:type="dxa"/>
            <w:tcBorders>
              <w:top w:val="single" w:sz="4" w:space="0" w:color="CCCCCC"/>
              <w:left w:val="single" w:sz="4" w:space="0" w:color="CCCCCC"/>
              <w:bottom w:val="single" w:sz="4" w:space="0" w:color="CCCCCC"/>
              <w:right w:val="single" w:sz="4" w:space="0" w:color="CCCCCC"/>
            </w:tcBorders>
            <w:shd w:val="clear" w:color="auto" w:fill="D5E8F0"/>
          </w:tcPr>
          <w:p w14:paraId="5E05FA1E"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TIER 3 — Confirmatory (7%)</w:t>
            </w:r>
          </w:p>
        </w:tc>
        <w:tc>
          <w:tcPr>
            <w:tcW w:w="576" w:type="dxa"/>
            <w:tcBorders>
              <w:top w:val="single" w:sz="4" w:space="0" w:color="CCCCCC"/>
              <w:left w:val="single" w:sz="4" w:space="0" w:color="CCCCCC"/>
              <w:bottom w:val="single" w:sz="4" w:space="0" w:color="CCCCCC"/>
              <w:right w:val="single" w:sz="4" w:space="0" w:color="CCCCCC"/>
            </w:tcBorders>
            <w:shd w:val="clear" w:color="auto" w:fill="D5E8F0"/>
          </w:tcPr>
          <w:p w14:paraId="26593C5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486CE7F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150AD89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C2358F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317F1B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58A0BCF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297F290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0E54BED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D5E8F0"/>
          </w:tcPr>
          <w:p w14:paraId="642A0FC7" w14:textId="77777777" w:rsidR="002F4EDF" w:rsidRPr="00DA4EF2" w:rsidRDefault="002F4EDF" w:rsidP="00DA4EF2">
            <w:pPr>
              <w:jc w:val="center"/>
              <w:rPr>
                <w:rFonts w:asciiTheme="majorHAnsi" w:hAnsiTheme="majorHAnsi" w:cstheme="majorHAnsi"/>
                <w:sz w:val="21"/>
                <w:szCs w:val="21"/>
              </w:rPr>
            </w:pPr>
          </w:p>
        </w:tc>
      </w:tr>
      <w:tr w:rsidR="002F4EDF" w:rsidRPr="00B41806" w14:paraId="4D2B5170"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3221EDCD"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Technical Trend Structure</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5AAC9D39"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4%</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B18860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6DB5B3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8482E0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541B31A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24C2BA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2F33A60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B74ED6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7FC53FBE" w14:textId="77777777" w:rsidR="002F4EDF" w:rsidRPr="00DA4EF2" w:rsidRDefault="002F4EDF" w:rsidP="00DA4EF2">
            <w:pPr>
              <w:jc w:val="center"/>
              <w:rPr>
                <w:rFonts w:asciiTheme="majorHAnsi" w:hAnsiTheme="majorHAnsi" w:cstheme="majorHAnsi"/>
                <w:sz w:val="21"/>
                <w:szCs w:val="21"/>
              </w:rPr>
            </w:pPr>
          </w:p>
        </w:tc>
      </w:tr>
      <w:tr w:rsidR="002F4EDF" w:rsidRPr="00B41806" w14:paraId="5FF3FC4F"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1347AF60"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Analyst Consensus &amp; Est. Revisions</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401FB989"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2%</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C1D976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6474EE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8AB862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7467EE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67E491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5C7D36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E05BF2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D841A5B" w14:textId="77777777" w:rsidR="002F4EDF" w:rsidRPr="00DA4EF2" w:rsidRDefault="002F4EDF" w:rsidP="00DA4EF2">
            <w:pPr>
              <w:jc w:val="center"/>
              <w:rPr>
                <w:rFonts w:asciiTheme="majorHAnsi" w:hAnsiTheme="majorHAnsi" w:cstheme="majorHAnsi"/>
                <w:sz w:val="21"/>
                <w:szCs w:val="21"/>
              </w:rPr>
            </w:pPr>
          </w:p>
        </w:tc>
      </w:tr>
      <w:tr w:rsidR="002F4EDF" w:rsidRPr="00B41806" w14:paraId="6861A862" w14:textId="77777777">
        <w:tc>
          <w:tcPr>
            <w:tcW w:w="2880" w:type="dxa"/>
            <w:tcBorders>
              <w:top w:val="single" w:sz="4" w:space="0" w:color="CCCCCC"/>
              <w:left w:val="single" w:sz="4" w:space="0" w:color="CCCCCC"/>
              <w:bottom w:val="single" w:sz="4" w:space="0" w:color="CCCCCC"/>
              <w:right w:val="single" w:sz="4" w:space="0" w:color="CCCCCC"/>
            </w:tcBorders>
            <w:shd w:val="clear" w:color="auto" w:fill="F5F9FC"/>
          </w:tcPr>
          <w:p w14:paraId="2E234814"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Volume &amp; Accumulation Signals</w:t>
            </w:r>
          </w:p>
        </w:tc>
        <w:tc>
          <w:tcPr>
            <w:tcW w:w="576" w:type="dxa"/>
            <w:tcBorders>
              <w:top w:val="single" w:sz="4" w:space="0" w:color="CCCCCC"/>
              <w:left w:val="single" w:sz="4" w:space="0" w:color="CCCCCC"/>
              <w:bottom w:val="single" w:sz="4" w:space="0" w:color="CCCCCC"/>
              <w:right w:val="single" w:sz="4" w:space="0" w:color="CCCCCC"/>
            </w:tcBorders>
            <w:shd w:val="clear" w:color="auto" w:fill="F5F9FC"/>
          </w:tcPr>
          <w:p w14:paraId="1A90F7E4"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sz w:val="21"/>
                <w:szCs w:val="21"/>
              </w:rPr>
              <w:t>1%</w:t>
            </w: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682AA6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DCF798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B75D03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31C0985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44A1A98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08F0C0E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1724841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F5F9FC"/>
          </w:tcPr>
          <w:p w14:paraId="6EEBD545" w14:textId="77777777" w:rsidR="002F4EDF" w:rsidRPr="00DA4EF2" w:rsidRDefault="002F4EDF" w:rsidP="00DA4EF2">
            <w:pPr>
              <w:jc w:val="center"/>
              <w:rPr>
                <w:rFonts w:asciiTheme="majorHAnsi" w:hAnsiTheme="majorHAnsi" w:cstheme="majorHAnsi"/>
                <w:sz w:val="21"/>
                <w:szCs w:val="21"/>
              </w:rPr>
            </w:pPr>
          </w:p>
        </w:tc>
      </w:tr>
      <w:tr w:rsidR="002F4EDF" w:rsidRPr="00B41806" w14:paraId="6383F2FD" w14:textId="77777777">
        <w:tc>
          <w:tcPr>
            <w:tcW w:w="2880" w:type="dxa"/>
            <w:tcBorders>
              <w:top w:val="single" w:sz="4" w:space="0" w:color="CCCCCC"/>
              <w:left w:val="single" w:sz="4" w:space="0" w:color="CCCCCC"/>
              <w:bottom w:val="single" w:sz="4" w:space="0" w:color="CCCCCC"/>
              <w:right w:val="single" w:sz="4" w:space="0" w:color="CCCCCC"/>
            </w:tcBorders>
            <w:shd w:val="clear" w:color="auto" w:fill="BDD7EE"/>
          </w:tcPr>
          <w:p w14:paraId="05859C3C"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TIER 3 WEIGHTED SCORE</w:t>
            </w:r>
          </w:p>
        </w:tc>
        <w:tc>
          <w:tcPr>
            <w:tcW w:w="576" w:type="dxa"/>
            <w:tcBorders>
              <w:top w:val="single" w:sz="4" w:space="0" w:color="CCCCCC"/>
              <w:left w:val="single" w:sz="4" w:space="0" w:color="CCCCCC"/>
              <w:bottom w:val="single" w:sz="4" w:space="0" w:color="CCCCCC"/>
              <w:right w:val="single" w:sz="4" w:space="0" w:color="CCCCCC"/>
            </w:tcBorders>
            <w:shd w:val="clear" w:color="auto" w:fill="BDD7EE"/>
          </w:tcPr>
          <w:p w14:paraId="71C75B19"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7%</w:t>
            </w: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07FEBBD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5279781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90087F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446CA30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6B772B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16B916F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55B31A4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BDD7EE"/>
          </w:tcPr>
          <w:p w14:paraId="53043577" w14:textId="77777777" w:rsidR="002F4EDF" w:rsidRPr="00DA4EF2" w:rsidRDefault="002F4EDF" w:rsidP="00DA4EF2">
            <w:pPr>
              <w:jc w:val="center"/>
              <w:rPr>
                <w:rFonts w:asciiTheme="majorHAnsi" w:hAnsiTheme="majorHAnsi" w:cstheme="majorHAnsi"/>
                <w:sz w:val="21"/>
                <w:szCs w:val="21"/>
              </w:rPr>
            </w:pPr>
          </w:p>
        </w:tc>
      </w:tr>
      <w:tr w:rsidR="002F4EDF" w:rsidRPr="00B41806" w14:paraId="2BA1DF54" w14:textId="77777777">
        <w:tc>
          <w:tcPr>
            <w:tcW w:w="2880" w:type="dxa"/>
            <w:tcBorders>
              <w:top w:val="single" w:sz="4" w:space="0" w:color="CCCCCC"/>
              <w:left w:val="single" w:sz="4" w:space="0" w:color="CCCCCC"/>
              <w:bottom w:val="single" w:sz="4" w:space="0" w:color="CCCCCC"/>
              <w:right w:val="single" w:sz="4" w:space="0" w:color="CCCCCC"/>
            </w:tcBorders>
            <w:shd w:val="clear" w:color="auto" w:fill="1F497D"/>
          </w:tcPr>
          <w:p w14:paraId="580DCF2B"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color w:val="1F497D"/>
                <w:sz w:val="21"/>
                <w:szCs w:val="21"/>
              </w:rPr>
              <w:t>SUMMARY</w:t>
            </w:r>
          </w:p>
        </w:tc>
        <w:tc>
          <w:tcPr>
            <w:tcW w:w="576" w:type="dxa"/>
            <w:tcBorders>
              <w:top w:val="single" w:sz="4" w:space="0" w:color="CCCCCC"/>
              <w:left w:val="single" w:sz="4" w:space="0" w:color="CCCCCC"/>
              <w:bottom w:val="single" w:sz="4" w:space="0" w:color="CCCCCC"/>
              <w:right w:val="single" w:sz="4" w:space="0" w:color="CCCCCC"/>
            </w:tcBorders>
            <w:shd w:val="clear" w:color="auto" w:fill="1F497D"/>
          </w:tcPr>
          <w:p w14:paraId="24D176BF"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12C533D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32635AC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289E9F0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6847600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153BC4E3"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30FCF1D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72D7640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1F497D"/>
          </w:tcPr>
          <w:p w14:paraId="4C246775" w14:textId="77777777" w:rsidR="002F4EDF" w:rsidRPr="00DA4EF2" w:rsidRDefault="002F4EDF" w:rsidP="00DA4EF2">
            <w:pPr>
              <w:jc w:val="center"/>
              <w:rPr>
                <w:rFonts w:asciiTheme="majorHAnsi" w:hAnsiTheme="majorHAnsi" w:cstheme="majorHAnsi"/>
                <w:sz w:val="21"/>
                <w:szCs w:val="21"/>
              </w:rPr>
            </w:pPr>
          </w:p>
        </w:tc>
      </w:tr>
      <w:tr w:rsidR="002F4EDF" w:rsidRPr="00B41806" w14:paraId="328AAB03"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4FB"/>
          </w:tcPr>
          <w:p w14:paraId="7C015B99"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COMPOSITE SCORE (out of 100)</w:t>
            </w:r>
          </w:p>
        </w:tc>
        <w:tc>
          <w:tcPr>
            <w:tcW w:w="576" w:type="dxa"/>
            <w:tcBorders>
              <w:top w:val="single" w:sz="4" w:space="0" w:color="CCCCCC"/>
              <w:left w:val="single" w:sz="4" w:space="0" w:color="CCCCCC"/>
              <w:bottom w:val="single" w:sz="4" w:space="0" w:color="CCCCCC"/>
              <w:right w:val="single" w:sz="4" w:space="0" w:color="CCCCCC"/>
            </w:tcBorders>
            <w:shd w:val="clear" w:color="auto" w:fill="EEF4FB"/>
          </w:tcPr>
          <w:p w14:paraId="5B2404B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0FD62F10"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26D823F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4CE8D2E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1AF00B1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05E7228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0F24DB2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13F84AE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375E2A54" w14:textId="77777777" w:rsidR="002F4EDF" w:rsidRPr="00DA4EF2" w:rsidRDefault="002F4EDF" w:rsidP="00DA4EF2">
            <w:pPr>
              <w:jc w:val="center"/>
              <w:rPr>
                <w:rFonts w:asciiTheme="majorHAnsi" w:hAnsiTheme="majorHAnsi" w:cstheme="majorHAnsi"/>
                <w:sz w:val="21"/>
                <w:szCs w:val="21"/>
              </w:rPr>
            </w:pPr>
          </w:p>
        </w:tc>
      </w:tr>
      <w:tr w:rsidR="002F4EDF" w:rsidRPr="00B41806" w14:paraId="26120A6A"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4FB"/>
          </w:tcPr>
          <w:p w14:paraId="0CCF6B68"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DECISION</w:t>
            </w:r>
          </w:p>
        </w:tc>
        <w:tc>
          <w:tcPr>
            <w:tcW w:w="576" w:type="dxa"/>
            <w:tcBorders>
              <w:top w:val="single" w:sz="4" w:space="0" w:color="CCCCCC"/>
              <w:left w:val="single" w:sz="4" w:space="0" w:color="CCCCCC"/>
              <w:bottom w:val="single" w:sz="4" w:space="0" w:color="CCCCCC"/>
              <w:right w:val="single" w:sz="4" w:space="0" w:color="CCCCCC"/>
            </w:tcBorders>
            <w:shd w:val="clear" w:color="auto" w:fill="EEF4FB"/>
          </w:tcPr>
          <w:p w14:paraId="0C583C0B"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30041B82"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28A015D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20724A6C"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5B9DD3FE"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50DAB168"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70D4BF7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2CC22C8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3032C08F" w14:textId="77777777" w:rsidR="002F4EDF" w:rsidRPr="00DA4EF2" w:rsidRDefault="002F4EDF" w:rsidP="00DA4EF2">
            <w:pPr>
              <w:jc w:val="center"/>
              <w:rPr>
                <w:rFonts w:asciiTheme="majorHAnsi" w:hAnsiTheme="majorHAnsi" w:cstheme="majorHAnsi"/>
                <w:sz w:val="21"/>
                <w:szCs w:val="21"/>
              </w:rPr>
            </w:pPr>
          </w:p>
        </w:tc>
      </w:tr>
      <w:tr w:rsidR="002F4EDF" w:rsidRPr="00B41806" w14:paraId="3B8DB979" w14:textId="77777777">
        <w:tc>
          <w:tcPr>
            <w:tcW w:w="2880" w:type="dxa"/>
            <w:tcBorders>
              <w:top w:val="single" w:sz="4" w:space="0" w:color="CCCCCC"/>
              <w:left w:val="single" w:sz="4" w:space="0" w:color="CCCCCC"/>
              <w:bottom w:val="single" w:sz="4" w:space="0" w:color="CCCCCC"/>
              <w:right w:val="single" w:sz="4" w:space="0" w:color="CCCCCC"/>
            </w:tcBorders>
            <w:shd w:val="clear" w:color="auto" w:fill="EEF4FB"/>
          </w:tcPr>
          <w:p w14:paraId="1D263D88" w14:textId="77777777" w:rsidR="002F4EDF" w:rsidRPr="00DA4EF2" w:rsidRDefault="00000000" w:rsidP="00DA4EF2">
            <w:pPr>
              <w:jc w:val="center"/>
              <w:rPr>
                <w:rFonts w:asciiTheme="majorHAnsi" w:hAnsiTheme="majorHAnsi" w:cstheme="majorHAnsi"/>
                <w:sz w:val="21"/>
                <w:szCs w:val="21"/>
              </w:rPr>
            </w:pPr>
            <w:r>
              <w:rPr>
                <w:rFonts w:asciiTheme="majorHAnsi" w:hAnsiTheme="majorHAnsi" w:cstheme="majorHAnsi"/>
                <w:b/>
                <w:sz w:val="21"/>
                <w:szCs w:val="21"/>
              </w:rPr>
              <w:t>NOTES / KEY RISKS</w:t>
            </w:r>
          </w:p>
        </w:tc>
        <w:tc>
          <w:tcPr>
            <w:tcW w:w="576" w:type="dxa"/>
            <w:tcBorders>
              <w:top w:val="single" w:sz="4" w:space="0" w:color="CCCCCC"/>
              <w:left w:val="single" w:sz="4" w:space="0" w:color="CCCCCC"/>
              <w:bottom w:val="single" w:sz="4" w:space="0" w:color="CCCCCC"/>
              <w:right w:val="single" w:sz="4" w:space="0" w:color="CCCCCC"/>
            </w:tcBorders>
            <w:shd w:val="clear" w:color="auto" w:fill="EEF4FB"/>
          </w:tcPr>
          <w:p w14:paraId="5F1346A6"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018A29A5"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2C6C6287"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550CA8BD"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61B23BE1"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0DB00779"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351B738A"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792C5304" w14:textId="77777777" w:rsidR="002F4EDF" w:rsidRPr="00DA4EF2" w:rsidRDefault="002F4EDF" w:rsidP="00DA4EF2">
            <w:pPr>
              <w:jc w:val="center"/>
              <w:rPr>
                <w:rFonts w:asciiTheme="majorHAnsi" w:hAnsiTheme="majorHAnsi" w:cstheme="majorHAnsi"/>
                <w:sz w:val="21"/>
                <w:szCs w:val="21"/>
              </w:rPr>
            </w:pPr>
          </w:p>
        </w:tc>
        <w:tc>
          <w:tcPr>
            <w:tcW w:w="1008" w:type="dxa"/>
            <w:tcBorders>
              <w:top w:val="single" w:sz="4" w:space="0" w:color="CCCCCC"/>
              <w:left w:val="single" w:sz="4" w:space="0" w:color="CCCCCC"/>
              <w:bottom w:val="single" w:sz="4" w:space="0" w:color="CCCCCC"/>
              <w:right w:val="single" w:sz="4" w:space="0" w:color="CCCCCC"/>
            </w:tcBorders>
            <w:shd w:val="clear" w:color="auto" w:fill="EEF4FB"/>
          </w:tcPr>
          <w:p w14:paraId="3479B125" w14:textId="77777777" w:rsidR="002F4EDF" w:rsidRPr="00DA4EF2" w:rsidRDefault="002F4EDF" w:rsidP="00DA4EF2">
            <w:pPr>
              <w:jc w:val="center"/>
              <w:rPr>
                <w:rFonts w:asciiTheme="majorHAnsi" w:hAnsiTheme="majorHAnsi" w:cstheme="majorHAnsi"/>
                <w:sz w:val="21"/>
                <w:szCs w:val="21"/>
              </w:rPr>
            </w:pPr>
          </w:p>
        </w:tc>
      </w:tr>
    </w:tbl>
    <w:p w14:paraId="4711396A" w14:textId="77777777" w:rsidR="00DA4EF2" w:rsidRDefault="00DA4EF2" w:rsidP="005B38B2">
      <w:pPr>
        <w:pStyle w:val="Heading1"/>
        <w:rPr>
          <w:rFonts w:cs="Calibri"/>
        </w:rPr>
      </w:pPr>
    </w:p>
    <w:p w14:paraId="7AD464E8" w14:textId="77777777" w:rsidR="00DA4EF2" w:rsidRDefault="00DA4EF2">
      <w:pPr>
        <w:spacing w:line="276" w:lineRule="auto"/>
        <w:rPr>
          <w:rFonts w:eastAsiaTheme="majorEastAsia" w:cs="Calibri"/>
          <w:b/>
          <w:bCs/>
          <w:color w:val="365F91" w:themeColor="accent1" w:themeShade="BF"/>
          <w:sz w:val="28"/>
          <w:szCs w:val="28"/>
        </w:rPr>
      </w:pPr>
      <w:r>
        <w:rPr>
          <w:rFonts w:cs="Calibri"/>
        </w:rPr>
        <w:br w:type="page"/>
      </w:r>
    </w:p>
    <w:p w14:paraId="41300A79" w14:textId="77777777" w:rsidR="005B38B2" w:rsidRDefault="005B38B2" w:rsidP="005B38B2">
      <w:pPr>
        <w:pStyle w:val="Heading1"/>
        <w:rPr>
          <w:rFonts w:cs="Calibri"/>
        </w:rPr>
      </w:pPr>
      <w:r>
        <w:rPr>
          <w:rFonts w:cs="Calibri"/>
        </w:rPr>
        <w:lastRenderedPageBreak/>
        <w:t>PART 9 — WHAT TO AVOID</w:t>
      </w:r>
    </w:p>
    <w:p w14:paraId="6B0E96E6" w14:textId="3D64D639" w:rsidR="003C2E66" w:rsidRDefault="003C2E66">
      <w:pPr>
        <w:spacing w:after="120"/>
      </w:pPr>
      <w:r>
        <w:rPr>
          <w:rFonts w:cs="Calibri"/>
        </w:rPr>
        <w:t xml:space="preserve">These exclusions define what the system will not reward. </w:t>
        <w:br/>
        <w:t>Avoiding low-quality signals and weak process habits is part of preserving long-term performance.</w:t>
      </w:r>
    </w:p>
    <w:tbl>
      <w:tblPr>
        <w:tblStyle w:val="TableGrid"/>
        <w:tblW w:w="0" w:type="auto"/>
        <w:jc w:val="center"/>
        <w:tblLook w:val="04A0" w:firstRow="1" w:lastRow="0" w:firstColumn="1" w:lastColumn="0" w:noHBand="0" w:noVBand="1"/>
      </w:tblPr>
      <w:tblGrid>
        <w:gridCol w:w="2880"/>
        <w:gridCol w:w="6480"/>
      </w:tblGrid>
      <w:tr w:rsidR="002F4EDF" w:rsidRPr="00B41806" w14:paraId="4874DDEE"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29BFF8AE"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b/>
                <w:color w:val="1F497D"/>
                <w:sz w:val="21"/>
                <w:szCs w:val="28"/>
              </w:rPr>
              <w:t>Avoid</w:t>
            </w:r>
          </w:p>
        </w:tc>
        <w:tc>
          <w:tcPr>
            <w:tcW w:w="648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44B4001B"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b/>
                <w:color w:val="1F497D"/>
                <w:sz w:val="21"/>
                <w:szCs w:val="28"/>
              </w:rPr>
              <w:t>Why</w:t>
            </w:r>
          </w:p>
        </w:tc>
      </w:tr>
      <w:tr w:rsidR="002F4EDF" w:rsidRPr="00B41806" w14:paraId="4FFD22F5"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4672D04C"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P/E ratio as primary filter</w:t>
            </w:r>
          </w:p>
        </w:tc>
        <w:tc>
          <w:tcPr>
            <w:tcW w:w="64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3DADCF79"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Highly manipulable via accounting; cyclically distorted; says nothing about capital requirements or cash generation.</w:t>
            </w:r>
          </w:p>
        </w:tc>
      </w:tr>
      <w:tr w:rsidR="002F4EDF" w:rsidRPr="00B41806" w14:paraId="4BB9058C"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32EE37"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Analyst 12-month price targets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98C52"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Studies show ~50% accuracy — barely better than chance. Useful only as a sentiment check.</w:t>
            </w:r>
          </w:p>
        </w:tc>
      </w:tr>
      <w:tr w:rsidR="002F4EDF" w:rsidRPr="00B41806" w14:paraId="1ABFC1C4"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416AAF2"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Earnings surprises as primary signal</w:t>
            </w:r>
          </w:p>
        </w:tc>
        <w:tc>
          <w:tcPr>
            <w:tcW w:w="64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44A8CCA5"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Predictive for short-term price movement; noise over 3–5 years. Earnings can be managed; FCF cannot.</w:t>
            </w:r>
          </w:p>
        </w:tc>
      </w:tr>
      <w:tr w:rsidR="002F4EDF" w:rsidRPr="00B41806" w14:paraId="76A31B2B"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793E4A"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Narrative momentum ("AI will change everything")</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577EAA"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The most-hyped sectors at any given moment historically underperform over the following decade. Valuation absorbs the narrative quickly.</w:t>
            </w:r>
          </w:p>
        </w:tc>
      </w:tr>
      <w:tr w:rsidR="002F4EDF" w:rsidRPr="00B41806" w14:paraId="1DBCB7B8"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6A563189"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Averaging down into deteriorating fundamentals</w:t>
            </w:r>
          </w:p>
        </w:tc>
        <w:tc>
          <w:tcPr>
            <w:tcW w:w="64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07B74AC9"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Distinguish price decline (often opportunity) from fundamental deterioration (reason to sell). Never add when Tier 1 scores are falling.</w:t>
            </w:r>
          </w:p>
        </w:tc>
      </w:tr>
      <w:tr w:rsidR="002F4EDF" w:rsidRPr="00B41806" w14:paraId="1E5E72CD"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E0D83F"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Over-diversification below conviction threshold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D4D0E4"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Holding 40+ stocks dilutes returns without meaningfully reducing risk. Concentrate in ≥65 composite-score ideas.</w:t>
            </w:r>
          </w:p>
        </w:tc>
      </w:tr>
      <w:tr w:rsidR="002F4EDF" w:rsidRPr="00B41806" w14:paraId="0C5F1F4B" w14:textId="77777777" w:rsidTr="00DA4EF2">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2866F040" w14:textId="77777777" w:rsidR="002F4EDF" w:rsidRPr="00DA4EF2" w:rsidRDefault="00000000" w:rsidP="00382F9D">
            <w:pPr>
              <w:jc w:val="center"/>
              <w:rPr>
                <w:rFonts w:asciiTheme="majorHAnsi" w:hAnsiTheme="majorHAnsi" w:cstheme="majorHAnsi"/>
                <w:sz w:val="21"/>
                <w:szCs w:val="28"/>
              </w:rPr>
            </w:pPr>
            <w:r>
              <w:rPr>
                <w:rFonts w:asciiTheme="majorHAnsi" w:hAnsiTheme="majorHAnsi" w:cstheme="majorHAnsi"/>
                <w:sz w:val="21"/>
                <w:szCs w:val="28"/>
              </w:rPr>
              <w:t>Market timing as a primary strategy</w:t>
            </w:r>
          </w:p>
        </w:tc>
        <w:tc>
          <w:tcPr>
            <w:tcW w:w="6480" w:type="dxa"/>
            <w:tcBorders>
              <w:top w:val="single" w:sz="4" w:space="0" w:color="CCCCCC"/>
              <w:left w:val="single" w:sz="4" w:space="0" w:color="CCCCCC"/>
              <w:bottom w:val="single" w:sz="4" w:space="0" w:color="CCCCCC"/>
              <w:right w:val="single" w:sz="4" w:space="0" w:color="CCCCCC"/>
            </w:tcBorders>
            <w:shd w:val="clear" w:color="auto" w:fill="F5F9FC"/>
            <w:vAlign w:val="center"/>
          </w:tcPr>
          <w:p w14:paraId="101B8F8F" w14:textId="77777777" w:rsidR="002F4EDF" w:rsidRPr="00DA4EF2" w:rsidRDefault="00000000">
            <w:pPr>
              <w:rPr>
                <w:rFonts w:asciiTheme="majorHAnsi" w:hAnsiTheme="majorHAnsi" w:cstheme="majorHAnsi"/>
                <w:sz w:val="21"/>
                <w:szCs w:val="28"/>
              </w:rPr>
            </w:pPr>
            <w:r>
              <w:rPr>
                <w:rFonts w:asciiTheme="majorHAnsi" w:hAnsiTheme="majorHAnsi" w:cstheme="majorHAnsi"/>
                <w:sz w:val="21"/>
                <w:szCs w:val="28"/>
              </w:rPr>
              <w:t xml:space="preserve">Missing the 10 best days per decade cuts long-term returns ~50%. Use macro overlay to adjust sizing only — not to go to cash.</w:t>
            </w:r>
          </w:p>
        </w:tc>
      </w:tr>
    </w:tbl>
    <w:p w14:paraId="38403885" w14:textId="77777777" w:rsidR="005B38B2" w:rsidRDefault="005B38B2" w:rsidP="005B38B2">
      <w:pPr>
        <w:pStyle w:val="Heading1"/>
        <w:rPr>
          <w:rFonts w:cs="Calibri"/>
        </w:rPr>
      </w:pPr>
      <w:r>
        <w:rPr>
          <w:rFonts w:cs="Calibri"/>
        </w:rPr>
        <w:t>PART 10 — SYSTEM MAINTENANCE</w:t>
      </w:r>
    </w:p>
    <w:p w14:paraId="12C5099B" w14:textId="77777777" w:rsidR="003C2E66" w:rsidRDefault="003C2E66">
      <w:pPr>
        <w:spacing w:after="120"/>
      </w:pPr>
      <w:r>
        <w:rPr>
          <w:rFonts w:cs="Calibri"/>
        </w:rPr>
        <w:t>The system should improve through disciplined review, not intuition. Maintenance keeps the rules current, exposes blind spots, and preserves consistency across market cycles.</w:t>
      </w:r>
    </w:p>
    <w:p w14:paraId="2C0E3722" w14:textId="77777777" w:rsidR="00D13FDE" w:rsidRPr="005F5A80" w:rsidRDefault="00D13FDE" w:rsidP="00157A25">
      <w:pPr>
        <w:pStyle w:val="ListNumber"/>
        <w:rPr>
          <w:rFonts w:cstheme="minorBidi"/>
        </w:rPr>
      </w:pPr>
      <w:r>
        <w:t>Quarterly: Review all Watch List names and re-score any holding affected by material news.</w:t>
      </w:r>
    </w:p>
    <w:p w14:paraId="3865D331" w14:textId="77777777" w:rsidR="00D13FDE" w:rsidRPr="005F5A80" w:rsidRDefault="00D13FDE" w:rsidP="00157A25">
      <w:pPr>
        <w:pStyle w:val="ListNumber"/>
        <w:rPr>
          <w:rFonts w:cstheme="minorBidi"/>
        </w:rPr>
      </w:pPr>
      <w:r>
        <w:t>Annually: Complete a full re-score of every portfolio position and review every exit from the prior year.</w:t>
      </w:r>
    </w:p>
    <w:p w14:paraId="3563CF5A" w14:textId="77777777" w:rsidR="00D13FDE" w:rsidRPr="00157A25" w:rsidRDefault="00D13FDE" w:rsidP="00157A25">
      <w:pPr>
        <w:pStyle w:val="ListNumber"/>
      </w:pPr>
      <w:r>
        <w:t>After every exit: Record the sell reason and the outcome versus the original thesis.</w:t>
      </w:r>
    </w:p>
    <w:p w14:paraId="51166D49" w14:textId="77777777" w:rsidR="00D13FDE" w:rsidRPr="005F5A80" w:rsidRDefault="00D13FDE" w:rsidP="00157A25">
      <w:pPr>
        <w:pStyle w:val="ListNumber"/>
        <w:rPr>
          <w:rFonts w:cstheme="minorBidi"/>
        </w:rPr>
      </w:pPr>
      <w:r>
        <w:t xml:space="preserve">After any loss greater than 20% from cost: Run a post-mortem and identify missed warning signals.</w:t>
      </w:r>
    </w:p>
    <w:p w14:paraId="646B6F32" w14:textId="77777777" w:rsidR="00D13FDE" w:rsidRPr="005F5A80" w:rsidRDefault="00D13FDE" w:rsidP="00157A25">
      <w:pPr>
        <w:pStyle w:val="ListNumber"/>
        <w:rPr>
          <w:rFonts w:cstheme="minorBidi"/>
        </w:rPr>
      </w:pPr>
      <w:r>
        <w:t>Every 2 years: Review indicator weights and adjust them only with documented evidence from multiple positions over time.</w:t>
      </w:r>
    </w:p>
    <w:p w14:paraId="0895BDAA" w14:textId="77777777" w:rsidR="005F5A80" w:rsidRDefault="005F5A80">
      <w:pPr>
        <w:spacing w:before="80" w:after="120"/>
      </w:pPr>
      <w:r>
        <w:rPr>
          <w:b/>
          <w:bCs/>
          <w:color w:val="2E75B6"/>
        </w:rPr>
        <w:t>NOTE:</w:t>
      </w:r>
      <w:r>
        <w:t xml:space="preserve"> </w:t>
      </w:r>
      <w:r>
        <w:rPr>
          <w:i/>
          <w:iCs/>
        </w:rPr>
        <w:t xml:space="preserve">Do </w:t>
      </w:r>
      <w:r>
        <w:rPr>
          <w:b/>
          <w:bCs/>
          <w:i/>
          <w:iCs/>
        </w:rPr>
        <w:t>NOT</w:t>
      </w:r>
      <w:r>
        <w:rPr>
          <w:i/>
          <w:iCs/>
        </w:rPr>
        <w:t xml:space="preserve"> change weights reactively after a single loss or win. Changes should be based on a pattern across multiple positions over at least 12 months.</w:t>
      </w:r>
    </w:p>
    <w:p w14:paraId="7399D6D5" w14:textId="77777777" w:rsidR="005F5A80" w:rsidRDefault="005F5A80" w:rsidP="005B38B2">
      <w:pPr>
        <w:pStyle w:val="Heading2"/>
      </w:pPr>
      <w:r>
        <w:t>Performance Benchmarking</w:t>
      </w:r>
    </w:p>
    <w:p w14:paraId="6FD38C6E" w14:textId="77777777" w:rsidR="005F5A80" w:rsidRDefault="005F5A80">
      <w:pPr>
        <w:spacing w:after="120"/>
        <w:rPr>
          <w:rFonts w:cs="Calibri"/>
        </w:rPr>
      </w:pPr>
      <w:r>
        <w:rPr>
          <w:rFonts w:cs="Calibri"/>
        </w:rPr>
        <w:t xml:space="preserve">The system must be measured against explicit return expectations. </w:t>
      </w:r>
      <w:r>
        <w:rPr>
          <w:rFonts w:cs="Calibri"/>
          <w:b/>
          <w:bCs/>
        </w:rPr>
        <w:t>Strong Buy positions (score 80–100) should be tracked against a 12% annualized return expectation over 5 years. Buy positions (score 65–79) should be tracked against a 10% annualized return expectation.</w:t>
      </w:r>
      <w:r>
        <w:rPr>
          <w:rFonts w:cs="Calibri"/>
        </w:rPr>
        <w:t xml:space="preserve"> If a cohort of 10 or more exited positions with entry scores ≥80 underperforms 12% annualized on average at 5 years, a formal Tier 1 weight review is required — not optional. Performance data below this threshold constitutes evidence that the weights are miscalibrated. Track every exited position in the table format below.</w:t>
      </w:r>
    </w:p>
    <w:tbl>
      <w:tblPr>
        <w:tblStyle w:val="TableGrid"/>
        <w:tblW w:w="0" w:type="auto"/>
        <w:jc w:val="center"/>
        <w:tblLook w:val="04A0" w:firstRow="1" w:lastRow="0" w:firstColumn="1" w:lastColumn="0" w:noHBand="0" w:noVBand="1"/>
      </w:tblPr>
      <w:tblGrid>
        <w:gridCol w:w="1200"/>
        <w:gridCol w:w="840"/>
        <w:gridCol w:w="840"/>
        <w:gridCol w:w="960"/>
        <w:gridCol w:w="960"/>
        <w:gridCol w:w="960"/>
        <w:gridCol w:w="960"/>
        <w:gridCol w:w="1440"/>
      </w:tblGrid>
      <w:tr w:rsidR="00B13946" w14:paraId="57A7FC4F" w14:textId="77777777" w:rsidTr="00DA4EF2">
        <w:trPr>
          <w:jc w:val="center"/>
        </w:trPr>
        <w:tc>
          <w:tcPr>
            <w:tcW w:w="1200" w:type="dxa"/>
            <w:tcBorders>
              <w:top w:val="single" w:sz="4" w:space="0" w:color="CCCCCC"/>
              <w:left w:val="single" w:sz="4" w:space="0" w:color="CCCCCC"/>
              <w:bottom w:val="single" w:sz="4" w:space="0" w:color="CCCCCC"/>
              <w:right w:val="single" w:sz="4" w:space="0" w:color="CCCCCC"/>
            </w:tcBorders>
            <w:shd w:val="clear" w:color="auto" w:fill="D5E8F0"/>
          </w:tcPr>
          <w:p w14:paraId="21BF5D1C" w14:textId="77777777" w:rsidR="00B13946" w:rsidRDefault="00000000">
            <w:pPr>
              <w:jc w:val="center"/>
            </w:pPr>
            <w:r>
              <w:rPr>
                <w:b/>
                <w:color w:val="1F497D"/>
                <w:sz w:val="18"/>
                <w:szCs w:val="18"/>
              </w:rPr>
              <w:t>Ticker</w:t>
            </w:r>
          </w:p>
        </w:tc>
        <w:tc>
          <w:tcPr>
            <w:tcW w:w="840" w:type="dxa"/>
            <w:tcBorders>
              <w:top w:val="single" w:sz="4" w:space="0" w:color="CCCCCC"/>
              <w:left w:val="single" w:sz="4" w:space="0" w:color="CCCCCC"/>
              <w:bottom w:val="single" w:sz="4" w:space="0" w:color="CCCCCC"/>
              <w:right w:val="single" w:sz="4" w:space="0" w:color="CCCCCC"/>
            </w:tcBorders>
            <w:shd w:val="clear" w:color="auto" w:fill="D5E8F0"/>
          </w:tcPr>
          <w:p w14:paraId="4563CC78" w14:textId="77777777" w:rsidR="00B13946" w:rsidRDefault="00000000">
            <w:pPr>
              <w:jc w:val="center"/>
            </w:pPr>
            <w:r>
              <w:rPr>
                <w:b/>
                <w:color w:val="1F497D"/>
                <w:sz w:val="18"/>
                <w:szCs w:val="18"/>
              </w:rPr>
              <w:t>Entry Date</w:t>
            </w:r>
          </w:p>
        </w:tc>
        <w:tc>
          <w:tcPr>
            <w:tcW w:w="840" w:type="dxa"/>
            <w:tcBorders>
              <w:top w:val="single" w:sz="4" w:space="0" w:color="CCCCCC"/>
              <w:left w:val="single" w:sz="4" w:space="0" w:color="CCCCCC"/>
              <w:bottom w:val="single" w:sz="4" w:space="0" w:color="CCCCCC"/>
              <w:right w:val="single" w:sz="4" w:space="0" w:color="CCCCCC"/>
            </w:tcBorders>
            <w:shd w:val="clear" w:color="auto" w:fill="D5E8F0"/>
          </w:tcPr>
          <w:p w14:paraId="20A7F482" w14:textId="77777777" w:rsidR="00B13946" w:rsidRDefault="00000000">
            <w:pPr>
              <w:jc w:val="center"/>
            </w:pPr>
            <w:r>
              <w:rPr>
                <w:b/>
                <w:color w:val="1F497D"/>
                <w:sz w:val="18"/>
                <w:szCs w:val="18"/>
              </w:rPr>
              <w:t>Exit Date</w:t>
            </w:r>
          </w:p>
        </w:tc>
        <w:tc>
          <w:tcPr>
            <w:tcW w:w="960" w:type="dxa"/>
            <w:tcBorders>
              <w:top w:val="single" w:sz="4" w:space="0" w:color="CCCCCC"/>
              <w:left w:val="single" w:sz="4" w:space="0" w:color="CCCCCC"/>
              <w:bottom w:val="single" w:sz="4" w:space="0" w:color="CCCCCC"/>
              <w:right w:val="single" w:sz="4" w:space="0" w:color="CCCCCC"/>
            </w:tcBorders>
            <w:shd w:val="clear" w:color="auto" w:fill="D5E8F0"/>
          </w:tcPr>
          <w:p w14:paraId="665BDBB1" w14:textId="77777777" w:rsidR="00B13946" w:rsidRDefault="00000000">
            <w:pPr>
              <w:jc w:val="center"/>
            </w:pPr>
            <w:r>
              <w:rPr>
                <w:b/>
                <w:color w:val="1F497D"/>
                <w:sz w:val="18"/>
                <w:szCs w:val="18"/>
              </w:rPr>
              <w:t>Entry Score</w:t>
            </w:r>
          </w:p>
        </w:tc>
        <w:tc>
          <w:tcPr>
            <w:tcW w:w="960" w:type="dxa"/>
            <w:tcBorders>
              <w:top w:val="single" w:sz="4" w:space="0" w:color="CCCCCC"/>
              <w:left w:val="single" w:sz="4" w:space="0" w:color="CCCCCC"/>
              <w:bottom w:val="single" w:sz="4" w:space="0" w:color="CCCCCC"/>
              <w:right w:val="single" w:sz="4" w:space="0" w:color="CCCCCC"/>
            </w:tcBorders>
            <w:shd w:val="clear" w:color="auto" w:fill="D5E8F0"/>
          </w:tcPr>
          <w:p w14:paraId="6D08058A" w14:textId="77777777" w:rsidR="00B13946" w:rsidRDefault="00000000">
            <w:pPr>
              <w:jc w:val="center"/>
            </w:pPr>
            <w:r>
              <w:rPr>
                <w:b/>
                <w:color w:val="1F497D"/>
                <w:sz w:val="18"/>
                <w:szCs w:val="18"/>
              </w:rPr>
              <w:t>Decision</w:t>
            </w:r>
          </w:p>
        </w:tc>
        <w:tc>
          <w:tcPr>
            <w:tcW w:w="960" w:type="dxa"/>
            <w:tcBorders>
              <w:top w:val="single" w:sz="4" w:space="0" w:color="CCCCCC"/>
              <w:left w:val="single" w:sz="4" w:space="0" w:color="CCCCCC"/>
              <w:bottom w:val="single" w:sz="4" w:space="0" w:color="CCCCCC"/>
              <w:right w:val="single" w:sz="4" w:space="0" w:color="CCCCCC"/>
            </w:tcBorders>
            <w:shd w:val="clear" w:color="auto" w:fill="D5E8F0"/>
          </w:tcPr>
          <w:p w14:paraId="67C98314" w14:textId="77777777" w:rsidR="00B13946" w:rsidRDefault="00000000">
            <w:pPr>
              <w:jc w:val="center"/>
            </w:pPr>
            <w:r>
              <w:rPr>
                <w:b/>
                <w:color w:val="1F497D"/>
                <w:sz w:val="18"/>
                <w:szCs w:val="18"/>
              </w:rPr>
              <w:t>Actual CAGR</w:t>
            </w:r>
          </w:p>
        </w:tc>
        <w:tc>
          <w:tcPr>
            <w:tcW w:w="960" w:type="dxa"/>
            <w:tcBorders>
              <w:top w:val="single" w:sz="4" w:space="0" w:color="CCCCCC"/>
              <w:left w:val="single" w:sz="4" w:space="0" w:color="CCCCCC"/>
              <w:bottom w:val="single" w:sz="4" w:space="0" w:color="CCCCCC"/>
              <w:right w:val="single" w:sz="4" w:space="0" w:color="CCCCCC"/>
            </w:tcBorders>
            <w:shd w:val="clear" w:color="auto" w:fill="D5E8F0"/>
          </w:tcPr>
          <w:p w14:paraId="38B69186" w14:textId="573B40F1" w:rsidR="00B13946" w:rsidRDefault="00000000">
            <w:pPr>
              <w:jc w:val="center"/>
            </w:pPr>
            <w:r>
              <w:rPr>
                <w:b/>
                <w:color w:val="1F497D"/>
                <w:sz w:val="18"/>
                <w:szCs w:val="18"/>
              </w:rPr>
              <w:t xml:space="preserve">vs. </w:t>
              <w:br/>
              <w:t>Target</w:t>
            </w:r>
          </w:p>
        </w:tc>
        <w:tc>
          <w:tcPr>
            <w:tcW w:w="1440" w:type="dxa"/>
            <w:tcBorders>
              <w:top w:val="single" w:sz="4" w:space="0" w:color="CCCCCC"/>
              <w:left w:val="single" w:sz="4" w:space="0" w:color="CCCCCC"/>
              <w:bottom w:val="single" w:sz="4" w:space="0" w:color="CCCCCC"/>
              <w:right w:val="single" w:sz="4" w:space="0" w:color="CCCCCC"/>
            </w:tcBorders>
            <w:shd w:val="clear" w:color="auto" w:fill="D5E8F0"/>
          </w:tcPr>
          <w:p w14:paraId="4EF993CD" w14:textId="77777777" w:rsidR="00B13946" w:rsidRDefault="00000000">
            <w:pPr>
              <w:jc w:val="center"/>
            </w:pPr>
            <w:r>
              <w:rPr>
                <w:b/>
                <w:color w:val="1F497D"/>
                <w:sz w:val="18"/>
                <w:szCs w:val="18"/>
              </w:rPr>
              <w:t>Exit Reason / Thesis Change</w:t>
            </w:r>
          </w:p>
        </w:tc>
      </w:tr>
      <w:tr w:rsidR="00B13946" w14:paraId="4238EDA5" w14:textId="77777777">
        <w:trPr>
          <w:jc w:val="center"/>
        </w:trPr>
        <w:tc>
          <w:tcPr>
            <w:tcW w:w="1200" w:type="dxa"/>
            <w:tcBorders>
              <w:top w:val="single" w:sz="4" w:space="0" w:color="CCCCCC"/>
              <w:left w:val="single" w:sz="4" w:space="0" w:color="CCCCCC"/>
              <w:bottom w:val="single" w:sz="4" w:space="0" w:color="CCCCCC"/>
              <w:right w:val="single" w:sz="4" w:space="0" w:color="CCCCCC"/>
            </w:tcBorders>
          </w:tcPr>
          <w:p w14:paraId="62873E8F" w14:textId="77777777" w:rsidR="00B13946" w:rsidRDefault="00B13946" w:rsidP="00675B8B">
            <w:pPr>
              <w:jc w:val="center"/>
            </w:pPr>
          </w:p>
        </w:tc>
        <w:tc>
          <w:tcPr>
            <w:tcW w:w="840" w:type="dxa"/>
            <w:tcBorders>
              <w:top w:val="single" w:sz="4" w:space="0" w:color="CCCCCC"/>
              <w:left w:val="single" w:sz="4" w:space="0" w:color="CCCCCC"/>
              <w:bottom w:val="single" w:sz="4" w:space="0" w:color="CCCCCC"/>
              <w:right w:val="single" w:sz="4" w:space="0" w:color="CCCCCC"/>
            </w:tcBorders>
          </w:tcPr>
          <w:p w14:paraId="7977E84F" w14:textId="77777777" w:rsidR="00B13946" w:rsidRDefault="00B13946" w:rsidP="00675B8B">
            <w:pPr>
              <w:jc w:val="center"/>
            </w:pPr>
          </w:p>
        </w:tc>
        <w:tc>
          <w:tcPr>
            <w:tcW w:w="840" w:type="dxa"/>
            <w:tcBorders>
              <w:top w:val="single" w:sz="4" w:space="0" w:color="CCCCCC"/>
              <w:left w:val="single" w:sz="4" w:space="0" w:color="CCCCCC"/>
              <w:bottom w:val="single" w:sz="4" w:space="0" w:color="CCCCCC"/>
              <w:right w:val="single" w:sz="4" w:space="0" w:color="CCCCCC"/>
            </w:tcBorders>
          </w:tcPr>
          <w:p w14:paraId="08182247" w14:textId="77777777" w:rsidR="00B13946" w:rsidRDefault="00B13946" w:rsidP="00675B8B">
            <w:pPr>
              <w:jc w:val="center"/>
            </w:pPr>
          </w:p>
        </w:tc>
        <w:tc>
          <w:tcPr>
            <w:tcW w:w="960" w:type="dxa"/>
            <w:tcBorders>
              <w:top w:val="single" w:sz="4" w:space="0" w:color="CCCCCC"/>
              <w:left w:val="single" w:sz="4" w:space="0" w:color="CCCCCC"/>
              <w:bottom w:val="single" w:sz="4" w:space="0" w:color="CCCCCC"/>
              <w:right w:val="single" w:sz="4" w:space="0" w:color="CCCCCC"/>
            </w:tcBorders>
          </w:tcPr>
          <w:p w14:paraId="20E7AFC6" w14:textId="77777777" w:rsidR="00B13946" w:rsidRDefault="00B13946" w:rsidP="00675B8B">
            <w:pPr>
              <w:jc w:val="center"/>
            </w:pPr>
          </w:p>
        </w:tc>
        <w:tc>
          <w:tcPr>
            <w:tcW w:w="960" w:type="dxa"/>
            <w:tcBorders>
              <w:top w:val="single" w:sz="4" w:space="0" w:color="CCCCCC"/>
              <w:left w:val="single" w:sz="4" w:space="0" w:color="CCCCCC"/>
              <w:bottom w:val="single" w:sz="4" w:space="0" w:color="CCCCCC"/>
              <w:right w:val="single" w:sz="4" w:space="0" w:color="CCCCCC"/>
            </w:tcBorders>
          </w:tcPr>
          <w:p w14:paraId="734EF852" w14:textId="77777777" w:rsidR="00B13946" w:rsidRDefault="00B13946" w:rsidP="00675B8B">
            <w:pPr>
              <w:jc w:val="center"/>
            </w:pPr>
          </w:p>
        </w:tc>
        <w:tc>
          <w:tcPr>
            <w:tcW w:w="960" w:type="dxa"/>
            <w:tcBorders>
              <w:top w:val="single" w:sz="4" w:space="0" w:color="CCCCCC"/>
              <w:left w:val="single" w:sz="4" w:space="0" w:color="CCCCCC"/>
              <w:bottom w:val="single" w:sz="4" w:space="0" w:color="CCCCCC"/>
              <w:right w:val="single" w:sz="4" w:space="0" w:color="CCCCCC"/>
            </w:tcBorders>
          </w:tcPr>
          <w:p w14:paraId="3799673D" w14:textId="77777777" w:rsidR="00B13946" w:rsidRDefault="00B13946" w:rsidP="00675B8B">
            <w:pPr>
              <w:jc w:val="center"/>
            </w:pPr>
          </w:p>
        </w:tc>
        <w:tc>
          <w:tcPr>
            <w:tcW w:w="960" w:type="dxa"/>
            <w:tcBorders>
              <w:top w:val="single" w:sz="4" w:space="0" w:color="CCCCCC"/>
              <w:left w:val="single" w:sz="4" w:space="0" w:color="CCCCCC"/>
              <w:bottom w:val="single" w:sz="4" w:space="0" w:color="CCCCCC"/>
              <w:right w:val="single" w:sz="4" w:space="0" w:color="CCCCCC"/>
            </w:tcBorders>
          </w:tcPr>
          <w:p w14:paraId="131A55F8" w14:textId="77777777" w:rsidR="00B13946" w:rsidRDefault="00B13946" w:rsidP="00675B8B">
            <w:pPr>
              <w:jc w:val="center"/>
            </w:pPr>
          </w:p>
        </w:tc>
        <w:tc>
          <w:tcPr>
            <w:tcW w:w="1440" w:type="dxa"/>
            <w:tcBorders>
              <w:top w:val="single" w:sz="4" w:space="0" w:color="CCCCCC"/>
              <w:left w:val="single" w:sz="4" w:space="0" w:color="CCCCCC"/>
              <w:bottom w:val="single" w:sz="4" w:space="0" w:color="CCCCCC"/>
              <w:right w:val="single" w:sz="4" w:space="0" w:color="CCCCCC"/>
            </w:tcBorders>
          </w:tcPr>
          <w:p w14:paraId="7460D785" w14:textId="77777777" w:rsidR="00B13946" w:rsidRDefault="00B13946" w:rsidP="00675B8B">
            <w:pPr>
              <w:jc w:val="center"/>
            </w:pPr>
          </w:p>
        </w:tc>
      </w:tr>
    </w:tbl>
    <w:p w14:paraId="3722EA33" w14:textId="77777777" w:rsidR="00157A25" w:rsidRDefault="005F5A80" w:rsidP="00BF5EC6">
      <w:pPr>
        <w:spacing w:before="80" w:after="120"/>
        <w:rPr>
          <w:i/>
          <w:iCs/>
        </w:rPr>
      </w:pPr>
      <w:r>
        <w:rPr>
          <w:b/>
          <w:bCs/>
          <w:color w:val="2E75B6"/>
        </w:rPr>
        <w:t>Cohort Review Trigger:</w:t>
      </w:r>
      <w:r>
        <w:t xml:space="preserve"> </w:t>
      </w:r>
      <w:r>
        <w:rPr>
          <w:i/>
          <w:iCs/>
        </w:rPr>
        <w:t>When 10 or more positions have been exited from the Strong Buy cohort (score ≥80 at entry), calculate the cohort’s annualized return. If the cohort average falls below 12% CAGR, trigger a mandatory Tier 1 weight review per the process in Rule 31. Do NOT adjust weights after individual outcomes — only after cohort patterns across at least 10 exited positions.</w:t>
      </w:r>
    </w:p>
    <w:p w14:paraId="3303522A" w14:textId="77777777" w:rsidR="00157A25" w:rsidRPr="00157A25" w:rsidRDefault="00157A25" w:rsidP="00157A25">
      <w:pPr>
        <w:pStyle w:val="Heading1"/>
      </w:pPr>
      <w:r>
        <w:lastRenderedPageBreak/>
        <w:t>PART 11 — PORTFOLIO-LEVEL DRAWDOWN CONTROLS</w:t>
      </w:r>
    </w:p>
    <w:p w14:paraId="2173D6AC" w14:textId="77777777" w:rsidR="00157A25" w:rsidRPr="00157A25" w:rsidRDefault="00157A25" w:rsidP="00157A25">
      <w:pPr>
        <w:ind w:right="-144"/>
      </w:pPr>
      <w:r>
        <w:t>Parts 1–10 manage drawdown risk at the position level, through the Tier 1 quality floor, sell triggers, and sizing rules. This section adds explicit portfolio-level controls — correlation, aggregate drawdown response, leverage, volatility, and a bear-case return floor — so that overall portfolio drawdown can be targeted deliberately across the 0–50% range rather than left as a byproduct of bottom-up selection alone. These rules apply in addition to, not in place of, Parts 1–10.</w:t>
      </w:r>
    </w:p>
    <w:p w14:paraId="73FF4DE9" w14:textId="77777777" w:rsidR="00157A25" w:rsidRPr="00157A25" w:rsidRDefault="00157A25" w:rsidP="00157A25">
      <w:pPr>
        <w:pStyle w:val="Heading2"/>
      </w:pPr>
      <w:r>
        <w:t>Correlation Cap</w:t>
      </w:r>
    </w:p>
    <w:p w14:paraId="245CE426" w14:textId="77777777" w:rsidR="00157A25" w:rsidRPr="00157A25" w:rsidRDefault="00157A25" w:rsidP="00157A25">
      <w:r>
        <w:t>Sector caps (Part 5) do not catch cross-sector correlation. Positions in different GICS sectors can still move together under a shared macro or factor exposure, which is where much realized portfolio drawdown originates.</w:t>
      </w:r>
    </w:p>
    <w:p w14:paraId="1AA94D10" w14:textId="438FE5B2" w:rsidR="00157A25" w:rsidRPr="00157A25" w:rsidRDefault="00157A25" w:rsidP="00157A25">
      <w:pPr>
        <w:pStyle w:val="ListNumber"/>
      </w:pPr>
      <w:r>
        <w:t xml:space="preserve">Quarterly, calculate pairwise 12-month price correlation across all holdings. No position may carry pairwise correlation above 0.70 with more than one other holding in the portfolio at the same time. If a new position would violate this cap, reduce its initial size by 50% or pass on the idea.</w:t>
      </w:r>
    </w:p>
    <w:p w14:paraId="6BFE2EAF" w14:textId="77777777" w:rsidR="00157A25" w:rsidRPr="00157A25" w:rsidRDefault="00157A25" w:rsidP="00157A25">
      <w:pPr>
        <w:pStyle w:val="Heading2"/>
      </w:pPr>
      <w:r>
        <w:t>Portfolio-Level Drawdown Response</w:t>
      </w:r>
    </w:p>
    <w:p w14:paraId="1151E18B" w14:textId="77777777" w:rsidR="00157A25" w:rsidRPr="00157A25" w:rsidRDefault="00157A25" w:rsidP="00157A25">
      <w:r>
        <w:t>The macro-overlay in Part 7 responds to external conditions (rates, credit spreads, yield curve). This table responds to realized portfolio drawdown directly, regardless of cause — including a broad decline where individual Tier 1 scores remain intact.</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5835"/>
      </w:tblGrid>
      <w:tr w:rsidR="00157A25" w:rsidRPr="00157A25" w14:paraId="57FE9941" w14:textId="77777777" w:rsidTr="00157A25">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D464F9D" w14:textId="77777777" w:rsidR="00157A25" w:rsidRPr="00157A25" w:rsidRDefault="00157A25" w:rsidP="00157A25">
            <w:pPr>
              <w:spacing w:before="80" w:after="120"/>
              <w:jc w:val="center"/>
            </w:pPr>
            <w:r>
              <w:rPr>
                <w:b/>
                <w:bCs/>
              </w:rPr>
              <w:t>Drawdown Level</w:t>
            </w:r>
          </w:p>
        </w:tc>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D6903C3" w14:textId="77777777" w:rsidR="00157A25" w:rsidRPr="00157A25" w:rsidRDefault="00157A25" w:rsidP="00157A25">
            <w:pPr>
              <w:spacing w:before="80" w:after="120"/>
              <w:jc w:val="center"/>
            </w:pPr>
            <w:r>
              <w:rPr>
                <w:b/>
                <w:bCs/>
              </w:rPr>
              <w:t>Status</w:t>
            </w:r>
          </w:p>
        </w:tc>
        <w:tc>
          <w:tcPr>
            <w:tcW w:w="583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0C245DB" w14:textId="77777777" w:rsidR="00157A25" w:rsidRPr="00157A25" w:rsidRDefault="00157A25" w:rsidP="00157A25">
            <w:pPr>
              <w:spacing w:before="80" w:after="120"/>
              <w:jc w:val="center"/>
            </w:pPr>
            <w:r>
              <w:rPr>
                <w:b/>
                <w:bCs/>
              </w:rPr>
              <w:t>Required Response</w:t>
            </w:r>
          </w:p>
        </w:tc>
      </w:tr>
      <w:tr w:rsidR="00157A25" w:rsidRPr="00157A25" w14:paraId="202E97EA" w14:textId="77777777" w:rsidTr="00157A25">
        <w:tc>
          <w:tcPr>
            <w:tcW w:w="1800" w:type="dxa"/>
            <w:tcBorders>
              <w:top w:val="single" w:sz="4" w:space="0" w:color="999999"/>
              <w:left w:val="single" w:sz="4" w:space="0" w:color="999999"/>
              <w:bottom w:val="single" w:sz="4" w:space="0" w:color="999999"/>
              <w:right w:val="single" w:sz="4" w:space="0" w:color="999999"/>
            </w:tcBorders>
            <w:vAlign w:val="center"/>
          </w:tcPr>
          <w:p w14:paraId="5D4A4361" w14:textId="77777777" w:rsidR="00157A25" w:rsidRPr="00157A25" w:rsidRDefault="00157A25" w:rsidP="00157A25">
            <w:pPr>
              <w:spacing w:before="80" w:after="120"/>
              <w:jc w:val="center"/>
            </w:pPr>
            <w:r>
              <w:rPr>
                <w:b/>
                <w:bCs/>
              </w:rPr>
              <w:t>0–10%</w:t>
            </w:r>
          </w:p>
        </w:tc>
        <w:tc>
          <w:tcPr>
            <w:tcW w:w="2800" w:type="dxa"/>
            <w:tcBorders>
              <w:top w:val="single" w:sz="4" w:space="0" w:color="999999"/>
              <w:left w:val="single" w:sz="4" w:space="0" w:color="999999"/>
              <w:bottom w:val="single" w:sz="4" w:space="0" w:color="999999"/>
              <w:right w:val="single" w:sz="4" w:space="0" w:color="999999"/>
            </w:tcBorders>
            <w:vAlign w:val="center"/>
          </w:tcPr>
          <w:p w14:paraId="0507C83E" w14:textId="77777777" w:rsidR="00157A25" w:rsidRPr="00157A25" w:rsidRDefault="00157A25" w:rsidP="00157A25">
            <w:pPr>
              <w:spacing w:before="80" w:after="120"/>
              <w:jc w:val="center"/>
            </w:pPr>
            <w:r>
              <w:t>Normal</w:t>
            </w:r>
          </w:p>
        </w:tc>
        <w:tc>
          <w:tcPr>
            <w:tcW w:w="5835" w:type="dxa"/>
            <w:tcBorders>
              <w:top w:val="single" w:sz="4" w:space="0" w:color="999999"/>
              <w:left w:val="single" w:sz="4" w:space="0" w:color="999999"/>
              <w:bottom w:val="single" w:sz="4" w:space="0" w:color="999999"/>
              <w:right w:val="single" w:sz="4" w:space="0" w:color="999999"/>
            </w:tcBorders>
            <w:vAlign w:val="center"/>
          </w:tcPr>
          <w:p w14:paraId="1699AA7F" w14:textId="77777777" w:rsidR="00157A25" w:rsidRPr="00157A25" w:rsidRDefault="00157A25" w:rsidP="00157A25">
            <w:pPr>
              <w:spacing w:before="80" w:after="120"/>
              <w:ind w:left="240"/>
            </w:pPr>
            <w:r>
              <w:t>Standard sizing and 5–15% cash floor rules apply (Part 5).</w:t>
            </w:r>
          </w:p>
        </w:tc>
      </w:tr>
      <w:tr w:rsidR="00157A25" w:rsidRPr="00157A25" w14:paraId="6B7A5164" w14:textId="77777777" w:rsidTr="00157A25">
        <w:tc>
          <w:tcPr>
            <w:tcW w:w="1800" w:type="dxa"/>
            <w:tcBorders>
              <w:top w:val="single" w:sz="4" w:space="0" w:color="999999"/>
              <w:left w:val="single" w:sz="4" w:space="0" w:color="999999"/>
              <w:bottom w:val="single" w:sz="4" w:space="0" w:color="999999"/>
              <w:right w:val="single" w:sz="4" w:space="0" w:color="999999"/>
            </w:tcBorders>
            <w:vAlign w:val="center"/>
          </w:tcPr>
          <w:p w14:paraId="3686B451" w14:textId="77777777" w:rsidR="00157A25" w:rsidRPr="00157A25" w:rsidRDefault="00157A25" w:rsidP="00157A25">
            <w:pPr>
              <w:spacing w:before="80" w:after="120"/>
              <w:jc w:val="center"/>
            </w:pPr>
            <w:r>
              <w:rPr>
                <w:b/>
                <w:bCs/>
              </w:rPr>
              <w:t>10–20%</w:t>
            </w:r>
          </w:p>
        </w:tc>
        <w:tc>
          <w:tcPr>
            <w:tcW w:w="2800" w:type="dxa"/>
            <w:tcBorders>
              <w:top w:val="single" w:sz="4" w:space="0" w:color="999999"/>
              <w:left w:val="single" w:sz="4" w:space="0" w:color="999999"/>
              <w:bottom w:val="single" w:sz="4" w:space="0" w:color="999999"/>
              <w:right w:val="single" w:sz="4" w:space="0" w:color="999999"/>
            </w:tcBorders>
            <w:vAlign w:val="center"/>
          </w:tcPr>
          <w:p w14:paraId="68C045C4" w14:textId="77777777" w:rsidR="00157A25" w:rsidRPr="00157A25" w:rsidRDefault="00157A25" w:rsidP="00157A25">
            <w:pPr>
              <w:spacing w:before="80" w:after="120"/>
              <w:jc w:val="center"/>
            </w:pPr>
            <w:r>
              <w:t>Elevated</w:t>
            </w:r>
          </w:p>
        </w:tc>
        <w:tc>
          <w:tcPr>
            <w:tcW w:w="5835" w:type="dxa"/>
            <w:tcBorders>
              <w:top w:val="single" w:sz="4" w:space="0" w:color="999999"/>
              <w:left w:val="single" w:sz="4" w:space="0" w:color="999999"/>
              <w:bottom w:val="single" w:sz="4" w:space="0" w:color="999999"/>
              <w:right w:val="single" w:sz="4" w:space="0" w:color="999999"/>
            </w:tcBorders>
            <w:vAlign w:val="center"/>
          </w:tcPr>
          <w:p w14:paraId="33414ED7" w14:textId="77777777" w:rsidR="00157A25" w:rsidRPr="00157A25" w:rsidRDefault="00157A25" w:rsidP="00157A25">
            <w:pPr>
              <w:spacing w:before="80" w:after="120"/>
              <w:ind w:left="240"/>
            </w:pPr>
            <w:r>
              <w:t>Raise cash floor to 15% minimum. Suspend initiation of new positions scored below 80 (Strong Buy only).</w:t>
            </w:r>
          </w:p>
        </w:tc>
      </w:tr>
      <w:tr w:rsidR="00157A25" w:rsidRPr="00157A25" w14:paraId="697EB917" w14:textId="77777777" w:rsidTr="00157A25">
        <w:tc>
          <w:tcPr>
            <w:tcW w:w="1800" w:type="dxa"/>
            <w:tcBorders>
              <w:top w:val="single" w:sz="4" w:space="0" w:color="999999"/>
              <w:left w:val="single" w:sz="4" w:space="0" w:color="999999"/>
              <w:bottom w:val="single" w:sz="4" w:space="0" w:color="999999"/>
              <w:right w:val="single" w:sz="4" w:space="0" w:color="999999"/>
            </w:tcBorders>
            <w:vAlign w:val="center"/>
          </w:tcPr>
          <w:p w14:paraId="4E914783" w14:textId="77777777" w:rsidR="00157A25" w:rsidRPr="00157A25" w:rsidRDefault="00157A25" w:rsidP="00157A25">
            <w:pPr>
              <w:spacing w:before="80" w:after="120"/>
              <w:jc w:val="center"/>
            </w:pPr>
            <w:r>
              <w:rPr>
                <w:b/>
                <w:bCs/>
              </w:rPr>
              <w:t>20–30%</w:t>
            </w:r>
          </w:p>
        </w:tc>
        <w:tc>
          <w:tcPr>
            <w:tcW w:w="2800" w:type="dxa"/>
            <w:tcBorders>
              <w:top w:val="single" w:sz="4" w:space="0" w:color="999999"/>
              <w:left w:val="single" w:sz="4" w:space="0" w:color="999999"/>
              <w:bottom w:val="single" w:sz="4" w:space="0" w:color="999999"/>
              <w:right w:val="single" w:sz="4" w:space="0" w:color="999999"/>
            </w:tcBorders>
            <w:vAlign w:val="center"/>
          </w:tcPr>
          <w:p w14:paraId="367152DE" w14:textId="77777777" w:rsidR="00157A25" w:rsidRPr="00157A25" w:rsidRDefault="00157A25" w:rsidP="00157A25">
            <w:pPr>
              <w:spacing w:before="80" w:after="120"/>
              <w:jc w:val="center"/>
            </w:pPr>
            <w:r>
              <w:t>Severe</w:t>
            </w:r>
          </w:p>
        </w:tc>
        <w:tc>
          <w:tcPr>
            <w:tcW w:w="5835" w:type="dxa"/>
            <w:tcBorders>
              <w:top w:val="single" w:sz="4" w:space="0" w:color="999999"/>
              <w:left w:val="single" w:sz="4" w:space="0" w:color="999999"/>
              <w:bottom w:val="single" w:sz="4" w:space="0" w:color="999999"/>
              <w:right w:val="single" w:sz="4" w:space="0" w:color="999999"/>
            </w:tcBorders>
            <w:vAlign w:val="center"/>
          </w:tcPr>
          <w:p w14:paraId="3484E62A" w14:textId="77777777" w:rsidR="00157A25" w:rsidRPr="00157A25" w:rsidRDefault="00157A25" w:rsidP="00157A25">
            <w:pPr>
              <w:spacing w:before="80" w:after="120"/>
              <w:ind w:left="240"/>
            </w:pPr>
            <w:r>
              <w:t>Raise cash floor to 20% minimum. Suspend all new position initiation regardless of Composite Score. Hold Through rules (Part 6) remain in force for fundamentally intact holdings.</w:t>
            </w:r>
          </w:p>
        </w:tc>
      </w:tr>
      <w:tr w:rsidR="00157A25" w:rsidRPr="00157A25" w14:paraId="14B6E2A1" w14:textId="77777777" w:rsidTr="00157A25">
        <w:tc>
          <w:tcPr>
            <w:tcW w:w="1800" w:type="dxa"/>
            <w:tcBorders>
              <w:top w:val="single" w:sz="4" w:space="0" w:color="999999"/>
              <w:left w:val="single" w:sz="4" w:space="0" w:color="999999"/>
              <w:bottom w:val="single" w:sz="4" w:space="0" w:color="999999"/>
              <w:right w:val="single" w:sz="4" w:space="0" w:color="999999"/>
            </w:tcBorders>
            <w:vAlign w:val="center"/>
          </w:tcPr>
          <w:p w14:paraId="3D8F8D69" w14:textId="77777777" w:rsidR="00157A25" w:rsidRPr="00157A25" w:rsidRDefault="00157A25" w:rsidP="00157A25">
            <w:pPr>
              <w:spacing w:before="80" w:after="120"/>
              <w:jc w:val="center"/>
            </w:pPr>
            <w:r>
              <w:rPr>
                <w:b/>
                <w:bCs/>
              </w:rPr>
              <w:t>30%+</w:t>
            </w:r>
          </w:p>
        </w:tc>
        <w:tc>
          <w:tcPr>
            <w:tcW w:w="2800" w:type="dxa"/>
            <w:tcBorders>
              <w:top w:val="single" w:sz="4" w:space="0" w:color="999999"/>
              <w:left w:val="single" w:sz="4" w:space="0" w:color="999999"/>
              <w:bottom w:val="single" w:sz="4" w:space="0" w:color="999999"/>
              <w:right w:val="single" w:sz="4" w:space="0" w:color="999999"/>
            </w:tcBorders>
            <w:vAlign w:val="center"/>
          </w:tcPr>
          <w:p w14:paraId="4730B7C1" w14:textId="77777777" w:rsidR="00157A25" w:rsidRPr="00157A25" w:rsidRDefault="00157A25" w:rsidP="00157A25">
            <w:pPr>
              <w:spacing w:before="80" w:after="120"/>
              <w:jc w:val="center"/>
            </w:pPr>
            <w:r>
              <w:t>Critical</w:t>
            </w:r>
          </w:p>
        </w:tc>
        <w:tc>
          <w:tcPr>
            <w:tcW w:w="5835" w:type="dxa"/>
            <w:tcBorders>
              <w:top w:val="single" w:sz="4" w:space="0" w:color="999999"/>
              <w:left w:val="single" w:sz="4" w:space="0" w:color="999999"/>
              <w:bottom w:val="single" w:sz="4" w:space="0" w:color="999999"/>
              <w:right w:val="single" w:sz="4" w:space="0" w:color="999999"/>
            </w:tcBorders>
            <w:vAlign w:val="center"/>
          </w:tcPr>
          <w:p w14:paraId="33065350" w14:textId="77777777" w:rsidR="00157A25" w:rsidRPr="00157A25" w:rsidRDefault="00157A25" w:rsidP="00157A25">
            <w:pPr>
              <w:spacing w:before="80" w:after="120"/>
              <w:ind w:left="240"/>
            </w:pPr>
            <w:r>
              <w:t>Raise cash floor to 25% minimum. Re-score the full portfolio within 2 weeks. Document whether the decline reflects fundamentals, valuation compression, or macro conditions before any further action.</w:t>
            </w:r>
          </w:p>
        </w:tc>
      </w:tr>
    </w:tbl>
    <w:p w14:paraId="472107AA" w14:textId="77777777" w:rsidR="00157A25" w:rsidRPr="00157A25" w:rsidRDefault="00157A25" w:rsidP="00157A25">
      <w:pPr>
        <w:spacing w:before="80" w:after="120"/>
      </w:pPr>
      <w:r>
        <w:rPr>
          <w:i/>
          <w:iCs/>
        </w:rPr>
        <w:t>Drawdown Level is measured peak-to-trough on total portfolio value. Thresholds revert automatically once portfolio value recovers to within the prior band.</w:t>
      </w:r>
    </w:p>
    <w:p w14:paraId="592FE20B" w14:textId="0F4496A4" w:rsidR="00157A25" w:rsidRPr="00157A25" w:rsidRDefault="00157A25" w:rsidP="00157A25">
      <w:pPr>
        <w:pStyle w:val="ListNumber"/>
      </w:pPr>
      <w:r>
        <w:t>Portfolio drawdown response levels above apply automatically and are not subject to override based on individual conviction. Only a documented Tier 1 re-score can restore normal sizing for an affected position.</w:t>
      </w:r>
    </w:p>
    <w:p w14:paraId="1CFF9F4F" w14:textId="77777777" w:rsidR="00157A25" w:rsidRPr="00157A25" w:rsidRDefault="00157A25" w:rsidP="00157A25">
      <w:pPr>
        <w:pStyle w:val="Heading2"/>
      </w:pPr>
      <w:r>
        <w:t>Leverage Hard Cap</w:t>
      </w:r>
    </w:p>
    <w:p w14:paraId="158F4EFA" w14:textId="77777777" w:rsidR="00157A25" w:rsidRPr="00157A25" w:rsidRDefault="00157A25" w:rsidP="00157A25">
      <w:r>
        <w:t>Debt/FCF is currently a linear sizing discount (Part 5: –1% at 4x). In a rate-shock or credit-spread-widening scenario, leveraged names are disproportionately the source of drawdowns at the severe end of the 0–50% range, not the moderate end. This rule converts high leverage from a soft discount into a hard ceiling.</w:t>
      </w:r>
    </w:p>
    <w:p w14:paraId="35D585EB" w14:textId="4C2E1F24" w:rsidR="00157A25" w:rsidRPr="00157A25" w:rsidRDefault="00157A25" w:rsidP="00157A25">
      <w:pPr>
        <w:pStyle w:val="ListNumber"/>
      </w:pPr>
      <w:r>
        <w:t>Debt/FCF above 5x caps the Composite Score at 65 regardless of Tier 1, 2, or 3 results, preventing a Strong Buy classification on a highly levered balance sheet. The existing –1% sizing modifier for Debt/FCF above 4x (Part 5) remains in effect below this threshold.</w:t>
      </w:r>
    </w:p>
    <w:p w14:paraId="5B7F4B95" w14:textId="77777777" w:rsidR="00157A25" w:rsidRPr="00157A25" w:rsidRDefault="00157A25" w:rsidP="00157A25">
      <w:pPr>
        <w:pStyle w:val="Heading2"/>
      </w:pPr>
      <w:r>
        <w:lastRenderedPageBreak/>
        <w:t>Volatility / Beta Sizing Overlay</w:t>
      </w:r>
    </w:p>
    <w:p w14:paraId="3D836A59" w14:textId="77777777" w:rsidR="00157A25" w:rsidRPr="00157A25" w:rsidRDefault="00157A25" w:rsidP="00157A25">
      <w:r>
        <w:t>No current indicator measures how violently a position is likely to move independent of business quality. This overlay adjusts position size only — it does not affect the Composite Score or the fundamentals-first hierarchy in Part 1.</w:t>
      </w:r>
    </w:p>
    <w:p w14:paraId="75939C4A" w14:textId="275B274A" w:rsidR="00157A25" w:rsidRPr="00157A25" w:rsidRDefault="00157A25" w:rsidP="00157A25">
      <w:pPr>
        <w:pStyle w:val="ListNumber"/>
      </w:pPr>
      <w:r>
        <w:t>Reduce the maximum position size (Part 5) by 1% of portfolio for every full 0.10 increment of 5-year beta above 1.3, rounding down to the last completed increment (a partial increment does not trigger an additional reduction until it is fully completed). A position with beta 1.5 and an otherwise Strong Buy score (max 8%) is capped at 6%; a position with beta 1.43 is 1 completed increment above 1.3 (not 2), so its cap is reduced by 1%, not 2%.</w:t>
      </w:r>
    </w:p>
    <w:p w14:paraId="3ADFB96C" w14:textId="77777777" w:rsidR="00157A25" w:rsidRPr="00157A25" w:rsidRDefault="00157A25" w:rsidP="00157A25">
      <w:pPr>
        <w:pStyle w:val="Heading2"/>
      </w:pPr>
      <w:r>
        <w:t>Bear-Case Implied Return Test</w:t>
      </w:r>
    </w:p>
    <w:p w14:paraId="33D9257F" w14:textId="77777777" w:rsidR="00157A25" w:rsidRPr="00157A25" w:rsidRDefault="00157A25" w:rsidP="00157A25">
      <w:r>
        <w:t>Part 4 requires a base-case implied 5-year return above 10% before entry. That test measures return quality but not capital-preservation margin. This adds a downside-scenario floor.</w:t>
      </w:r>
    </w:p>
    <w:p w14:paraId="2C805AFF" w14:textId="379BC2CF" w:rsidR="00157A25" w:rsidRPr="00157A25" w:rsidRDefault="00157A25" w:rsidP="00157A25">
      <w:pPr>
        <w:pStyle w:val="ListNumber"/>
      </w:pPr>
      <w:r>
        <w:t>At entry, calculate the implied 5-year annualized return under a documented bear case — FCF growth reduced 50% from the base case, or the most recent trough-cycle assumption for cyclicals per Part 4. This bear-case/implied return must be zero or higher. If negative, do not enter regardless of Composite Score.</w:t>
      </w:r>
    </w:p>
    <w:p w14:paraId="532FA4A7" w14:textId="77777777" w:rsidR="00157A25" w:rsidRPr="00157A25" w:rsidRDefault="00157A25" w:rsidP="00157A25">
      <w:pPr>
        <w:pStyle w:val="Heading2"/>
      </w:pPr>
      <w:r>
        <w:t>Target Drawdown Reference</w:t>
      </w:r>
    </w:p>
    <w:p w14:paraId="65CC8776" w14:textId="77777777" w:rsidR="00157A25" w:rsidRPr="00157A25" w:rsidRDefault="00157A25" w:rsidP="00675B8B">
      <w:r>
        <w:t>Approximate mapping of controls to target maximum portfolio drawdown. This is a planning reference, not a guarantee — realized drawdown depends on conditions outside the system's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57A25" w:rsidRPr="00157A25" w14:paraId="6FC25596" w14:textId="77777777" w:rsidTr="00F10C02">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275B02D" w14:textId="77777777" w:rsidR="00157A25" w:rsidRPr="00157A25" w:rsidRDefault="00157A25" w:rsidP="00157A25">
            <w:pPr>
              <w:spacing w:before="80" w:after="120"/>
              <w:jc w:val="center"/>
              <w:rPr>
                <w:b/>
                <w:bCs/>
              </w:rPr>
            </w:pPr>
            <w:r>
              <w:rPr>
                <w:b/>
                <w:bCs/>
              </w:rPr>
              <w:t>Target Max Drawdown</w:t>
            </w:r>
          </w:p>
        </w:tc>
        <w:tc>
          <w:tcPr>
            <w:tcW w:w="67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7F4A749" w14:textId="77777777" w:rsidR="00157A25" w:rsidRPr="00157A25" w:rsidRDefault="00157A25" w:rsidP="00157A25">
            <w:pPr>
              <w:spacing w:before="80" w:after="120"/>
              <w:jc w:val="center"/>
              <w:rPr>
                <w:b/>
                <w:bCs/>
              </w:rPr>
            </w:pPr>
            <w:r>
              <w:rPr>
                <w:b/>
                <w:bCs/>
              </w:rPr>
              <w:t>Controls in Effect</w:t>
            </w:r>
          </w:p>
        </w:tc>
      </w:tr>
      <w:tr w:rsidR="00157A25" w:rsidRPr="00157A25" w14:paraId="051E502B" w14:textId="77777777" w:rsidTr="00F10C02">
        <w:tc>
          <w:tcPr>
            <w:tcW w:w="2600" w:type="dxa"/>
            <w:tcBorders>
              <w:top w:val="single" w:sz="4" w:space="0" w:color="999999"/>
              <w:left w:val="single" w:sz="4" w:space="0" w:color="999999"/>
              <w:bottom w:val="single" w:sz="4" w:space="0" w:color="999999"/>
              <w:right w:val="single" w:sz="4" w:space="0" w:color="999999"/>
            </w:tcBorders>
            <w:vAlign w:val="center"/>
          </w:tcPr>
          <w:p w14:paraId="0D5A52EE" w14:textId="77777777" w:rsidR="00157A25" w:rsidRPr="00157A25" w:rsidRDefault="00157A25" w:rsidP="00157A25">
            <w:pPr>
              <w:spacing w:before="80" w:after="120"/>
              <w:jc w:val="center"/>
            </w:pPr>
            <w:r>
              <w:rPr>
                <w:b/>
                <w:bCs/>
              </w:rPr>
              <w:t>0–15%</w:t>
            </w:r>
          </w:p>
        </w:tc>
        <w:tc>
          <w:tcPr>
            <w:tcW w:w="6750" w:type="dxa"/>
            <w:tcBorders>
              <w:top w:val="single" w:sz="4" w:space="0" w:color="999999"/>
              <w:left w:val="single" w:sz="4" w:space="0" w:color="999999"/>
              <w:bottom w:val="single" w:sz="4" w:space="0" w:color="999999"/>
              <w:right w:val="single" w:sz="4" w:space="0" w:color="999999"/>
            </w:tcBorders>
            <w:vAlign w:val="center"/>
          </w:tcPr>
          <w:p w14:paraId="5D2C3C9E" w14:textId="77777777" w:rsidR="00157A25" w:rsidRPr="00157A25" w:rsidRDefault="00157A25" w:rsidP="00157A25">
            <w:pPr>
              <w:spacing w:before="80" w:after="120"/>
              <w:ind w:left="174"/>
            </w:pPr>
            <w:r>
              <w:t>Full portfolio-drawdown response table active from the 10% band; correlation cap enforced strictly; leverage hard cap and beta overlay both applied conservatively; cash floor raised early.</w:t>
            </w:r>
          </w:p>
        </w:tc>
      </w:tr>
      <w:tr w:rsidR="00157A25" w:rsidRPr="00157A25" w14:paraId="10DAAB7B" w14:textId="77777777" w:rsidTr="00F10C02">
        <w:tc>
          <w:tcPr>
            <w:tcW w:w="2600" w:type="dxa"/>
            <w:tcBorders>
              <w:top w:val="single" w:sz="4" w:space="0" w:color="999999"/>
              <w:left w:val="single" w:sz="4" w:space="0" w:color="999999"/>
              <w:bottom w:val="single" w:sz="4" w:space="0" w:color="999999"/>
              <w:right w:val="single" w:sz="4" w:space="0" w:color="999999"/>
            </w:tcBorders>
            <w:vAlign w:val="center"/>
          </w:tcPr>
          <w:p w14:paraId="76F64222" w14:textId="77777777" w:rsidR="00157A25" w:rsidRPr="00157A25" w:rsidRDefault="00157A25" w:rsidP="00157A25">
            <w:pPr>
              <w:spacing w:before="80" w:after="120"/>
              <w:jc w:val="center"/>
            </w:pPr>
            <w:r>
              <w:rPr>
                <w:b/>
                <w:bCs/>
              </w:rPr>
              <w:t>15–30%</w:t>
            </w:r>
          </w:p>
        </w:tc>
        <w:tc>
          <w:tcPr>
            <w:tcW w:w="6750" w:type="dxa"/>
            <w:tcBorders>
              <w:top w:val="single" w:sz="4" w:space="0" w:color="999999"/>
              <w:left w:val="single" w:sz="4" w:space="0" w:color="999999"/>
              <w:bottom w:val="single" w:sz="4" w:space="0" w:color="999999"/>
              <w:right w:val="single" w:sz="4" w:space="0" w:color="999999"/>
            </w:tcBorders>
            <w:vAlign w:val="center"/>
          </w:tcPr>
          <w:p w14:paraId="6053FB40" w14:textId="77777777" w:rsidR="00157A25" w:rsidRPr="00157A25" w:rsidRDefault="00157A25" w:rsidP="00157A25">
            <w:pPr>
              <w:spacing w:before="80" w:after="120"/>
              <w:ind w:left="174"/>
            </w:pPr>
            <w:r>
              <w:t>Standard system as documented in Parts 1–10 plus Rules 32–36; this is the range the base system is designed to produce.</w:t>
            </w:r>
          </w:p>
        </w:tc>
      </w:tr>
      <w:tr w:rsidR="00157A25" w:rsidRPr="00157A25" w14:paraId="73C8F2DE" w14:textId="77777777" w:rsidTr="00F10C02">
        <w:tc>
          <w:tcPr>
            <w:tcW w:w="2600" w:type="dxa"/>
            <w:tcBorders>
              <w:top w:val="single" w:sz="4" w:space="0" w:color="999999"/>
              <w:left w:val="single" w:sz="4" w:space="0" w:color="999999"/>
              <w:bottom w:val="single" w:sz="4" w:space="0" w:color="999999"/>
              <w:right w:val="single" w:sz="4" w:space="0" w:color="999999"/>
            </w:tcBorders>
            <w:vAlign w:val="center"/>
          </w:tcPr>
          <w:p w14:paraId="2FF1505F" w14:textId="77777777" w:rsidR="00157A25" w:rsidRPr="00157A25" w:rsidRDefault="00157A25" w:rsidP="00157A25">
            <w:pPr>
              <w:spacing w:before="80" w:after="120"/>
              <w:jc w:val="center"/>
            </w:pPr>
            <w:r>
              <w:rPr>
                <w:b/>
                <w:bCs/>
              </w:rPr>
              <w:t>30–50%</w:t>
            </w:r>
          </w:p>
        </w:tc>
        <w:tc>
          <w:tcPr>
            <w:tcW w:w="6750" w:type="dxa"/>
            <w:tcBorders>
              <w:top w:val="single" w:sz="4" w:space="0" w:color="999999"/>
              <w:left w:val="single" w:sz="4" w:space="0" w:color="999999"/>
              <w:bottom w:val="single" w:sz="4" w:space="0" w:color="999999"/>
              <w:right w:val="single" w:sz="4" w:space="0" w:color="999999"/>
            </w:tcBorders>
            <w:vAlign w:val="center"/>
          </w:tcPr>
          <w:p w14:paraId="57A51950" w14:textId="77777777" w:rsidR="00157A25" w:rsidRPr="00157A25" w:rsidRDefault="00157A25" w:rsidP="00157A25">
            <w:pPr>
              <w:spacing w:before="80" w:after="120"/>
              <w:ind w:left="174"/>
            </w:pPr>
            <w:r>
              <w:t>Sizing ceilings (Part 5) and sector caps still apply, but concentration and correlation are allowed to run closer to their limits; appropriate only with explicit, documented risk tolerance for the wider band.</w:t>
            </w:r>
          </w:p>
        </w:tc>
      </w:tr>
    </w:tbl>
    <w:p w14:paraId="7F1A228F" w14:textId="77777777" w:rsidR="00157A25" w:rsidRPr="00157A25" w:rsidRDefault="00157A25" w:rsidP="00157A25">
      <w:pPr>
        <w:spacing w:before="80" w:after="120"/>
      </w:pPr>
      <w:r>
        <w:rPr>
          <w:b/>
          <w:bCs/>
          <w:i/>
          <w:iCs/>
        </w:rPr>
        <w:t>NOTE: As with Part 10, do not adjust the thresholds in this section reactively after a single drawdown event. Review Rules 32–36 on the same 2-year cadence as indicator weights (Rule 31), using documented evidence across multiple portfolio cycles.</w:t>
      </w:r>
    </w:p>
    <w:p w14:paraId="593B93D9" w14:textId="3C42A745" w:rsidR="008D5188" w:rsidRDefault="008D5188" w:rsidP="00BF5EC6">
      <w:pPr>
        <w:spacing w:before="80" w:after="120"/>
      </w:pPr>
    </w:p>
    <w:sectPr w:rsidR="008D5188" w:rsidSect="00C2475F">
      <w:footerReference w:type="default" r:id="rId8"/>
      <w:pgSz w:w="12240" w:h="15840"/>
      <w:pgMar w:top="720" w:right="576" w:bottom="806" w:left="1008" w:header="720" w:footer="2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359A" w14:textId="77777777" w:rsidR="00AF4D89" w:rsidRDefault="00AF4D89">
      <w:pPr>
        <w:spacing w:after="0" w:line="240" w:lineRule="auto"/>
      </w:pPr>
      <w:r>
        <w:separator/>
      </w:r>
    </w:p>
  </w:endnote>
  <w:endnote w:type="continuationSeparator" w:id="0">
    <w:p w14:paraId="0254A5B8" w14:textId="77777777" w:rsidR="00AF4D89" w:rsidRDefault="00AF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3476" w14:textId="7A4D95C9" w:rsidR="002F4EDF" w:rsidRPr="00B41806" w:rsidRDefault="00B41806" w:rsidP="00FC08ED">
    <w:pPr>
      <w:pStyle w:val="Footer"/>
      <w:tabs>
        <w:tab w:val="clear" w:pos="9360"/>
        <w:tab w:val="right" w:pos="10440"/>
      </w:tabs>
      <w:rPr>
        <w:rFonts w:asciiTheme="majorHAnsi" w:hAnsiTheme="majorHAnsi" w:cstheme="majorHAnsi"/>
      </w:rPr>
    </w:pPr>
    <w:r w:rsidRPr="00B41806">
      <w:rPr>
        <w:rFonts w:asciiTheme="majorHAnsi" w:hAnsiTheme="majorHAnsi" w:cstheme="majorHAnsi"/>
        <w:color w:val="808080"/>
        <w:sz w:val="16"/>
      </w:rPr>
      <w:fldChar w:fldCharType="begin"/>
    </w:r>
    <w:r w:rsidRPr="00B41806">
      <w:rPr>
        <w:rFonts w:asciiTheme="majorHAnsi" w:hAnsiTheme="majorHAnsi" w:cstheme="majorHAnsi"/>
        <w:color w:val="808080"/>
        <w:sz w:val="16"/>
      </w:rPr>
      <w:instrText xml:space="preserve"> FILENAME  \* MERGEFORMAT </w:instrText>
    </w:r>
    <w:r w:rsidRPr="00B41806">
      <w:rPr>
        <w:rFonts w:asciiTheme="majorHAnsi" w:hAnsiTheme="majorHAnsi" w:cstheme="majorHAnsi"/>
        <w:color w:val="808080"/>
        <w:sz w:val="16"/>
      </w:rPr>
      <w:fldChar w:fldCharType="separate"/>
    </w:r>
    <w:r w:rsidR="00BB793F">
      <w:rPr>
        <w:rFonts w:asciiTheme="majorHAnsi" w:hAnsiTheme="majorHAnsi" w:cstheme="majorHAnsi"/>
        <w:noProof/>
        <w:color w:val="808080"/>
        <w:sz w:val="16"/>
      </w:rPr>
      <w:t>CLAUDE Trading System - Complete Framework_v4.docx</w:t>
    </w:r>
    <w:r w:rsidRPr="00B41806">
      <w:rPr>
        <w:rFonts w:asciiTheme="majorHAnsi" w:hAnsiTheme="majorHAnsi" w:cstheme="majorHAnsi"/>
        <w:color w:val="808080"/>
        <w:sz w:val="16"/>
      </w:rPr>
      <w:fldChar w:fldCharType="end"/>
    </w:r>
    <w:r w:rsidRPr="00B41806">
      <w:rPr>
        <w:rFonts w:asciiTheme="majorHAnsi" w:hAnsiTheme="majorHAnsi" w:cstheme="majorHAnsi"/>
        <w:color w:val="808080"/>
        <w:sz w:val="16"/>
      </w:rPr>
      <w:tab/>
    </w:r>
    <w:r w:rsidRPr="00B41806">
      <w:rPr>
        <w:rFonts w:asciiTheme="majorHAnsi" w:hAnsiTheme="majorHAnsi" w:cstheme="majorHAnsi"/>
        <w:color w:val="808080"/>
        <w:sz w:val="16"/>
      </w:rPr>
      <w:tab/>
    </w:r>
    <w:r w:rsidRPr="00B41806">
      <w:rPr>
        <w:rFonts w:asciiTheme="majorHAnsi" w:hAnsiTheme="majorHAnsi" w:cstheme="majorHAnsi"/>
        <w:color w:val="808080"/>
        <w:sz w:val="16"/>
      </w:rPr>
      <w:fldChar w:fldCharType="begin"/>
    </w:r>
    <w:r w:rsidRPr="00B41806">
      <w:rPr>
        <w:rFonts w:asciiTheme="majorHAnsi" w:hAnsiTheme="majorHAnsi" w:cstheme="majorHAnsi"/>
        <w:color w:val="808080"/>
        <w:sz w:val="16"/>
      </w:rPr>
      <w:instrText xml:space="preserve"> PAGE  \* MERGEFORMAT </w:instrText>
    </w:r>
    <w:r w:rsidRPr="00B41806">
      <w:rPr>
        <w:rFonts w:asciiTheme="majorHAnsi" w:hAnsiTheme="majorHAnsi" w:cstheme="majorHAnsi"/>
        <w:color w:val="808080"/>
        <w:sz w:val="16"/>
      </w:rPr>
      <w:fldChar w:fldCharType="separate"/>
    </w:r>
    <w:r w:rsidRPr="00B41806">
      <w:rPr>
        <w:rFonts w:asciiTheme="majorHAnsi" w:hAnsiTheme="majorHAnsi" w:cstheme="majorHAnsi"/>
        <w:noProof/>
        <w:color w:val="808080"/>
        <w:sz w:val="16"/>
      </w:rPr>
      <w:t>1</w:t>
    </w:r>
    <w:r w:rsidRPr="00B41806">
      <w:rPr>
        <w:rFonts w:asciiTheme="majorHAnsi" w:hAnsiTheme="majorHAnsi" w:cstheme="majorHAnsi"/>
        <w:color w:val="808080"/>
        <w:sz w:val="16"/>
      </w:rPr>
      <w:fldChar w:fldCharType="end"/>
    </w:r>
    <w:r w:rsidRPr="00B41806">
      <w:rPr>
        <w:rFonts w:asciiTheme="majorHAnsi" w:hAnsiTheme="majorHAnsi" w:cstheme="majorHAnsi"/>
        <w:color w:val="808080"/>
        <w:sz w:val="16"/>
      </w:rPr>
      <w:t xml:space="preserve"> / </w:t>
    </w:r>
    <w:r w:rsidRPr="00B41806">
      <w:rPr>
        <w:rFonts w:asciiTheme="majorHAnsi" w:hAnsiTheme="majorHAnsi" w:cstheme="majorHAnsi"/>
        <w:color w:val="808080"/>
        <w:sz w:val="16"/>
      </w:rPr>
      <w:fldChar w:fldCharType="begin"/>
    </w:r>
    <w:r w:rsidRPr="00B41806">
      <w:rPr>
        <w:rFonts w:asciiTheme="majorHAnsi" w:hAnsiTheme="majorHAnsi" w:cstheme="majorHAnsi"/>
        <w:color w:val="808080"/>
        <w:sz w:val="16"/>
      </w:rPr>
      <w:instrText xml:space="preserve"> NUMPAGES  \* MERGEFORMAT </w:instrText>
    </w:r>
    <w:r w:rsidRPr="00B41806">
      <w:rPr>
        <w:rFonts w:asciiTheme="majorHAnsi" w:hAnsiTheme="majorHAnsi" w:cstheme="majorHAnsi"/>
        <w:color w:val="808080"/>
        <w:sz w:val="16"/>
      </w:rPr>
      <w:fldChar w:fldCharType="separate"/>
    </w:r>
    <w:r w:rsidRPr="00B41806">
      <w:rPr>
        <w:rFonts w:asciiTheme="majorHAnsi" w:hAnsiTheme="majorHAnsi" w:cstheme="majorHAnsi"/>
        <w:noProof/>
        <w:color w:val="808080"/>
        <w:sz w:val="16"/>
      </w:rPr>
      <w:t>6</w:t>
    </w:r>
    <w:r w:rsidRPr="00B41806">
      <w:rPr>
        <w:rFonts w:asciiTheme="majorHAnsi" w:hAnsiTheme="majorHAnsi" w:cstheme="majorHAnsi"/>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021B" w14:textId="77777777" w:rsidR="00AF4D89" w:rsidRDefault="00AF4D89">
      <w:pPr>
        <w:spacing w:after="0" w:line="240" w:lineRule="auto"/>
      </w:pPr>
      <w:r>
        <w:separator/>
      </w:r>
    </w:p>
  </w:footnote>
  <w:footnote w:type="continuationSeparator" w:id="0">
    <w:p w14:paraId="706FD657" w14:textId="77777777" w:rsidR="00AF4D89" w:rsidRDefault="00AF4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5826C0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3C91422"/>
    <w:multiLevelType w:val="hybridMultilevel"/>
    <w:tmpl w:val="40B854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5465D"/>
    <w:multiLevelType w:val="hybridMultilevel"/>
    <w:tmpl w:val="2F4004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9E63A1"/>
    <w:multiLevelType w:val="multilevel"/>
    <w:tmpl w:val="BD84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84969"/>
    <w:multiLevelType w:val="hybridMultilevel"/>
    <w:tmpl w:val="0AC80F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0A01D4"/>
    <w:multiLevelType w:val="hybridMultilevel"/>
    <w:tmpl w:val="C6A8A5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00566FE"/>
    <w:multiLevelType w:val="hybridMultilevel"/>
    <w:tmpl w:val="C1323A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9776410">
    <w:abstractNumId w:val="5"/>
  </w:num>
  <w:num w:numId="2" w16cid:durableId="1790852652">
    <w:abstractNumId w:val="3"/>
  </w:num>
  <w:num w:numId="3" w16cid:durableId="1042903030">
    <w:abstractNumId w:val="2"/>
  </w:num>
  <w:num w:numId="4" w16cid:durableId="982080313">
    <w:abstractNumId w:val="4"/>
  </w:num>
  <w:num w:numId="5" w16cid:durableId="631987632">
    <w:abstractNumId w:val="1"/>
  </w:num>
  <w:num w:numId="6" w16cid:durableId="1266309893">
    <w:abstractNumId w:val="0"/>
  </w:num>
  <w:num w:numId="7" w16cid:durableId="992563459">
    <w:abstractNumId w:val="7"/>
  </w:num>
  <w:num w:numId="8" w16cid:durableId="1322346300">
    <w:abstractNumId w:val="9"/>
  </w:num>
  <w:num w:numId="9" w16cid:durableId="1940605593">
    <w:abstractNumId w:val="8"/>
  </w:num>
  <w:num w:numId="10" w16cid:durableId="149366238">
    <w:abstractNumId w:val="11"/>
  </w:num>
  <w:num w:numId="11" w16cid:durableId="704716482">
    <w:abstractNumId w:val="6"/>
  </w:num>
  <w:num w:numId="12" w16cid:durableId="28199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3D0"/>
    <w:rsid w:val="0006063C"/>
    <w:rsid w:val="000B5F95"/>
    <w:rsid w:val="00122CD4"/>
    <w:rsid w:val="00145E8B"/>
    <w:rsid w:val="0015074B"/>
    <w:rsid w:val="001522F7"/>
    <w:rsid w:val="00157A25"/>
    <w:rsid w:val="0029639D"/>
    <w:rsid w:val="002D2516"/>
    <w:rsid w:val="002F4EDF"/>
    <w:rsid w:val="00326F90"/>
    <w:rsid w:val="00382F9D"/>
    <w:rsid w:val="003C2E66"/>
    <w:rsid w:val="004B6A19"/>
    <w:rsid w:val="00572D2E"/>
    <w:rsid w:val="00583E6D"/>
    <w:rsid w:val="005B054E"/>
    <w:rsid w:val="005B38B2"/>
    <w:rsid w:val="005F14FC"/>
    <w:rsid w:val="005F5A80"/>
    <w:rsid w:val="00615F6A"/>
    <w:rsid w:val="00675B8B"/>
    <w:rsid w:val="006835D7"/>
    <w:rsid w:val="006E4ED8"/>
    <w:rsid w:val="006F0F01"/>
    <w:rsid w:val="00756D57"/>
    <w:rsid w:val="008D5188"/>
    <w:rsid w:val="0093606B"/>
    <w:rsid w:val="009C1EBD"/>
    <w:rsid w:val="00A27A57"/>
    <w:rsid w:val="00A527C1"/>
    <w:rsid w:val="00A976BC"/>
    <w:rsid w:val="00AA1D8D"/>
    <w:rsid w:val="00AB6F69"/>
    <w:rsid w:val="00AF4D89"/>
    <w:rsid w:val="00B13946"/>
    <w:rsid w:val="00B41806"/>
    <w:rsid w:val="00B47730"/>
    <w:rsid w:val="00BA5B04"/>
    <w:rsid w:val="00BB793F"/>
    <w:rsid w:val="00BF5EC6"/>
    <w:rsid w:val="00C2475F"/>
    <w:rsid w:val="00CB0664"/>
    <w:rsid w:val="00CB5E36"/>
    <w:rsid w:val="00D13FDE"/>
    <w:rsid w:val="00D32150"/>
    <w:rsid w:val="00D343AB"/>
    <w:rsid w:val="00D433BB"/>
    <w:rsid w:val="00DA4EF2"/>
    <w:rsid w:val="00E5126D"/>
    <w:rsid w:val="00EA4974"/>
    <w:rsid w:val="00FB0327"/>
    <w:rsid w:val="00FC08ED"/>
    <w:rsid w:val="00FC693F"/>
    <w:rsid w:val="00FF25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21C18D"/>
  <w14:defaultImageDpi w14:val="300"/>
  <w15:docId w15:val="{0A6E08AC-1D46-8A49-A4D0-7C2F9158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A25"/>
    <w:pPr>
      <w:spacing w:line="259" w:lineRule="auto"/>
    </w:pPr>
    <w:rPr>
      <w:rFonts w:ascii="Calibri" w:hAnsi="Calibri" w:cs="Times New Roman (Body CS)"/>
    </w:rPr>
  </w:style>
  <w:style w:type="paragraph" w:styleId="Heading1">
    <w:name w:val="heading 1"/>
    <w:basedOn w:val="Normal"/>
    <w:next w:val="Normal"/>
    <w:link w:val="Heading1Char"/>
    <w:uiPriority w:val="9"/>
    <w:qFormat/>
    <w:rsid w:val="005B38B2"/>
    <w:pPr>
      <w:keepNext/>
      <w:keepLines/>
      <w:pBdr>
        <w:top w:val="single" w:sz="4" w:space="1" w:color="auto"/>
      </w:pBdr>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15F6A"/>
    <w:pPr>
      <w:spacing w:after="0" w:line="240" w:lineRule="auto"/>
    </w:pPr>
    <w:rPr>
      <w:rFonts w:ascii="Calibri" w:hAnsi="Calibri" w:cs="Times New Roman (Body CS)"/>
    </w:rPr>
  </w:style>
  <w:style w:type="character" w:customStyle="1" w:styleId="Heading1Char">
    <w:name w:val="Heading 1 Char"/>
    <w:basedOn w:val="DefaultParagraphFont"/>
    <w:link w:val="Heading1"/>
    <w:uiPriority w:val="9"/>
    <w:rsid w:val="005B38B2"/>
    <w:rPr>
      <w:rFonts w:eastAsiaTheme="major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157A25"/>
    <w:pPr>
      <w:numPr>
        <w:numId w:val="4"/>
      </w:numPr>
      <w:spacing w:line="276" w:lineRule="auto"/>
      <w:contextualSpacing/>
    </w:pPr>
    <w:rPr>
      <w:b/>
      <w:bCs/>
      <w:color w:val="984806" w:themeColor="accent6" w:themeShade="80"/>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51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5188"/>
    <w:rPr>
      <w:color w:val="0000FF"/>
      <w:u w:val="single"/>
    </w:rPr>
  </w:style>
  <w:style w:type="character" w:styleId="HTMLCode">
    <w:name w:val="HTML Code"/>
    <w:basedOn w:val="DefaultParagraphFont"/>
    <w:uiPriority w:val="99"/>
    <w:semiHidden/>
    <w:unhideWhenUsed/>
    <w:rsid w:val="008D51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3907</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Alan Landry</cp:lastModifiedBy>
  <cp:revision>4</cp:revision>
  <cp:lastPrinted>2026-06-18T21:30:00Z</cp:lastPrinted>
  <dcterms:created xsi:type="dcterms:W3CDTF">2026-07-03T17:34:00Z</dcterms:created>
  <dcterms:modified xsi:type="dcterms:W3CDTF">2026-07-06T18:00:00Z</dcterms:modified>
  <cp:category/>
</cp:coreProperties>
</file>