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1F3864"/>
        </w:rPr>
        <w:t>Landry System — Standing Process Recap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Prepared 2026-09-11, at the close of the full tab-by-tab workbook walkthrough (started 2026-09-08). Everything below reflects live, verified current state — not an aspirational description of how the system is supposed to work.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Purpose: a firm, comfortable answer to “what can I count on being done, automatically or by habit, before each tranche and each quarterly review?” Section 1 answers that directly. Section 2 is a tab-by-tab reference, in the style of the audit you shared. Section 3 is the honest remainder — everything still open, so this document doesn't imply more is finished than actually is.</w:t>
      </w:r>
    </w:p>
    <w:p>
      <w:pPr>
        <w:pStyle w:val="Heading1"/>
      </w:pPr>
      <w:r>
        <w:rPr>
          <w:rFonts w:ascii="Calibri" w:hAnsi="Calibri"/>
          <w:color w:val="1F3864"/>
        </w:rPr>
        <w:t>1. Standing Recurring Processes</w:t>
      </w:r>
    </w:p>
    <w:p>
      <w:pPr>
        <w:pStyle w:val="Heading2"/>
      </w:pPr>
      <w:r>
        <w:rPr>
          <w:rFonts w:ascii="Calibri" w:hAnsi="Calibri"/>
          <w:color w:val="1F3864"/>
        </w:rPr>
        <w:t>DCA Tranche Execution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Currently in the 6-month twice-monthly catch-up phase (DCA-CATCHUP-1 through -12, 10/7/26 through 3/15/27), working down the ETF dry-powder pile; reverts to steady-state %-of-portfolio sizing after. Every tranche now runs this exact checklist — tracked as individual steps in the Process Checklist tab, not a paragraph to re-read:</w:t>
      </w:r>
    </w:p>
    <w:p>
      <w:pPr>
        <w:pStyle w:val="ListBullet"/>
        <w:spacing w:after="80"/>
      </w:pPr>
      <w:r>
        <w:rPr>
          <w:rFonts w:ascii="Calibri" w:hAnsi="Calibri"/>
        </w:rPr>
        <w:t>Pull fresh prices for all held positions.</w:t>
      </w:r>
    </w:p>
    <w:p>
      <w:pPr>
        <w:pStyle w:val="ListBullet"/>
        <w:spacing w:after="80"/>
      </w:pPr>
      <w:r>
        <w:rPr>
          <w:rFonts w:ascii="Calibri" w:hAnsi="Calibri"/>
        </w:rPr>
        <w:t>Log the month's total portfolio value into Portfolio Drawdown Log; note the resulting regime.</w:t>
      </w:r>
    </w:p>
    <w:p>
      <w:pPr>
        <w:pStyle w:val="ListBullet"/>
        <w:spacing w:after="80"/>
      </w:pPr>
      <w:r>
        <w:rPr>
          <w:rFonts w:ascii="Calibri" w:hAnsi="Calibri"/>
          <w:b/>
        </w:rPr>
        <w:t xml:space="preserve">S&amp;P-ATH acceleration check (added 9/11/26): </w:t>
      </w:r>
      <w:r>
        <w:rPr>
          <w:rFonts w:ascii="Calibri" w:hAnsi="Calibri"/>
        </w:rPr>
        <w:t>tier the tranche size to the S&amp;P 500's distance from its ATH (Routine -5 to -9%=baseline, Correction -10 to -14%=+25%, Severe Correction -15 to -19%=+50%, Bear -20%+=+100%) — unless the portfolio's own Drawdown Log regime is Severe/Critical, which overrides and skips the tranche regardless of the S&amp;P tier, or Elevated, which keeps the multiplier but restricts new entries to Strong-Buy-quality names only.</w:t>
      </w:r>
    </w:p>
    <w:p>
      <w:pPr>
        <w:pStyle w:val="ListBullet"/>
        <w:spacing w:after="80"/>
      </w:pPr>
      <w:r>
        <w:rPr>
          <w:rFonts w:ascii="Calibri" w:hAnsi="Calibri"/>
        </w:rPr>
        <w:t>Scan Monitor &amp; Recheck Triggers for anything DUE — re-score before adding to it, not after.</w:t>
      </w:r>
    </w:p>
    <w:p>
      <w:pPr>
        <w:pStyle w:val="ListBullet"/>
        <w:spacing w:after="80"/>
      </w:pPr>
      <w:r>
        <w:rPr>
          <w:rFonts w:ascii="Calibri" w:hAnsi="Calibri"/>
        </w:rPr>
        <w:t>Check remaining diversifier headroom against the tranche size.</w:t>
      </w:r>
    </w:p>
    <w:p>
      <w:pPr>
        <w:pStyle w:val="ListBullet"/>
        <w:spacing w:after="80"/>
      </w:pPr>
      <w:r>
        <w:rPr>
          <w:rFonts w:ascii="Calibri" w:hAnsi="Calibri"/>
        </w:rPr>
        <w:t>Confirm Correlation Matrix status (Rule 36) hasn't moved unfavorably.</w:t>
      </w:r>
    </w:p>
    <w:p>
      <w:pPr>
        <w:pStyle w:val="ListBullet"/>
        <w:spacing w:after="80"/>
      </w:pPr>
      <w:r>
        <w:rPr>
          <w:rFonts w:ascii="Calibri" w:hAnsi="Calibri"/>
        </w:rPr>
        <w:t>Log any conversational scoring to landry_scores.json (source=manual, approved_by=Alan).</w:t>
      </w:r>
    </w:p>
    <w:p>
      <w:pPr>
        <w:pStyle w:val="ListBullet"/>
        <w:spacing w:after="80"/>
      </w:pPr>
      <w:r>
        <w:rPr>
          <w:rFonts w:ascii="Calibri" w:hAnsi="Calibri"/>
        </w:rPr>
        <w:t>Run python -m landry audit — confirm clean or explain any failures.</w:t>
      </w:r>
    </w:p>
    <w:p>
      <w:pPr>
        <w:pStyle w:val="ListBullet"/>
        <w:spacing w:after="80"/>
      </w:pPr>
      <w:r>
        <w:rPr>
          <w:rFonts w:ascii="Calibri" w:hAnsi="Calibri"/>
        </w:rPr>
        <w:t>Run python -m landry.xlsx_recalc after any workbook edit.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Guardrail, unchanged from the original system: pace never overrides the Composite≥65 / Tier-1-qualifying-candidate gate. If the candidate queue can't produce enough qualified names fast enough, the excess holds in cash rather than forcing a weaker pick.</w:t>
      </w:r>
    </w:p>
    <w:p>
      <w:pPr>
        <w:pStyle w:val="Heading2"/>
      </w:pPr>
      <w:r>
        <w:rPr>
          <w:rFonts w:ascii="Calibri" w:hAnsi="Calibri"/>
          <w:color w:val="1F3864"/>
        </w:rPr>
        <w:t>Quarterly Review (QTR-REVIEW-N)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Every calendar quarter-end — price/date-driven items only, no benefit to delaying:</w:t>
      </w:r>
    </w:p>
    <w:p>
      <w:pPr>
        <w:pStyle w:val="ListBullet"/>
        <w:spacing w:after="80"/>
      </w:pPr>
      <w:r>
        <w:rPr>
          <w:rFonts w:ascii="Calibri" w:hAnsi="Calibri"/>
        </w:rPr>
        <w:t>Portfolio Drawdown Log — log quarter-end portfolio value, confirm regime.</w:t>
      </w:r>
    </w:p>
    <w:p>
      <w:pPr>
        <w:pStyle w:val="ListBullet"/>
        <w:spacing w:after="80"/>
      </w:pPr>
      <w:r>
        <w:rPr>
          <w:rFonts w:ascii="Calibri" w:hAnsi="Calibri"/>
        </w:rPr>
        <w:t>Correlation Matrix — full refresh with latest Price History data, confirm Rule 36 status.</w:t>
      </w:r>
    </w:p>
    <w:p>
      <w:pPr>
        <w:pStyle w:val="ListBullet"/>
        <w:spacing w:after="80"/>
      </w:pPr>
      <w:r>
        <w:rPr>
          <w:rFonts w:ascii="Calibri" w:hAnsi="Calibri"/>
        </w:rPr>
        <w:t>Watch List Tracker — check all 90-day deadlines (Rule 33), flag DEADLINE PASSED / APPROACHING.</w:t>
      </w:r>
    </w:p>
    <w:p>
      <w:pPr>
        <w:pStyle w:val="Heading2"/>
      </w:pPr>
      <w:r>
        <w:rPr>
          <w:rFonts w:ascii="Calibri" w:hAnsi="Calibri"/>
          <w:color w:val="1F3864"/>
        </w:rPr>
        <w:t>Fundamental Refresh (FUND-REFRESH-N)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Roughly 3-4 weeks after each quarter-end, once earnings have landed:</w:t>
      </w:r>
    </w:p>
    <w:p>
      <w:pPr>
        <w:pStyle w:val="ListBullet"/>
        <w:spacing w:after="80"/>
      </w:pPr>
      <w:r>
        <w:rPr>
          <w:rFonts w:ascii="Calibri" w:hAnsi="Calibri"/>
        </w:rPr>
        <w:t>Re-score Tier 1 indicators for existing holdings using the new quarter's results; update Scoring for anything material.</w:t>
      </w:r>
    </w:p>
    <w:p>
      <w:pPr>
        <w:pStyle w:val="ListBullet"/>
        <w:spacing w:after="80"/>
      </w:pPr>
      <w:r>
        <w:rPr>
          <w:rFonts w:ascii="Calibri" w:hAnsi="Calibri"/>
          <w:b/>
        </w:rPr>
        <w:t xml:space="preserve">Holding Monitor — </w:t>
      </w:r>
      <w:r>
        <w:rPr>
          <w:rFonts w:ascii="Calibri" w:hAnsi="Calibri"/>
        </w:rPr>
        <w:t>snapshot the prior cycle's Tier 1 sub-scores into Prior, populate Current with the new ones, plus refreshed valuation/sizing metrics; review any resulting TRIGGER/ACTION REQUIRED flags. (This step didn't exist before 9/8/26 — the tab would have silently stayed empty forever without it.)</w:t>
      </w:r>
    </w:p>
    <w:p>
      <w:pPr>
        <w:pStyle w:val="ListBullet"/>
        <w:spacing w:after="80"/>
      </w:pPr>
      <w:r>
        <w:rPr>
          <w:rFonts w:ascii="Calibri" w:hAnsi="Calibri"/>
        </w:rPr>
        <w:t>Complete any pending Entry Checklist work for names still under evaluation.</w:t>
      </w:r>
    </w:p>
    <w:p>
      <w:pPr>
        <w:pStyle w:val="Heading2"/>
      </w:pPr>
      <w:r>
        <w:rPr>
          <w:rFonts w:ascii="Calibri" w:hAnsi="Calibri"/>
          <w:color w:val="1F3864"/>
        </w:rPr>
        <w:t>New Candidate Scoring &amp; Approval Gate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9 of the Scoring tab's 12 indicators auto-draft today via landry draft (yfinance-sourced fundamentals, technical/relative-strength signals, and a real CAPM-based ROIC-vs-WACC calculation). The remaining 3 — Competitive Moat, Revenue Visibility, Management Quality — are permanently human judgment calls under Part 12; that's by design, not a gap to close. Every score, whether CLI-drafted or scored conversationally in a session, has to be logged to landry_scores.json (propose + approve) before it counts as real. This gate had a real hole as of 9/8/26 — V's score authorized an actual $18,448.63 trade without ever being logged — now backfilled and the discipline is explicit going forward, though it's still a habit, not something the tooling enforces on its own.</w:t>
      </w:r>
    </w:p>
    <w:p>
      <w:pPr>
        <w:pStyle w:val="Heading2"/>
      </w:pPr>
      <w:r>
        <w:rPr>
          <w:rFonts w:ascii="Calibri" w:hAnsi="Calibri"/>
          <w:color w:val="1F3864"/>
        </w:rPr>
        <w:t>Mandatory Technical Discipline</w:t>
      </w:r>
    </w:p>
    <w:p>
      <w:pPr>
        <w:pStyle w:val="ListBullet"/>
        <w:spacing w:after="80"/>
      </w:pPr>
      <w:r>
        <w:rPr>
          <w:rFonts w:ascii="Calibri" w:hAnsi="Calibri"/>
          <w:b/>
        </w:rPr>
        <w:t xml:space="preserve">python -m landry.xlsx_recalc </w:t>
      </w:r>
      <w:r>
        <w:rPr>
          <w:rFonts w:ascii="Calibri" w:hAnsi="Calibri"/>
        </w:rPr>
        <w:t>after every single workbook save — openpyxl wipes cached formula values workbook-wide on save, even a pure styling change with no formula touched.</w:t>
      </w:r>
    </w:p>
    <w:p>
      <w:pPr>
        <w:pStyle w:val="ListBullet"/>
        <w:spacing w:after="80"/>
      </w:pPr>
      <w:r>
        <w:rPr>
          <w:rFonts w:ascii="Calibri" w:hAnsi="Calibri"/>
          <w:b/>
        </w:rPr>
        <w:t xml:space="preserve">python -m landry audit </w:t>
      </w:r>
      <w:r>
        <w:rPr>
          <w:rFonts w:ascii="Calibri" w:hAnsi="Calibri"/>
        </w:rPr>
        <w:t>before every commit that touches the workbook (built 9/8/26) — checks Table ranges against live data, hardcoded reader bounds in the landry package, cross-tab formula references, page setup/footer survival through a sheet rebuild, and Schema Reference's accuracy.</w:t>
      </w:r>
    </w:p>
    <w:p>
      <w:pPr>
        <w:pStyle w:val="Heading1"/>
      </w:pPr>
      <w:r>
        <w:rPr>
          <w:rFonts w:ascii="Calibri" w:hAnsi="Calibri"/>
          <w:color w:val="1F3864"/>
        </w:rPr>
        <w:t>2. Tab-by-Tab Reference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Real tab order. “Automatic” means no human step is required for the tab to stay current; everything else names who actually does the work.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584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Tab</w:t>
            </w:r>
          </w:p>
        </w:tc>
        <w:tc>
          <w:tcPr>
            <w:tcW w:type="dxa" w:w="2160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When</w:t>
            </w:r>
          </w:p>
        </w:tc>
        <w:tc>
          <w:tcPr>
            <w:tcW w:type="dxa" w:w="3600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How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By Whom</w:t>
            </w:r>
          </w:p>
        </w:tc>
        <w:tc>
          <w:tcPr>
            <w:tcW w:type="dxa" w:w="2304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Sources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/>
                <w:sz w:val="18"/>
              </w:rPr>
              <w:t>Instructions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Rarely — only when rules change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Manual text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Alan / Claude co-editing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8"/>
              </w:rPr>
              <w:t>The rulebook itself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/>
                <w:sz w:val="18"/>
              </w:rPr>
              <w:t>Action Items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Live, every open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100% formula, pulls from every other tab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Automatic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8"/>
              </w:rPr>
              <w:t>N/A (mirror)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/>
                <w:sz w:val="18"/>
              </w:rPr>
              <w:t>Current Positions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Quarterly/annual review, or right after any trade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Manual paste from brokerage exports + aggregation; Price col live-linked to Monitor where tracked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Alan (uploads) / Claude (aggregates)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8"/>
              </w:rPr>
              <w:t>Fidelity/Chase exports, Tranche_EXECUTIONS.xlsx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/>
                <w:sz w:val="18"/>
              </w:rPr>
              <w:t>Monitor &amp; Recheck Triggers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Ongoing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Price/Insider/Analyst-Shift populated by Claude; Recheck Status auto-formula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Claude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8"/>
              </w:rPr>
              <w:t>Market data, SEC EDGAR filings, analyst reports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/>
                <w:sz w:val="18"/>
              </w:rPr>
              <w:t>Price History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Weekly (Friday close)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Claude refreshes proactively via yfinance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Claude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8"/>
              </w:rPr>
              <w:t>yfinance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/>
                <w:sz w:val="18"/>
              </w:rPr>
              <w:t>Dashboard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Live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100% formula mirror of Scoring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Automatic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8"/>
              </w:rPr>
              <w:t>N/A (mirror)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/>
                <w:sz w:val="18"/>
              </w:rPr>
              <w:t>Scoring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Event-driven (new candidate, or a recheck trigger fires)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9 of 12 indicators auto-draft; 3 are permanent human judgment (Part 12); every score needs propose+approve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Mixed — Claude drafts, Alan approves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8"/>
              </w:rPr>
              <w:t>yfinance, filings/IR, landry_scores.json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/>
                <w:sz w:val="18"/>
              </w:rPr>
              <w:t>Entry Checklist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Event-driven (evaluating a buy)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Rules 5-7 &amp; 11-12 auto-mirrored from Scoring/Implied-Return Calculator; Rules 8-9-10-13 manual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Alan / Claude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8"/>
              </w:rPr>
              <w:t>Price charts, filings/news, consensus estimates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/>
                <w:sz w:val="18"/>
              </w:rPr>
              <w:t>Market Data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Per review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Claude populates via yfinance snapshot; some manual entry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Claude / Alan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8"/>
              </w:rPr>
              <w:t>yfinance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/>
                <w:sz w:val="18"/>
              </w:rPr>
              <w:t>Returns (Calc)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Automatic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Pure formula from Price History; separate trend columns feed the return charts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Automatic — never edit directly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8"/>
              </w:rPr>
              <w:t>N/A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/>
                <w:sz w:val="18"/>
              </w:rPr>
              <w:t>Correlation Matrix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Quarterly full refresh, continuously live otherwise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Formula-driven pairwise CORREL, recalculates once Price History is current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Automatic (Claude keeps Price History fresh)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8"/>
              </w:rPr>
              <w:t>N/A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/>
                <w:sz w:val="18"/>
              </w:rPr>
              <w:t>Portfolio Drawdown Log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Daily/ongoing, at minimum every quarterly review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Date + value manual (or landry export --drawdown); regime state machine auto-formula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Alan or Claude (via CLI)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8"/>
              </w:rPr>
              <w:t>Current Positions total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/>
                <w:sz w:val="18"/>
              </w:rPr>
              <w:t>Watch List Tracker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Event-driven (an existing holding's score crosses into Probationary/Exit Review — not new candidates)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Ticker/Status/Scores/Remediation manual; 90-day deadline + Action Status auto-formula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Claude flags, Alan confirms remediation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8"/>
              </w:rPr>
              <w:t>Scoring tab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/>
                <w:sz w:val="18"/>
              </w:rPr>
              <w:t>Implied-Return Calculator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Event-driven (evaluating a buy, Rules 11-13 prep)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Base/Bear/Bull scenario inputs manual; return calc + PASS/FAIL auto-formula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Claude drafts, Alan tags “Likely”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8"/>
              </w:rPr>
              <w:t>Consensus (Yrs 1-3) + judgment (Yrs 4-5)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/>
                <w:sz w:val="18"/>
              </w:rPr>
              <w:t>Holding Monitor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Scheduled reviews only (Rules 21-30, existing holdings)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Tier 1 sub-scores + valuation metrics manual; TRIGGER/OK flags + Action Status auto-formula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Claude, per scheduled review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8"/>
              </w:rPr>
              <w:t>Re-scores + current market/position data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/>
                <w:sz w:val="18"/>
              </w:rPr>
              <w:t>Performance Tracking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Event-driven (formal Landry entries/exits only — legacy holdings and Rule-3-Avoid sells excluded by design)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Manual entry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Claude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8"/>
              </w:rPr>
              <w:t>Tranche_EXECUTIONS.xlsx, Scoring tab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/>
                <w:sz w:val="18"/>
              </w:rPr>
              <w:t>Journal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Anytime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Freeform manual, by design — a decision log, not living documentation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Alan / Claude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8"/>
              </w:rPr>
              <w:t>The decision itself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/>
                <w:sz w:val="18"/>
              </w:rPr>
              <w:t>Process Checklist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Same cadence as the events it tracks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One row per required step; Done/Date manual, Due Date + Status auto-formula, linked live to Journal's calendar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Alan / Claude execute; Status flags automatically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8"/>
              </w:rPr>
              <w:t>Journal's recurring-event calendar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/>
                <w:sz w:val="18"/>
              </w:rPr>
              <w:t>Schema 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Rarely (layout changes) — but drifts constantly in practice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Manual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Claude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8"/>
              </w:rPr>
              <w:t>N/A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1F3864"/>
        </w:rPr>
        <w:t>3. Known Open Items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Nothing below is blocking or urgent — listed so this recap doesn't imply more is finished than actually is.</w:t>
      </w:r>
    </w:p>
    <w:p>
      <w:pPr>
        <w:pStyle w:val="ListBullet"/>
        <w:spacing w:after="80"/>
      </w:pPr>
      <w:r>
        <w:rPr>
          <w:rFonts w:ascii="Calibri" w:hAnsi="Calibri"/>
          <w:b/>
        </w:rPr>
        <w:t xml:space="preserve">ETF treatment policy — </w:t>
      </w:r>
      <w:r>
        <w:rPr>
          <w:rFonts w:ascii="Calibri" w:hAnsi="Calibri"/>
        </w:rPr>
        <w:t>still genuinely undecided. The current ETF pile (AVUV/SPMO/VFLO/DVY/SCHD/VYM/MLPI/JEPQ/HELO/JEPI) is being treated as dry powder for now (a tactical decision, 9/7/26), but the formal question of how ETFs should be treated as portfolio positions is unresolved — grouped with DB development as a later item, no target date.</w:t>
      </w:r>
    </w:p>
    <w:p>
      <w:pPr>
        <w:pStyle w:val="ListBullet"/>
        <w:spacing w:after="80"/>
      </w:pPr>
      <w:r>
        <w:rPr>
          <w:rFonts w:ascii="Calibri" w:hAnsi="Calibri"/>
          <w:b/>
        </w:rPr>
        <w:t xml:space="preserve">“Wild card” allocation — </w:t>
      </w:r>
      <w:r>
        <w:rPr>
          <w:rFonts w:ascii="Calibri" w:hAnsi="Calibri"/>
        </w:rPr>
        <w:t>raised 9/11/26 for future consideration, not decided or scoped: a 5-10% portfolio allocation to a rule-disregarding (or new-rule-governed) sleeve for exceptional opportunities outside the current Landry Strategy's normal Entry Checklist / Tier 1-3 gates. Genuinely undefined at this stage — what counts as “exceptional,” how it would be sized/tracked separately, whether it needs its own sell discipline, and how it interacts with Part 5's position/sector caps and Part 7's drawdown response.</w:t>
      </w:r>
    </w:p>
    <w:p>
      <w:pPr>
        <w:pStyle w:val="ListBullet"/>
        <w:spacing w:after="80"/>
      </w:pPr>
      <w:r>
        <w:rPr>
          <w:rFonts w:ascii="Calibri" w:hAnsi="Calibri"/>
          <w:b/>
        </w:rPr>
        <w:t xml:space="preserve">Database migration — </w:t>
      </w:r>
      <w:r>
        <w:rPr>
          <w:rFonts w:ascii="Calibri" w:hAnsi="Calibri"/>
        </w:rPr>
        <w:t>Phase A (schema + migration script) shipped 8/18/26; Phases B/C (cutting the CLI/webapp over to the DB, generated-report export) were deliberately paused pending Tranche 2, which happened 9/8/26 — the pause condition is cleared, but resuming hasn't been asked for.</w:t>
      </w:r>
    </w:p>
    <w:p>
      <w:pPr>
        <w:pStyle w:val="ListBullet"/>
        <w:spacing w:after="80"/>
      </w:pPr>
      <w:r>
        <w:rPr>
          <w:rFonts w:ascii="Calibri" w:hAnsi="Calibri"/>
          <w:b/>
        </w:rPr>
        <w:t xml:space="preserve">Piotroski cross-check validity — </w:t>
      </w:r>
      <w:r>
        <w:rPr>
          <w:rFonts w:ascii="Calibri" w:hAnsi="Calibri"/>
        </w:rPr>
        <w:t>structurally live (Scoring cols AN-AS), but whether it adds real signal is still an open, agreed-but-not-run question. A 4-ticker diagnostic batch (SFM, TSLA, ONON, VRTX) was agreed as the first step, not yet executed.</w:t>
      </w:r>
    </w:p>
    <w:p>
      <w:pPr>
        <w:pStyle w:val="ListBullet"/>
        <w:spacing w:after="80"/>
      </w:pPr>
      <w:r>
        <w:rPr>
          <w:rFonts w:ascii="Calibri" w:hAnsi="Calibri"/>
          <w:b/>
        </w:rPr>
        <w:t xml:space="preserve">Implied-Return backfill — </w:t>
      </w:r>
      <w:r>
        <w:rPr>
          <w:rFonts w:ascii="Calibri" w:hAnsi="Calibri"/>
        </w:rPr>
        <w:t>16 pre-existing holdings (13 held, 3 sold) entered the portfolio before the Rules 11-13 gate existed and have never been run through it. Confirmed needed 9/8/26, queued as its own item — deliberately not bundled with the Piotroski batch — sequencing not yet set.</w:t>
      </w:r>
    </w:p>
    <w:p>
      <w:pPr>
        <w:pStyle w:val="ListBullet"/>
        <w:spacing w:after="80"/>
      </w:pPr>
      <w:r>
        <w:rPr>
          <w:rFonts w:ascii="Calibri" w:hAnsi="Calibri"/>
          <w:b/>
        </w:rPr>
        <w:t xml:space="preserve">Scoring completion queue — </w:t>
      </w:r>
      <w:r>
        <w:rPr>
          <w:rFonts w:ascii="Calibri" w:hAnsi="Calibri"/>
        </w:rPr>
        <w:t>5 candidates (LIN, NFLX, DPZ, PG, GE) cleared Tier 1 months ago but never got Tier 2/3 scoring. Agreed to complete one at a time, starting with LIN — not yet started.</w:t>
      </w:r>
    </w:p>
    <w:p>
      <w:pPr>
        <w:pStyle w:val="ListBullet"/>
        <w:spacing w:after="80"/>
      </w:pPr>
      <w:r>
        <w:rPr>
          <w:rFonts w:ascii="Calibri" w:hAnsi="Calibri"/>
          <w:b/>
        </w:rPr>
        <w:t xml:space="preserve">Action Items E25/E26 — </w:t>
      </w:r>
      <w:r>
        <w:rPr>
          <w:rFonts w:ascii="Calibri" w:hAnsi="Calibri"/>
        </w:rPr>
        <w:t>the same truncated-range bug already fixed in E28/E29 (Entry Authorization tallies) also exists in E25/E26 (Rule 2/4 candidate-flag tallies against Scoring). Flagged 9/8/26, not fixed — different tab, outside that day's scope.</w:t>
      </w:r>
    </w:p>
    <w:p>
      <w:pPr>
        <w:pStyle w:val="ListBullet"/>
        <w:spacing w:after="80"/>
      </w:pPr>
      <w:r>
        <w:rPr>
          <w:rFonts w:ascii="Calibri" w:hAnsi="Calibri"/>
          <w:b/>
        </w:rPr>
        <w:t xml:space="preserve">Holding Monitor's row cap — </w:t>
      </w:r>
      <w:r>
        <w:rPr>
          <w:rFonts w:ascii="Calibri" w:hAnsi="Calibri"/>
        </w:rPr>
        <w:t>templated for 20 tickers; Implied-Return Calculator extends to the full 45-ticker universe. Not urgent today (14 non-ETF holdings), but a real ceiling if holdings keep growing.</w:t>
      </w:r>
    </w:p>
    <w:p>
      <w:pPr>
        <w:pStyle w:val="ListBullet"/>
        <w:spacing w:after="80"/>
      </w:pPr>
      <w:r>
        <w:rPr>
          <w:rFonts w:ascii="Calibri" w:hAnsi="Calibri"/>
          <w:b/>
        </w:rPr>
        <w:t xml:space="preserve">Instructions-tab print layout — </w:t>
      </w:r>
      <w:r>
        <w:rPr>
          <w:rFonts w:ascii="Calibri" w:hAnsi="Calibri"/>
        </w:rPr>
        <w:t>Alan separately reformatted a personal _copy version to print one page wide; reconciling that into the live file (or vice versa) was recommended as something Alan do directly, to avoid cross-contamination from a _copy file. Not actioned either 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