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cs="Calibri"/>
          <w:b/>
          <w:color w:val="1F3864"/>
          <w:sz w:val="34"/>
        </w:rPr>
        <w:t>10/7/26 DCA — ENTRY PACK v2 (decisions in: VEEV only)</w:t>
      </w:r>
    </w:p>
    <w:p>
      <w:pPr>
        <w:spacing w:before="0" w:after="100"/>
      </w:pPr>
      <w:r>
        <w:rPr>
          <w:rFonts w:ascii="Calibri" w:hAnsi="Calibri" w:eastAsia="Calibri" w:cs="Calibri"/>
          <w:b w:val="0"/>
          <w:i/>
          <w:color w:val="595959"/>
          <w:sz w:val="19"/>
        </w:rPr>
        <w:t>Refreshed 10/7/26 at 8:03 AM ET, before the open, from your decisions (VEEV only, Moat 4, Rule 14 trailing, SLB's rows kept as a record) and the Fidelity 3711 history. Portfolio at the 10/6 closes ($718.5K; VEEV closed $283.50, pre-market $282.00 on thin volume at 7:41 am); prices move with the open, so use the order-day card (section 2). These are your rulebook's outputs on your data, not a recommendation; the calls are yours. Supersedes the DRAFT pack (which keeps the SLB and Moat detail).</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0368"/>
      </w:tblGrid>
      <w:tr>
        <w:trPr>
          <w:cantSplit/>
        </w:trPr>
        <w:tc>
          <w:tcPr>
            <w:tcW w:w="10368" w:type="dxa"/>
            <w:shd w:val="clear" w:color="auto" w:fill="FFF2CC"/>
          </w:tcPr>
          <w:p>
            <w:pPr>
              <w:spacing w:before="0" w:after="40" w:line="240" w:lineRule="auto"/>
            </w:pPr>
            <w:r>
              <w:rPr>
                <w:rFonts w:ascii="Calibri" w:hAnsi="Calibri" w:eastAsia="Calibri" w:cs="Calibri"/>
                <w:b/>
                <w:sz w:val="21"/>
              </w:rPr>
              <w:t>Bottom line</w:t>
            </w:r>
          </w:p>
          <w:p>
            <w:pPr>
              <w:spacing w:before="0" w:after="40" w:line="240" w:lineRule="auto"/>
            </w:pPr>
            <w:r>
              <w:rPr>
                <w:rFonts w:ascii="Calibri" w:hAnsi="Calibri" w:eastAsia="Calibri" w:cs="Calibri"/>
                <w:b w:val="0"/>
                <w:sz w:val="21"/>
              </w:rPr>
              <w:t>• VEEV 100 shares clear every entry gate I can compute. Rule 14 is ruled on the trailing basis (you, 10/6): 40.4x passes; FY26's 50.6x would have failed above $282 (section 4). No open rulings are left for the open.</w:t>
            </w:r>
          </w:p>
          <w:p>
            <w:pPr>
              <w:spacing w:before="0" w:after="40" w:line="240" w:lineRule="auto"/>
            </w:pPr>
            <w:r>
              <w:rPr>
                <w:rFonts w:ascii="Calibri" w:hAnsi="Calibri" w:eastAsia="Calibri" w:cs="Calibri"/>
                <w:b w:val="0"/>
                <w:sz w:val="21"/>
              </w:rPr>
              <w:t>• Funding is clean: Fidelity cash $24,367 + SPMO proceeds $4,606 = $28,973 covers 100 shares up to $289.73. Cash after the buy ≈ 6.8% against the 5% floor; nothing is needed from Chase.</w:t>
            </w:r>
          </w:p>
          <w:p>
            <w:pPr>
              <w:spacing w:before="0" w:after="40" w:line="240" w:lineRule="auto"/>
            </w:pPr>
            <w:r>
              <w:rPr>
                <w:rFonts w:ascii="Calibri" w:hAnsi="Calibri" w:eastAsia="Calibri" w:cs="Calibri"/>
                <w:b w:val="0"/>
                <w:sz w:val="21"/>
              </w:rPr>
              <w:t>• The size cap (Moat 4, STRONG BUY, Fed −1% = 4%) is ≈ $28.7K, so 100 shares stay inside it up to $287.40; above that, buy 99 or fewer (section 2).</w:t>
            </w:r>
          </w:p>
          <w:p>
            <w:pPr>
              <w:spacing w:before="0" w:after="40" w:line="240" w:lineRule="auto"/>
            </w:pPr>
            <w:r>
              <w:rPr>
                <w:rFonts w:ascii="Calibri" w:hAnsi="Calibri" w:eastAsia="Calibri" w:cs="Calibri"/>
                <w:b w:val="0"/>
                <w:sz w:val="21"/>
              </w:rPr>
              <w:t>• Already in the workbook (committed 10/6 except the Drawdown Log entry): Entry Checklist and Implied-Return rows (now including GE and NFLX), the corrected Rule 14 column, Journal rows 100–103, Open Items, and the 10/6 Drawdown Log entry (posted this morning). Still to do after the fill: Current Positions and Performance Tracking (section 6).</w:t>
            </w:r>
          </w:p>
        </w:tc>
      </w:tr>
    </w:tbl>
    <w:p>
      <w:pPr>
        <w:keepNext/>
        <w:spacing w:before="200" w:after="60"/>
      </w:pPr>
      <w:r>
        <w:rPr>
          <w:rFonts w:ascii="Calibri" w:hAnsi="Calibri" w:eastAsia="Calibri" w:cs="Calibri"/>
          <w:b/>
          <w:color w:val="1F3864"/>
          <w:sz w:val="24"/>
        </w:rPr>
        <w:t>1. VEEV against the entry rules</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2700"/>
        <w:gridCol w:w="900"/>
        <w:gridCol w:w="6768"/>
      </w:tblGrid>
      <w:tr>
        <w:trPr>
          <w:cantSplit/>
          <w:tblHeader/>
        </w:trPr>
        <w:tc>
          <w:tcPr>
            <w:tcW w:w="2700" w:type="dxa"/>
            <w:shd w:val="clear" w:color="auto" w:fill="E7E6E6"/>
          </w:tcPr>
          <w:p>
            <w:pPr>
              <w:keepNext/>
              <w:spacing w:before="0" w:after="0" w:line="240" w:lineRule="auto"/>
            </w:pPr>
            <w:r>
              <w:rPr>
                <w:rFonts w:ascii="Calibri" w:hAnsi="Calibri" w:eastAsia="Calibri" w:cs="Calibri"/>
                <w:b/>
                <w:color w:val="1F3864"/>
                <w:sz w:val="18"/>
              </w:rPr>
              <w:t>Gate</w:t>
            </w:r>
          </w:p>
        </w:tc>
        <w:tc>
          <w:tcPr>
            <w:tcW w:w="900" w:type="dxa"/>
            <w:shd w:val="clear" w:color="auto" w:fill="E7E6E6"/>
          </w:tcPr>
          <w:p>
            <w:pPr>
              <w:keepNext/>
              <w:spacing w:before="0" w:after="0" w:line="240" w:lineRule="auto"/>
            </w:pPr>
            <w:r>
              <w:rPr>
                <w:rFonts w:ascii="Calibri" w:hAnsi="Calibri" w:eastAsia="Calibri" w:cs="Calibri"/>
                <w:b/>
                <w:color w:val="1F3864"/>
                <w:sz w:val="18"/>
              </w:rPr>
              <w:t>Result</w:t>
            </w:r>
          </w:p>
        </w:tc>
        <w:tc>
          <w:tcPr>
            <w:tcW w:w="6768" w:type="dxa"/>
            <w:shd w:val="clear" w:color="auto" w:fill="E7E6E6"/>
          </w:tcPr>
          <w:p>
            <w:pPr>
              <w:keepNext/>
              <w:spacing w:before="0" w:after="0" w:line="240" w:lineRule="auto"/>
            </w:pPr>
            <w:r>
              <w:rPr>
                <w:rFonts w:ascii="Calibri" w:hAnsi="Calibri" w:eastAsia="Calibri" w:cs="Calibri"/>
                <w:b/>
                <w:color w:val="1F3864"/>
                <w:sz w:val="18"/>
              </w:rPr>
              <w:t>Detail</w:t>
            </w:r>
          </w:p>
        </w:tc>
      </w:tr>
      <w:tr>
        <w:trPr>
          <w:cantSplit/>
        </w:trPr>
        <w:tc>
          <w:tcPr>
            <w:tcW w:w="2700" w:type="dxa"/>
          </w:tcPr>
          <w:p>
            <w:pPr>
              <w:keepNext/>
              <w:spacing w:before="0" w:after="0" w:line="240" w:lineRule="auto"/>
            </w:pPr>
            <w:r>
              <w:rPr>
                <w:rFonts w:ascii="Calibri" w:hAnsi="Calibri" w:eastAsia="Calibri" w:cs="Calibri"/>
                <w:b/>
                <w:sz w:val="18"/>
              </w:rPr>
              <w:t>Rules 6–8 (composite, Tier 1)</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81.6 STRONG BUY (Moat 4, Visibility 5, Management 4); Tier 1 average 4.29; no Tier 1 indicator at 1.</w:t>
            </w:r>
          </w:p>
        </w:tc>
      </w:tr>
      <w:tr>
        <w:trPr>
          <w:cantSplit/>
        </w:trPr>
        <w:tc>
          <w:tcPr>
            <w:tcW w:w="2700" w:type="dxa"/>
          </w:tcPr>
          <w:p>
            <w:pPr>
              <w:keepNext/>
              <w:spacing w:before="0" w:after="0" w:line="240" w:lineRule="auto"/>
            </w:pPr>
            <w:r>
              <w:rPr>
                <w:rFonts w:ascii="Calibri" w:hAnsi="Calibri" w:eastAsia="Calibri" w:cs="Calibri"/>
                <w:b/>
                <w:sz w:val="18"/>
              </w:rPr>
              <w:t>Rule 5 (momentum floor)</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No relative-strength or technical score of 1 (3-month +44%, 6-month +59%).</w:t>
            </w:r>
          </w:p>
        </w:tc>
      </w:tr>
      <w:tr>
        <w:trPr>
          <w:cantSplit/>
        </w:trPr>
        <w:tc>
          <w:tcPr>
            <w:tcW w:w="2700" w:type="dxa"/>
          </w:tcPr>
          <w:p>
            <w:pPr>
              <w:keepNext/>
              <w:spacing w:before="0" w:after="0" w:line="240" w:lineRule="auto"/>
            </w:pPr>
            <w:r>
              <w:rPr>
                <w:rFonts w:ascii="Calibri" w:hAnsi="Calibri" w:eastAsia="Calibri" w:cs="Calibri"/>
                <w:b/>
                <w:sz w:val="18"/>
              </w:rPr>
              <w:t>Rules 9–10 (staging)</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Above its 200-week MA (reclaimed within 6 months), monthly MACD positive: standard initial size.</w:t>
            </w:r>
          </w:p>
        </w:tc>
      </w:tr>
      <w:tr>
        <w:trPr>
          <w:cantSplit/>
        </w:trPr>
        <w:tc>
          <w:tcPr>
            <w:tcW w:w="2700" w:type="dxa"/>
          </w:tcPr>
          <w:p>
            <w:pPr>
              <w:keepNext/>
              <w:spacing w:before="0" w:after="0" w:line="240" w:lineRule="auto"/>
            </w:pPr>
            <w:r>
              <w:rPr>
                <w:rFonts w:ascii="Calibri" w:hAnsi="Calibri" w:eastAsia="Calibri" w:cs="Calibri"/>
                <w:b/>
                <w:sz w:val="18"/>
              </w:rPr>
              <w:t>Rule 11 (binary events)</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Next earnings 11/18, unconfirmed (Yahoo 11/25): six weeks out.</w:t>
            </w:r>
          </w:p>
        </w:tc>
      </w:tr>
      <w:tr>
        <w:trPr>
          <w:cantSplit/>
        </w:trPr>
        <w:tc>
          <w:tcPr>
            <w:tcW w:w="2700" w:type="dxa"/>
          </w:tcPr>
          <w:p>
            <w:pPr>
              <w:keepNext/>
              <w:spacing w:before="0" w:after="0" w:line="240" w:lineRule="auto"/>
            </w:pPr>
            <w:r>
              <w:rPr>
                <w:rFonts w:ascii="Calibri" w:hAnsi="Calibri" w:eastAsia="Calibri" w:cs="Calibri"/>
                <w:b/>
                <w:sz w:val="18"/>
              </w:rPr>
              <w:t>Rules 12–13 (implied return)</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Base +12.5%, Bear +1.9%, Bull +18.7%; tags Likely / Possible / Possible. Bear stays ≥ 0% down to a 29.9x terminal.</w:t>
            </w:r>
          </w:p>
        </w:tc>
      </w:tr>
      <w:tr>
        <w:trPr>
          <w:cantSplit/>
        </w:trPr>
        <w:tc>
          <w:tcPr>
            <w:tcW w:w="2700" w:type="dxa"/>
          </w:tcPr>
          <w:p>
            <w:pPr>
              <w:keepNext/>
              <w:spacing w:before="0" w:after="0" w:line="240" w:lineRule="auto"/>
            </w:pPr>
            <w:r>
              <w:rPr>
                <w:rFonts w:ascii="Calibri" w:hAnsi="Calibri" w:eastAsia="Calibri" w:cs="Calibri"/>
                <w:b/>
                <w:sz w:val="18"/>
              </w:rPr>
              <w:t>Rule 14 (50x ceiling)</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Ruled on the trailing basis (you, 10/6): 40.4x. FY26's 50.6x is not used (section 4).</w:t>
            </w:r>
          </w:p>
        </w:tc>
      </w:tr>
      <w:tr>
        <w:trPr>
          <w:cantSplit/>
        </w:trPr>
        <w:tc>
          <w:tcPr>
            <w:tcW w:w="2700" w:type="dxa"/>
          </w:tcPr>
          <w:p>
            <w:pPr>
              <w:keepNext/>
              <w:spacing w:before="0" w:after="0" w:line="240" w:lineRule="auto"/>
            </w:pPr>
            <w:r>
              <w:rPr>
                <w:rFonts w:ascii="Calibri" w:hAnsi="Calibri" w:eastAsia="Calibri" w:cs="Calibri"/>
                <w:b/>
                <w:sz w:val="18"/>
              </w:rPr>
              <w:t>Rule 15 (position cap, 8% at cost)</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100 shares ≈ $28.4K = 3.9% of the portfolio.</w:t>
            </w:r>
          </w:p>
        </w:tc>
      </w:tr>
      <w:tr>
        <w:trPr>
          <w:cantSplit/>
        </w:trPr>
        <w:tc>
          <w:tcPr>
            <w:tcW w:w="2700" w:type="dxa"/>
          </w:tcPr>
          <w:p>
            <w:pPr>
              <w:keepNext/>
              <w:spacing w:before="0" w:after="0" w:line="240" w:lineRule="auto"/>
            </w:pPr>
            <w:r>
              <w:rPr>
                <w:rFonts w:ascii="Calibri" w:hAnsi="Calibri" w:eastAsia="Calibri" w:cs="Calibri"/>
                <w:b/>
                <w:sz w:val="18"/>
              </w:rPr>
              <w:t>Rule 16 (sector cap 25%)</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Healthcare 4.5% → 8.5%. (Technology is 27.6% at market, over the cap by drift: it blocks Technology adds, not this.)</w:t>
            </w:r>
          </w:p>
        </w:tc>
      </w:tr>
      <w:tr>
        <w:trPr>
          <w:cantSplit/>
        </w:trPr>
        <w:tc>
          <w:tcPr>
            <w:tcW w:w="2700" w:type="dxa"/>
          </w:tcPr>
          <w:p>
            <w:pPr>
              <w:keepNext/>
              <w:spacing w:before="0" w:after="0" w:line="240" w:lineRule="auto"/>
            </w:pPr>
            <w:r>
              <w:rPr>
                <w:rFonts w:ascii="Calibri" w:hAnsi="Calibri" w:eastAsia="Calibri" w:cs="Calibri"/>
                <w:b/>
                <w:sz w:val="18"/>
              </w:rPr>
              <w:t>Rule 18 (cash 5–15%)</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10.75% now → 6.80% after the buy (floor $35.9K).</w:t>
            </w:r>
          </w:p>
        </w:tc>
      </w:tr>
      <w:tr>
        <w:trPr>
          <w:cantSplit/>
        </w:trPr>
        <w:tc>
          <w:tcPr>
            <w:tcW w:w="2700" w:type="dxa"/>
          </w:tcPr>
          <w:p>
            <w:pPr>
              <w:keepNext/>
              <w:spacing w:before="0" w:after="0" w:line="240" w:lineRule="auto"/>
            </w:pPr>
            <w:r>
              <w:rPr>
                <w:rFonts w:ascii="Calibri" w:hAnsi="Calibri" w:eastAsia="Calibri" w:cs="Calibri"/>
                <w:b/>
                <w:sz w:val="18"/>
              </w:rPr>
              <w:t>Rule 38 (correlation ≤ 0.70)</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Highest 0.51 (ADBE), on the 10/5 matrix.</w:t>
            </w:r>
          </w:p>
        </w:tc>
      </w:tr>
      <w:tr>
        <w:trPr>
          <w:cantSplit/>
        </w:trPr>
        <w:tc>
          <w:tcPr>
            <w:tcW w:w="2700" w:type="dxa"/>
          </w:tcPr>
          <w:p>
            <w:pPr>
              <w:keepNext/>
              <w:spacing w:before="0" w:after="0" w:line="240" w:lineRule="auto"/>
            </w:pPr>
            <w:r>
              <w:rPr>
                <w:rFonts w:ascii="Calibri" w:hAnsi="Calibri" w:eastAsia="Calibri" w:cs="Calibri"/>
                <w:b/>
                <w:sz w:val="18"/>
              </w:rPr>
              <w:t>Sizing</w:t>
            </w:r>
          </w:p>
        </w:tc>
        <w:tc>
          <w:tcPr>
            <w:tcW w:w="900" w:type="dxa"/>
          </w:tcPr>
          <w:p>
            <w:pPr>
              <w:keepNext/>
              <w:spacing w:before="0" w:after="0" w:line="240" w:lineRule="auto"/>
            </w:pPr>
            <w:r>
              <w:rPr>
                <w:rFonts w:ascii="Calibri" w:hAnsi="Calibri" w:eastAsia="Calibri" w:cs="Calibri"/>
                <w:b w:val="0"/>
                <w:sz w:val="18"/>
              </w:rPr>
              <w:t>4% cap</w:t>
            </w:r>
          </w:p>
        </w:tc>
        <w:tc>
          <w:tcPr>
            <w:tcW w:w="6768" w:type="dxa"/>
          </w:tcPr>
          <w:p>
            <w:pPr>
              <w:keepNext/>
              <w:spacing w:before="0" w:after="0" w:line="240" w:lineRule="auto"/>
            </w:pPr>
            <w:r>
              <w:rPr>
                <w:rFonts w:ascii="Calibri" w:hAnsi="Calibri" w:eastAsia="Calibri" w:cs="Calibri"/>
                <w:b w:val="0"/>
                <w:sz w:val="18"/>
              </w:rPr>
              <w:t>Initial 5% less 1% for the Fed-tightening overlay (P/FCF above 40x) = 4% ≈ $28,740. (The overlay switches off below ≈ $282.7, where P/FCF is 40.0x.)</w:t>
            </w:r>
          </w:p>
        </w:tc>
      </w:tr>
      <w:tr>
        <w:trPr>
          <w:cantSplit/>
        </w:trPr>
        <w:tc>
          <w:tcPr>
            <w:tcW w:w="2700" w:type="dxa"/>
          </w:tcPr>
          <w:p>
            <w:pPr>
              <w:keepNext/>
              <w:spacing w:before="0" w:after="0" w:line="240" w:lineRule="auto"/>
            </w:pPr>
            <w:r>
              <w:rPr>
                <w:rFonts w:ascii="Calibri" w:hAnsi="Calibri" w:eastAsia="Calibri" w:cs="Calibri"/>
                <w:b/>
                <w:sz w:val="18"/>
              </w:rPr>
              <w:t>Part 7 and the tranche rule</w:t>
            </w:r>
          </w:p>
        </w:tc>
        <w:tc>
          <w:tcPr>
            <w:tcW w:w="900" w:type="dxa"/>
          </w:tcPr>
          <w:p>
            <w:pPr>
              <w:keepNext/>
              <w:spacing w:before="0" w:after="0" w:line="240" w:lineRule="auto"/>
            </w:pPr>
            <w:r>
              <w:rPr>
                <w:rFonts w:ascii="Calibri" w:hAnsi="Calibri" w:eastAsia="Calibri" w:cs="Calibri"/>
                <w:b w:val="0"/>
                <w:sz w:val="18"/>
              </w:rPr>
              <w:t>PASS</w:t>
            </w:r>
          </w:p>
        </w:tc>
        <w:tc>
          <w:tcPr>
            <w:tcW w:w="6768" w:type="dxa"/>
          </w:tcPr>
          <w:p>
            <w:pPr>
              <w:keepNext/>
              <w:spacing w:before="0" w:after="0" w:line="240" w:lineRule="auto"/>
            </w:pPr>
            <w:r>
              <w:rPr>
                <w:rFonts w:ascii="Calibri" w:hAnsi="Calibri" w:eastAsia="Calibri" w:cs="Calibri"/>
                <w:b w:val="0"/>
                <w:sz w:val="18"/>
              </w:rPr>
              <w:t>Drawdown regime Normal: the 10/6 entry (flow-adjusted $753.5K, Drawdown Log row 6) is a new running peak. S&amp;P 500 closed 10/6 at a record 7,818.93 (prior record close 7,798.99): baseline tranche, no multiplier. Fed-tightening overlay still active; curve not inverted; HY under 600.</w:t>
            </w:r>
          </w:p>
        </w:tc>
      </w:tr>
      <w:tr>
        <w:trPr>
          <w:cantSplit/>
        </w:trPr>
        <w:tc>
          <w:tcPr>
            <w:tcW w:w="2700" w:type="dxa"/>
          </w:tcPr>
          <w:p>
            <w:pPr>
              <w:spacing w:before="0" w:after="0" w:line="240" w:lineRule="auto"/>
            </w:pPr>
            <w:r>
              <w:rPr>
                <w:rFonts w:ascii="Calibri" w:hAnsi="Calibri" w:eastAsia="Calibri" w:cs="Calibri"/>
                <w:b/>
                <w:sz w:val="18"/>
              </w:rPr>
              <w:t>Insiders / analysts</w:t>
            </w:r>
          </w:p>
        </w:tc>
        <w:tc>
          <w:tcPr>
            <w:tcW w:w="900" w:type="dxa"/>
          </w:tcPr>
          <w:p>
            <w:pPr>
              <w:spacing w:before="0" w:after="0" w:line="240" w:lineRule="auto"/>
            </w:pPr>
            <w:r>
              <w:rPr>
                <w:rFonts w:ascii="Calibri" w:hAnsi="Calibri" w:eastAsia="Calibri" w:cs="Calibri"/>
                <w:b w:val="0"/>
                <w:sz w:val="18"/>
              </w:rPr>
              <w:t>note</w:t>
            </w:r>
          </w:p>
        </w:tc>
        <w:tc>
          <w:tcPr>
            <w:tcW w:w="6768" w:type="dxa"/>
          </w:tcPr>
          <w:p>
            <w:pPr>
              <w:spacing w:before="0" w:after="0" w:line="240" w:lineRule="auto"/>
            </w:pPr>
            <w:r>
              <w:rPr>
                <w:rFonts w:ascii="Calibri" w:hAnsi="Calibri" w:eastAsia="Calibri" w:cs="Calibri"/>
                <w:b w:val="0"/>
                <w:sz w:val="18"/>
              </w:rPr>
              <w:t>No open-market purchases (no sizing bonus). New since 10/5: EVP Sales Daniel Rizzo sold 4,841 sh ($1.34M, 36% of his holding, not under a 10b5-1 plan); a Form 144 filed 10/5 for Thomas Schwenger, listed as a Former Officer (President and Chief Customer Officer until recently), proposes selling 132,751 sh (about $37.1M, option exercise and sale). I found no company announcement of a departure. No hard rule turns on insider sales; Management scored 4 with 'some senior departures' as a minor concern (at Management 3 the composite would sit right on the 80.0 STRONG BUY line). Fidelity score Bullish 8.0; pre-market news is routine product items.</w:t>
            </w:r>
          </w:p>
        </w:tc>
      </w:tr>
    </w:tbl>
    <w:p>
      <w:pPr>
        <w:keepNext/>
        <w:spacing w:before="200" w:after="60"/>
      </w:pPr>
      <w:r>
        <w:rPr>
          <w:rFonts w:ascii="Calibri" w:hAnsi="Calibri" w:eastAsia="Calibri" w:cs="Calibri"/>
          <w:b/>
          <w:color w:val="1F3864"/>
          <w:sz w:val="24"/>
        </w:rPr>
        <w:t>2. Order-day card: 100 shares at the price you actually get</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900"/>
        <w:gridCol w:w="1400"/>
        <w:gridCol w:w="1500"/>
        <w:gridCol w:w="1900"/>
        <w:gridCol w:w="1900"/>
        <w:gridCol w:w="1768"/>
      </w:tblGrid>
      <w:tr>
        <w:trPr>
          <w:cantSplit/>
          <w:tblHeader/>
        </w:trPr>
        <w:tc>
          <w:tcPr>
            <w:tcW w:w="1900" w:type="dxa"/>
            <w:shd w:val="clear" w:color="auto" w:fill="E7E6E6"/>
          </w:tcPr>
          <w:p>
            <w:pPr>
              <w:keepNext/>
              <w:spacing w:before="0" w:after="0" w:line="240" w:lineRule="auto"/>
            </w:pPr>
            <w:r>
              <w:rPr>
                <w:rFonts w:ascii="Calibri" w:hAnsi="Calibri" w:eastAsia="Calibri" w:cs="Calibri"/>
                <w:b/>
                <w:color w:val="1F3864"/>
                <w:sz w:val="18"/>
              </w:rPr>
              <w:t>VEEV price</w:t>
            </w:r>
          </w:p>
        </w:tc>
        <w:tc>
          <w:tcPr>
            <w:tcW w:w="1400" w:type="dxa"/>
            <w:shd w:val="clear" w:color="auto" w:fill="E7E6E6"/>
          </w:tcPr>
          <w:p>
            <w:pPr>
              <w:keepNext/>
              <w:spacing w:before="0" w:after="0" w:line="240" w:lineRule="auto"/>
            </w:pPr>
            <w:r>
              <w:rPr>
                <w:rFonts w:ascii="Calibri" w:hAnsi="Calibri" w:eastAsia="Calibri" w:cs="Calibri"/>
                <w:b/>
                <w:color w:val="1F3864"/>
                <w:sz w:val="18"/>
              </w:rPr>
              <w:t>100 sh cost</w:t>
            </w:r>
          </w:p>
        </w:tc>
        <w:tc>
          <w:tcPr>
            <w:tcW w:w="1500" w:type="dxa"/>
            <w:shd w:val="clear" w:color="auto" w:fill="E7E6E6"/>
          </w:tcPr>
          <w:p>
            <w:pPr>
              <w:keepNext/>
              <w:spacing w:before="0" w:after="0" w:line="240" w:lineRule="auto"/>
            </w:pPr>
            <w:r>
              <w:rPr>
                <w:rFonts w:ascii="Calibri" w:hAnsi="Calibri" w:eastAsia="Calibri" w:cs="Calibri"/>
                <w:b/>
                <w:color w:val="1F3864"/>
                <w:sz w:val="18"/>
              </w:rPr>
              <w:t>% of portfolio</w:t>
            </w:r>
          </w:p>
        </w:tc>
        <w:tc>
          <w:tcPr>
            <w:tcW w:w="1900" w:type="dxa"/>
            <w:shd w:val="clear" w:color="auto" w:fill="E7E6E6"/>
          </w:tcPr>
          <w:p>
            <w:pPr>
              <w:keepNext/>
              <w:spacing w:before="0" w:after="0" w:line="240" w:lineRule="auto"/>
            </w:pPr>
            <w:r>
              <w:rPr>
                <w:rFonts w:ascii="Calibri" w:hAnsi="Calibri" w:eastAsia="Calibri" w:cs="Calibri"/>
                <w:b/>
                <w:color w:val="1F3864"/>
                <w:sz w:val="18"/>
              </w:rPr>
              <w:t>Inside the 4% cap?</w:t>
            </w:r>
          </w:p>
        </w:tc>
        <w:tc>
          <w:tcPr>
            <w:tcW w:w="1900" w:type="dxa"/>
            <w:shd w:val="clear" w:color="auto" w:fill="E7E6E6"/>
          </w:tcPr>
          <w:p>
            <w:pPr>
              <w:keepNext/>
              <w:spacing w:before="0" w:after="0" w:line="240" w:lineRule="auto"/>
            </w:pPr>
            <w:r>
              <w:rPr>
                <w:rFonts w:ascii="Calibri" w:hAnsi="Calibri" w:eastAsia="Calibri" w:cs="Calibri"/>
                <w:b/>
                <w:color w:val="1F3864"/>
                <w:sz w:val="18"/>
              </w:rPr>
              <w:t>Fidelity cash covers?</w:t>
            </w:r>
          </w:p>
        </w:tc>
        <w:tc>
          <w:tcPr>
            <w:tcW w:w="1768" w:type="dxa"/>
            <w:shd w:val="clear" w:color="auto" w:fill="E7E6E6"/>
          </w:tcPr>
          <w:p>
            <w:pPr>
              <w:keepNext/>
              <w:spacing w:before="0" w:after="0" w:line="240" w:lineRule="auto"/>
            </w:pPr>
            <w:r>
              <w:rPr>
                <w:rFonts w:ascii="Calibri" w:hAnsi="Calibri" w:eastAsia="Calibri" w:cs="Calibri"/>
                <w:b/>
                <w:color w:val="1F3864"/>
                <w:sz w:val="18"/>
              </w:rPr>
              <w:t>Total cash after</w:t>
            </w:r>
          </w:p>
        </w:tc>
      </w:tr>
      <w:tr>
        <w:trPr>
          <w:cantSplit/>
        </w:trPr>
        <w:tc>
          <w:tcPr>
            <w:tcW w:w="1900" w:type="dxa"/>
          </w:tcPr>
          <w:p>
            <w:pPr>
              <w:keepNext/>
              <w:spacing w:before="0" w:after="0" w:line="240" w:lineRule="auto"/>
            </w:pPr>
            <w:r>
              <w:rPr>
                <w:rFonts w:ascii="Calibri" w:hAnsi="Calibri" w:eastAsia="Calibri" w:cs="Calibri"/>
                <w:b/>
                <w:sz w:val="18"/>
              </w:rPr>
              <w:t>$280.00</w:t>
            </w:r>
          </w:p>
        </w:tc>
        <w:tc>
          <w:tcPr>
            <w:tcW w:w="1400" w:type="dxa"/>
          </w:tcPr>
          <w:p>
            <w:pPr>
              <w:keepNext/>
              <w:spacing w:before="0" w:after="0" w:line="240" w:lineRule="auto"/>
            </w:pPr>
            <w:r>
              <w:rPr>
                <w:rFonts w:ascii="Calibri" w:hAnsi="Calibri" w:eastAsia="Calibri" w:cs="Calibri"/>
                <w:b w:val="0"/>
                <w:sz w:val="18"/>
              </w:rPr>
              <w:t>$28,000</w:t>
            </w:r>
          </w:p>
        </w:tc>
        <w:tc>
          <w:tcPr>
            <w:tcW w:w="1500" w:type="dxa"/>
          </w:tcPr>
          <w:p>
            <w:pPr>
              <w:keepNext/>
              <w:spacing w:before="0" w:after="0" w:line="240" w:lineRule="auto"/>
            </w:pPr>
            <w:r>
              <w:rPr>
                <w:rFonts w:ascii="Calibri" w:hAnsi="Calibri" w:eastAsia="Calibri" w:cs="Calibri"/>
                <w:b w:val="0"/>
                <w:sz w:val="18"/>
              </w:rPr>
              <w:t>3.90%</w:t>
            </w:r>
          </w:p>
        </w:tc>
        <w:tc>
          <w:tcPr>
            <w:tcW w:w="1900" w:type="dxa"/>
          </w:tcPr>
          <w:p>
            <w:pPr>
              <w:keepNext/>
              <w:spacing w:before="0" w:after="0" w:line="240" w:lineRule="auto"/>
            </w:pPr>
            <w:r>
              <w:rPr>
                <w:rFonts w:ascii="Calibri" w:hAnsi="Calibri" w:eastAsia="Calibri" w:cs="Calibri"/>
                <w:b w:val="0"/>
                <w:sz w:val="18"/>
              </w:rPr>
              <w:t>yes</w:t>
            </w:r>
          </w:p>
        </w:tc>
        <w:tc>
          <w:tcPr>
            <w:tcW w:w="1900" w:type="dxa"/>
          </w:tcPr>
          <w:p>
            <w:pPr>
              <w:keepNext/>
              <w:spacing w:before="0" w:after="0" w:line="240" w:lineRule="auto"/>
            </w:pPr>
            <w:r>
              <w:rPr>
                <w:rFonts w:ascii="Calibri" w:hAnsi="Calibri" w:eastAsia="Calibri" w:cs="Calibri"/>
                <w:b w:val="0"/>
                <w:sz w:val="18"/>
              </w:rPr>
              <w:t>yes</w:t>
            </w:r>
          </w:p>
        </w:tc>
        <w:tc>
          <w:tcPr>
            <w:tcW w:w="1768" w:type="dxa"/>
          </w:tcPr>
          <w:p>
            <w:pPr>
              <w:keepNext/>
              <w:spacing w:before="0" w:after="0" w:line="240" w:lineRule="auto"/>
            </w:pPr>
            <w:r>
              <w:rPr>
                <w:rFonts w:ascii="Calibri" w:hAnsi="Calibri" w:eastAsia="Calibri" w:cs="Calibri"/>
                <w:b w:val="0"/>
                <w:sz w:val="18"/>
              </w:rPr>
              <w:t>6.85%</w:t>
            </w:r>
          </w:p>
        </w:tc>
      </w:tr>
      <w:tr>
        <w:trPr>
          <w:cantSplit/>
        </w:trPr>
        <w:tc>
          <w:tcPr>
            <w:tcW w:w="1900" w:type="dxa"/>
          </w:tcPr>
          <w:p>
            <w:pPr>
              <w:keepNext/>
              <w:spacing w:before="0" w:after="0" w:line="240" w:lineRule="auto"/>
            </w:pPr>
            <w:r>
              <w:rPr>
                <w:rFonts w:ascii="Calibri" w:hAnsi="Calibri" w:eastAsia="Calibri" w:cs="Calibri"/>
                <w:b/>
                <w:sz w:val="18"/>
              </w:rPr>
              <w:t>$282.67 (Fed overlay line)</w:t>
            </w:r>
          </w:p>
        </w:tc>
        <w:tc>
          <w:tcPr>
            <w:tcW w:w="1400" w:type="dxa"/>
          </w:tcPr>
          <w:p>
            <w:pPr>
              <w:keepNext/>
              <w:spacing w:before="0" w:after="0" w:line="240" w:lineRule="auto"/>
            </w:pPr>
            <w:r>
              <w:rPr>
                <w:rFonts w:ascii="Calibri" w:hAnsi="Calibri" w:eastAsia="Calibri" w:cs="Calibri"/>
                <w:b w:val="0"/>
                <w:sz w:val="18"/>
              </w:rPr>
              <w:t>$28,267</w:t>
            </w:r>
          </w:p>
        </w:tc>
        <w:tc>
          <w:tcPr>
            <w:tcW w:w="1500" w:type="dxa"/>
          </w:tcPr>
          <w:p>
            <w:pPr>
              <w:keepNext/>
              <w:spacing w:before="0" w:after="0" w:line="240" w:lineRule="auto"/>
            </w:pPr>
            <w:r>
              <w:rPr>
                <w:rFonts w:ascii="Calibri" w:hAnsi="Calibri" w:eastAsia="Calibri" w:cs="Calibri"/>
                <w:b w:val="0"/>
                <w:sz w:val="18"/>
              </w:rPr>
              <w:t>3.93%</w:t>
            </w:r>
          </w:p>
        </w:tc>
        <w:tc>
          <w:tcPr>
            <w:tcW w:w="1900" w:type="dxa"/>
          </w:tcPr>
          <w:p>
            <w:pPr>
              <w:keepNext/>
              <w:spacing w:before="0" w:after="0" w:line="240" w:lineRule="auto"/>
            </w:pPr>
            <w:r>
              <w:rPr>
                <w:rFonts w:ascii="Calibri" w:hAnsi="Calibri" w:eastAsia="Calibri" w:cs="Calibri"/>
                <w:b w:val="0"/>
                <w:sz w:val="18"/>
              </w:rPr>
              <w:t>yes</w:t>
            </w:r>
          </w:p>
        </w:tc>
        <w:tc>
          <w:tcPr>
            <w:tcW w:w="1900" w:type="dxa"/>
          </w:tcPr>
          <w:p>
            <w:pPr>
              <w:keepNext/>
              <w:spacing w:before="0" w:after="0" w:line="240" w:lineRule="auto"/>
            </w:pPr>
            <w:r>
              <w:rPr>
                <w:rFonts w:ascii="Calibri" w:hAnsi="Calibri" w:eastAsia="Calibri" w:cs="Calibri"/>
                <w:b w:val="0"/>
                <w:sz w:val="18"/>
              </w:rPr>
              <w:t>yes</w:t>
            </w:r>
          </w:p>
        </w:tc>
        <w:tc>
          <w:tcPr>
            <w:tcW w:w="1768" w:type="dxa"/>
          </w:tcPr>
          <w:p>
            <w:pPr>
              <w:keepNext/>
              <w:spacing w:before="0" w:after="0" w:line="240" w:lineRule="auto"/>
            </w:pPr>
            <w:r>
              <w:rPr>
                <w:rFonts w:ascii="Calibri" w:hAnsi="Calibri" w:eastAsia="Calibri" w:cs="Calibri"/>
                <w:b w:val="0"/>
                <w:sz w:val="18"/>
              </w:rPr>
              <w:t>6.82%</w:t>
            </w:r>
          </w:p>
        </w:tc>
      </w:tr>
      <w:tr>
        <w:trPr>
          <w:cantSplit/>
        </w:trPr>
        <w:tc>
          <w:tcPr>
            <w:tcW w:w="1900" w:type="dxa"/>
          </w:tcPr>
          <w:p>
            <w:pPr>
              <w:keepNext/>
              <w:spacing w:before="0" w:after="0" w:line="240" w:lineRule="auto"/>
            </w:pPr>
            <w:r>
              <w:rPr>
                <w:rFonts w:ascii="Calibri" w:hAnsi="Calibri" w:eastAsia="Calibri" w:cs="Calibri"/>
                <w:b/>
                <w:sz w:val="18"/>
              </w:rPr>
              <w:t>$283.50 (now)</w:t>
            </w:r>
          </w:p>
        </w:tc>
        <w:tc>
          <w:tcPr>
            <w:tcW w:w="1400" w:type="dxa"/>
          </w:tcPr>
          <w:p>
            <w:pPr>
              <w:keepNext/>
              <w:spacing w:before="0" w:after="0" w:line="240" w:lineRule="auto"/>
            </w:pPr>
            <w:r>
              <w:rPr>
                <w:rFonts w:ascii="Calibri" w:hAnsi="Calibri" w:eastAsia="Calibri" w:cs="Calibri"/>
                <w:b w:val="0"/>
                <w:sz w:val="18"/>
              </w:rPr>
              <w:t>$28,350</w:t>
            </w:r>
          </w:p>
        </w:tc>
        <w:tc>
          <w:tcPr>
            <w:tcW w:w="1500" w:type="dxa"/>
          </w:tcPr>
          <w:p>
            <w:pPr>
              <w:keepNext/>
              <w:spacing w:before="0" w:after="0" w:line="240" w:lineRule="auto"/>
            </w:pPr>
            <w:r>
              <w:rPr>
                <w:rFonts w:ascii="Calibri" w:hAnsi="Calibri" w:eastAsia="Calibri" w:cs="Calibri"/>
                <w:b w:val="0"/>
                <w:sz w:val="18"/>
              </w:rPr>
              <w:t>3.95%</w:t>
            </w:r>
          </w:p>
        </w:tc>
        <w:tc>
          <w:tcPr>
            <w:tcW w:w="1900" w:type="dxa"/>
          </w:tcPr>
          <w:p>
            <w:pPr>
              <w:keepNext/>
              <w:spacing w:before="0" w:after="0" w:line="240" w:lineRule="auto"/>
            </w:pPr>
            <w:r>
              <w:rPr>
                <w:rFonts w:ascii="Calibri" w:hAnsi="Calibri" w:eastAsia="Calibri" w:cs="Calibri"/>
                <w:b w:val="0"/>
                <w:sz w:val="18"/>
              </w:rPr>
              <w:t>yes</w:t>
            </w:r>
          </w:p>
        </w:tc>
        <w:tc>
          <w:tcPr>
            <w:tcW w:w="1900" w:type="dxa"/>
          </w:tcPr>
          <w:p>
            <w:pPr>
              <w:keepNext/>
              <w:spacing w:before="0" w:after="0" w:line="240" w:lineRule="auto"/>
            </w:pPr>
            <w:r>
              <w:rPr>
                <w:rFonts w:ascii="Calibri" w:hAnsi="Calibri" w:eastAsia="Calibri" w:cs="Calibri"/>
                <w:b w:val="0"/>
                <w:sz w:val="18"/>
              </w:rPr>
              <w:t>yes</w:t>
            </w:r>
          </w:p>
        </w:tc>
        <w:tc>
          <w:tcPr>
            <w:tcW w:w="1768" w:type="dxa"/>
          </w:tcPr>
          <w:p>
            <w:pPr>
              <w:keepNext/>
              <w:spacing w:before="0" w:after="0" w:line="240" w:lineRule="auto"/>
            </w:pPr>
            <w:r>
              <w:rPr>
                <w:rFonts w:ascii="Calibri" w:hAnsi="Calibri" w:eastAsia="Calibri" w:cs="Calibri"/>
                <w:b w:val="0"/>
                <w:sz w:val="18"/>
              </w:rPr>
              <w:t>6.80%</w:t>
            </w:r>
          </w:p>
        </w:tc>
      </w:tr>
      <w:tr>
        <w:trPr>
          <w:cantSplit/>
        </w:trPr>
        <w:tc>
          <w:tcPr>
            <w:tcW w:w="1900" w:type="dxa"/>
          </w:tcPr>
          <w:p>
            <w:pPr>
              <w:keepNext/>
              <w:spacing w:before="0" w:after="0" w:line="240" w:lineRule="auto"/>
            </w:pPr>
            <w:r>
              <w:rPr>
                <w:rFonts w:ascii="Calibri" w:hAnsi="Calibri" w:eastAsia="Calibri" w:cs="Calibri"/>
                <w:b/>
                <w:sz w:val="18"/>
              </w:rPr>
              <w:t>$286.00</w:t>
            </w:r>
          </w:p>
        </w:tc>
        <w:tc>
          <w:tcPr>
            <w:tcW w:w="1400" w:type="dxa"/>
          </w:tcPr>
          <w:p>
            <w:pPr>
              <w:keepNext/>
              <w:spacing w:before="0" w:after="0" w:line="240" w:lineRule="auto"/>
            </w:pPr>
            <w:r>
              <w:rPr>
                <w:rFonts w:ascii="Calibri" w:hAnsi="Calibri" w:eastAsia="Calibri" w:cs="Calibri"/>
                <w:b w:val="0"/>
                <w:sz w:val="18"/>
              </w:rPr>
              <w:t>$28,600</w:t>
            </w:r>
          </w:p>
        </w:tc>
        <w:tc>
          <w:tcPr>
            <w:tcW w:w="1500" w:type="dxa"/>
          </w:tcPr>
          <w:p>
            <w:pPr>
              <w:keepNext/>
              <w:spacing w:before="0" w:after="0" w:line="240" w:lineRule="auto"/>
            </w:pPr>
            <w:r>
              <w:rPr>
                <w:rFonts w:ascii="Calibri" w:hAnsi="Calibri" w:eastAsia="Calibri" w:cs="Calibri"/>
                <w:b w:val="0"/>
                <w:sz w:val="18"/>
              </w:rPr>
              <w:t>3.98%</w:t>
            </w:r>
          </w:p>
        </w:tc>
        <w:tc>
          <w:tcPr>
            <w:tcW w:w="1900" w:type="dxa"/>
          </w:tcPr>
          <w:p>
            <w:pPr>
              <w:keepNext/>
              <w:spacing w:before="0" w:after="0" w:line="240" w:lineRule="auto"/>
            </w:pPr>
            <w:r>
              <w:rPr>
                <w:rFonts w:ascii="Calibri" w:hAnsi="Calibri" w:eastAsia="Calibri" w:cs="Calibri"/>
                <w:b w:val="0"/>
                <w:sz w:val="18"/>
              </w:rPr>
              <w:t>yes</w:t>
            </w:r>
          </w:p>
        </w:tc>
        <w:tc>
          <w:tcPr>
            <w:tcW w:w="1900" w:type="dxa"/>
          </w:tcPr>
          <w:p>
            <w:pPr>
              <w:keepNext/>
              <w:spacing w:before="0" w:after="0" w:line="240" w:lineRule="auto"/>
            </w:pPr>
            <w:r>
              <w:rPr>
                <w:rFonts w:ascii="Calibri" w:hAnsi="Calibri" w:eastAsia="Calibri" w:cs="Calibri"/>
                <w:b w:val="0"/>
                <w:sz w:val="18"/>
              </w:rPr>
              <w:t>yes</w:t>
            </w:r>
          </w:p>
        </w:tc>
        <w:tc>
          <w:tcPr>
            <w:tcW w:w="1768" w:type="dxa"/>
          </w:tcPr>
          <w:p>
            <w:pPr>
              <w:keepNext/>
              <w:spacing w:before="0" w:after="0" w:line="240" w:lineRule="auto"/>
            </w:pPr>
            <w:r>
              <w:rPr>
                <w:rFonts w:ascii="Calibri" w:hAnsi="Calibri" w:eastAsia="Calibri" w:cs="Calibri"/>
                <w:b w:val="0"/>
                <w:sz w:val="18"/>
              </w:rPr>
              <w:t>6.77%</w:t>
            </w:r>
          </w:p>
        </w:tc>
      </w:tr>
      <w:tr>
        <w:trPr>
          <w:cantSplit/>
        </w:trPr>
        <w:tc>
          <w:tcPr>
            <w:tcW w:w="1900" w:type="dxa"/>
          </w:tcPr>
          <w:p>
            <w:pPr>
              <w:keepNext/>
              <w:spacing w:before="0" w:after="0" w:line="240" w:lineRule="auto"/>
            </w:pPr>
            <w:r>
              <w:rPr>
                <w:rFonts w:ascii="Calibri" w:hAnsi="Calibri" w:eastAsia="Calibri" w:cs="Calibri"/>
                <w:b/>
                <w:sz w:val="18"/>
              </w:rPr>
              <w:t>$287.40 (4% cap)</w:t>
            </w:r>
          </w:p>
        </w:tc>
        <w:tc>
          <w:tcPr>
            <w:tcW w:w="1400" w:type="dxa"/>
          </w:tcPr>
          <w:p>
            <w:pPr>
              <w:keepNext/>
              <w:spacing w:before="0" w:after="0" w:line="240" w:lineRule="auto"/>
            </w:pPr>
            <w:r>
              <w:rPr>
                <w:rFonts w:ascii="Calibri" w:hAnsi="Calibri" w:eastAsia="Calibri" w:cs="Calibri"/>
                <w:b w:val="0"/>
                <w:sz w:val="18"/>
              </w:rPr>
              <w:t>$28,740</w:t>
            </w:r>
          </w:p>
        </w:tc>
        <w:tc>
          <w:tcPr>
            <w:tcW w:w="1500" w:type="dxa"/>
          </w:tcPr>
          <w:p>
            <w:pPr>
              <w:keepNext/>
              <w:spacing w:before="0" w:after="0" w:line="240" w:lineRule="auto"/>
            </w:pPr>
            <w:r>
              <w:rPr>
                <w:rFonts w:ascii="Calibri" w:hAnsi="Calibri" w:eastAsia="Calibri" w:cs="Calibri"/>
                <w:b w:val="0"/>
                <w:sz w:val="18"/>
              </w:rPr>
              <w:t>4.00%</w:t>
            </w:r>
          </w:p>
        </w:tc>
        <w:tc>
          <w:tcPr>
            <w:tcW w:w="1900" w:type="dxa"/>
          </w:tcPr>
          <w:p>
            <w:pPr>
              <w:keepNext/>
              <w:spacing w:before="0" w:after="0" w:line="240" w:lineRule="auto"/>
            </w:pPr>
            <w:r>
              <w:rPr>
                <w:rFonts w:ascii="Calibri" w:hAnsi="Calibri" w:eastAsia="Calibri" w:cs="Calibri"/>
                <w:b w:val="0"/>
                <w:sz w:val="18"/>
              </w:rPr>
              <w:t>yes</w:t>
            </w:r>
          </w:p>
        </w:tc>
        <w:tc>
          <w:tcPr>
            <w:tcW w:w="1900" w:type="dxa"/>
          </w:tcPr>
          <w:p>
            <w:pPr>
              <w:keepNext/>
              <w:spacing w:before="0" w:after="0" w:line="240" w:lineRule="auto"/>
            </w:pPr>
            <w:r>
              <w:rPr>
                <w:rFonts w:ascii="Calibri" w:hAnsi="Calibri" w:eastAsia="Calibri" w:cs="Calibri"/>
                <w:b w:val="0"/>
                <w:sz w:val="18"/>
              </w:rPr>
              <w:t>yes</w:t>
            </w:r>
          </w:p>
        </w:tc>
        <w:tc>
          <w:tcPr>
            <w:tcW w:w="1768" w:type="dxa"/>
          </w:tcPr>
          <w:p>
            <w:pPr>
              <w:keepNext/>
              <w:spacing w:before="0" w:after="0" w:line="240" w:lineRule="auto"/>
            </w:pPr>
            <w:r>
              <w:rPr>
                <w:rFonts w:ascii="Calibri" w:hAnsi="Calibri" w:eastAsia="Calibri" w:cs="Calibri"/>
                <w:b w:val="0"/>
                <w:sz w:val="18"/>
              </w:rPr>
              <w:t>6.75%</w:t>
            </w:r>
          </w:p>
        </w:tc>
      </w:tr>
      <w:tr>
        <w:trPr>
          <w:cantSplit/>
        </w:trPr>
        <w:tc>
          <w:tcPr>
            <w:tcW w:w="1900" w:type="dxa"/>
          </w:tcPr>
          <w:p>
            <w:pPr>
              <w:keepNext/>
              <w:spacing w:before="0" w:after="0" w:line="240" w:lineRule="auto"/>
            </w:pPr>
            <w:r>
              <w:rPr>
                <w:rFonts w:ascii="Calibri" w:hAnsi="Calibri" w:eastAsia="Calibri" w:cs="Calibri"/>
                <w:b/>
                <w:sz w:val="18"/>
              </w:rPr>
              <w:t>$288.00</w:t>
            </w:r>
          </w:p>
        </w:tc>
        <w:tc>
          <w:tcPr>
            <w:tcW w:w="1400" w:type="dxa"/>
          </w:tcPr>
          <w:p>
            <w:pPr>
              <w:keepNext/>
              <w:spacing w:before="0" w:after="0" w:line="240" w:lineRule="auto"/>
            </w:pPr>
            <w:r>
              <w:rPr>
                <w:rFonts w:ascii="Calibri" w:hAnsi="Calibri" w:eastAsia="Calibri" w:cs="Calibri"/>
                <w:b w:val="0"/>
                <w:sz w:val="18"/>
              </w:rPr>
              <w:t>$28,800</w:t>
            </w:r>
          </w:p>
        </w:tc>
        <w:tc>
          <w:tcPr>
            <w:tcW w:w="1500" w:type="dxa"/>
          </w:tcPr>
          <w:p>
            <w:pPr>
              <w:keepNext/>
              <w:spacing w:before="0" w:after="0" w:line="240" w:lineRule="auto"/>
            </w:pPr>
            <w:r>
              <w:rPr>
                <w:rFonts w:ascii="Calibri" w:hAnsi="Calibri" w:eastAsia="Calibri" w:cs="Calibri"/>
                <w:b w:val="0"/>
                <w:sz w:val="18"/>
              </w:rPr>
              <w:t>4.01%</w:t>
            </w:r>
          </w:p>
        </w:tc>
        <w:tc>
          <w:tcPr>
            <w:tcW w:w="1900" w:type="dxa"/>
          </w:tcPr>
          <w:p>
            <w:pPr>
              <w:keepNext/>
              <w:spacing w:before="0" w:after="0" w:line="240" w:lineRule="auto"/>
            </w:pPr>
            <w:r>
              <w:rPr>
                <w:rFonts w:ascii="Calibri" w:hAnsi="Calibri" w:eastAsia="Calibri" w:cs="Calibri"/>
                <w:b w:val="0"/>
                <w:sz w:val="18"/>
              </w:rPr>
              <w:t>no: 99 sh</w:t>
            </w:r>
          </w:p>
        </w:tc>
        <w:tc>
          <w:tcPr>
            <w:tcW w:w="1900" w:type="dxa"/>
          </w:tcPr>
          <w:p>
            <w:pPr>
              <w:keepNext/>
              <w:spacing w:before="0" w:after="0" w:line="240" w:lineRule="auto"/>
            </w:pPr>
            <w:r>
              <w:rPr>
                <w:rFonts w:ascii="Calibri" w:hAnsi="Calibri" w:eastAsia="Calibri" w:cs="Calibri"/>
                <w:b w:val="0"/>
                <w:sz w:val="18"/>
              </w:rPr>
              <w:t>yes</w:t>
            </w:r>
          </w:p>
        </w:tc>
        <w:tc>
          <w:tcPr>
            <w:tcW w:w="1768" w:type="dxa"/>
          </w:tcPr>
          <w:p>
            <w:pPr>
              <w:keepNext/>
              <w:spacing w:before="0" w:after="0" w:line="240" w:lineRule="auto"/>
            </w:pPr>
            <w:r>
              <w:rPr>
                <w:rFonts w:ascii="Calibri" w:hAnsi="Calibri" w:eastAsia="Calibri" w:cs="Calibri"/>
                <w:b w:val="0"/>
                <w:sz w:val="18"/>
              </w:rPr>
              <w:t>6.74%</w:t>
            </w:r>
          </w:p>
        </w:tc>
      </w:tr>
      <w:tr>
        <w:trPr>
          <w:cantSplit/>
        </w:trPr>
        <w:tc>
          <w:tcPr>
            <w:tcW w:w="1900" w:type="dxa"/>
          </w:tcPr>
          <w:p>
            <w:pPr>
              <w:keepNext/>
              <w:spacing w:before="0" w:after="0" w:line="240" w:lineRule="auto"/>
            </w:pPr>
            <w:r>
              <w:rPr>
                <w:rFonts w:ascii="Calibri" w:hAnsi="Calibri" w:eastAsia="Calibri" w:cs="Calibri"/>
                <w:b/>
                <w:sz w:val="18"/>
              </w:rPr>
              <w:t>$289.73 (cash limit)</w:t>
            </w:r>
          </w:p>
        </w:tc>
        <w:tc>
          <w:tcPr>
            <w:tcW w:w="1400" w:type="dxa"/>
          </w:tcPr>
          <w:p>
            <w:pPr>
              <w:keepNext/>
              <w:spacing w:before="0" w:after="0" w:line="240" w:lineRule="auto"/>
            </w:pPr>
            <w:r>
              <w:rPr>
                <w:rFonts w:ascii="Calibri" w:hAnsi="Calibri" w:eastAsia="Calibri" w:cs="Calibri"/>
                <w:b w:val="0"/>
                <w:sz w:val="18"/>
              </w:rPr>
              <w:t>$28,973</w:t>
            </w:r>
          </w:p>
        </w:tc>
        <w:tc>
          <w:tcPr>
            <w:tcW w:w="1500" w:type="dxa"/>
          </w:tcPr>
          <w:p>
            <w:pPr>
              <w:keepNext/>
              <w:spacing w:before="0" w:after="0" w:line="240" w:lineRule="auto"/>
            </w:pPr>
            <w:r>
              <w:rPr>
                <w:rFonts w:ascii="Calibri" w:hAnsi="Calibri" w:eastAsia="Calibri" w:cs="Calibri"/>
                <w:b w:val="0"/>
                <w:sz w:val="18"/>
              </w:rPr>
              <w:t>4.03%</w:t>
            </w:r>
          </w:p>
        </w:tc>
        <w:tc>
          <w:tcPr>
            <w:tcW w:w="1900" w:type="dxa"/>
          </w:tcPr>
          <w:p>
            <w:pPr>
              <w:keepNext/>
              <w:spacing w:before="0" w:after="0" w:line="240" w:lineRule="auto"/>
            </w:pPr>
            <w:r>
              <w:rPr>
                <w:rFonts w:ascii="Calibri" w:hAnsi="Calibri" w:eastAsia="Calibri" w:cs="Calibri"/>
                <w:b w:val="0"/>
                <w:sz w:val="18"/>
              </w:rPr>
              <w:t>no: 99 sh</w:t>
            </w:r>
          </w:p>
        </w:tc>
        <w:tc>
          <w:tcPr>
            <w:tcW w:w="1900" w:type="dxa"/>
          </w:tcPr>
          <w:p>
            <w:pPr>
              <w:keepNext/>
              <w:spacing w:before="0" w:after="0" w:line="240" w:lineRule="auto"/>
            </w:pPr>
            <w:r>
              <w:rPr>
                <w:rFonts w:ascii="Calibri" w:hAnsi="Calibri" w:eastAsia="Calibri" w:cs="Calibri"/>
                <w:b w:val="0"/>
                <w:sz w:val="18"/>
              </w:rPr>
              <w:t>yes</w:t>
            </w:r>
          </w:p>
        </w:tc>
        <w:tc>
          <w:tcPr>
            <w:tcW w:w="1768" w:type="dxa"/>
          </w:tcPr>
          <w:p>
            <w:pPr>
              <w:keepNext/>
              <w:spacing w:before="0" w:after="0" w:line="240" w:lineRule="auto"/>
            </w:pPr>
            <w:r>
              <w:rPr>
                <w:rFonts w:ascii="Calibri" w:hAnsi="Calibri" w:eastAsia="Calibri" w:cs="Calibri"/>
                <w:b w:val="0"/>
                <w:sz w:val="18"/>
              </w:rPr>
              <w:t>6.72%</w:t>
            </w:r>
          </w:p>
        </w:tc>
      </w:tr>
      <w:tr>
        <w:trPr>
          <w:cantSplit/>
        </w:trPr>
        <w:tc>
          <w:tcPr>
            <w:tcW w:w="1900" w:type="dxa"/>
          </w:tcPr>
          <w:p>
            <w:pPr>
              <w:spacing w:before="0" w:after="0" w:line="240" w:lineRule="auto"/>
            </w:pPr>
            <w:r>
              <w:rPr>
                <w:rFonts w:ascii="Calibri" w:hAnsi="Calibri" w:eastAsia="Calibri" w:cs="Calibri"/>
                <w:b/>
                <w:sz w:val="18"/>
              </w:rPr>
              <w:t>$292.00</w:t>
            </w:r>
          </w:p>
        </w:tc>
        <w:tc>
          <w:tcPr>
            <w:tcW w:w="1400" w:type="dxa"/>
          </w:tcPr>
          <w:p>
            <w:pPr>
              <w:spacing w:before="0" w:after="0" w:line="240" w:lineRule="auto"/>
            </w:pPr>
            <w:r>
              <w:rPr>
                <w:rFonts w:ascii="Calibri" w:hAnsi="Calibri" w:eastAsia="Calibri" w:cs="Calibri"/>
                <w:b w:val="0"/>
                <w:sz w:val="18"/>
              </w:rPr>
              <w:t>$29,200</w:t>
            </w:r>
          </w:p>
        </w:tc>
        <w:tc>
          <w:tcPr>
            <w:tcW w:w="1500" w:type="dxa"/>
          </w:tcPr>
          <w:p>
            <w:pPr>
              <w:spacing w:before="0" w:after="0" w:line="240" w:lineRule="auto"/>
            </w:pPr>
            <w:r>
              <w:rPr>
                <w:rFonts w:ascii="Calibri" w:hAnsi="Calibri" w:eastAsia="Calibri" w:cs="Calibri"/>
                <w:b w:val="0"/>
                <w:sz w:val="18"/>
              </w:rPr>
              <w:t>4.06%</w:t>
            </w:r>
          </w:p>
        </w:tc>
        <w:tc>
          <w:tcPr>
            <w:tcW w:w="1900" w:type="dxa"/>
          </w:tcPr>
          <w:p>
            <w:pPr>
              <w:spacing w:before="0" w:after="0" w:line="240" w:lineRule="auto"/>
            </w:pPr>
            <w:r>
              <w:rPr>
                <w:rFonts w:ascii="Calibri" w:hAnsi="Calibri" w:eastAsia="Calibri" w:cs="Calibri"/>
                <w:b w:val="0"/>
                <w:sz w:val="18"/>
              </w:rPr>
              <w:t>no</w:t>
            </w:r>
          </w:p>
        </w:tc>
        <w:tc>
          <w:tcPr>
            <w:tcW w:w="1900" w:type="dxa"/>
          </w:tcPr>
          <w:p>
            <w:pPr>
              <w:spacing w:before="0" w:after="0" w:line="240" w:lineRule="auto"/>
            </w:pPr>
            <w:r>
              <w:rPr>
                <w:rFonts w:ascii="Calibri" w:hAnsi="Calibri" w:eastAsia="Calibri" w:cs="Calibri"/>
                <w:b w:val="0"/>
                <w:sz w:val="18"/>
              </w:rPr>
              <w:t>short $227</w:t>
            </w:r>
          </w:p>
        </w:tc>
        <w:tc>
          <w:tcPr>
            <w:tcW w:w="1768" w:type="dxa"/>
          </w:tcPr>
          <w:p>
            <w:pPr>
              <w:spacing w:before="0" w:after="0" w:line="240" w:lineRule="auto"/>
            </w:pPr>
            <w:r>
              <w:rPr>
                <w:rFonts w:ascii="Calibri" w:hAnsi="Calibri" w:eastAsia="Calibri" w:cs="Calibri"/>
                <w:b w:val="0"/>
                <w:sz w:val="18"/>
              </w:rPr>
              <w:t>6.69%</w:t>
            </w:r>
          </w:p>
        </w:tc>
      </w:tr>
    </w:tbl>
    <w:p>
      <w:pPr>
        <w:spacing w:before="40" w:after="60"/>
      </w:pPr>
      <w:r>
        <w:rPr>
          <w:rFonts w:ascii="Calibri" w:hAnsi="Calibri" w:eastAsia="Calibri" w:cs="Calibri"/>
          <w:b w:val="0"/>
          <w:i/>
          <w:color w:val="595959"/>
          <w:sz w:val="19"/>
        </w:rPr>
        <w:t>The cap moves with the portfolio (4% of $718.5K today). Rule 14 on the ruled trailing basis needs P/FCF ≤ 50x, i.e. any price up to $353.</w:t>
      </w:r>
    </w:p>
    <w:p>
      <w:pPr>
        <w:keepNext/>
        <w:spacing w:before="200" w:after="60"/>
      </w:pPr>
      <w:r>
        <w:rPr>
          <w:rFonts w:ascii="Calibri" w:hAnsi="Calibri" w:eastAsia="Calibri" w:cs="Calibri"/>
          <w:b/>
          <w:color w:val="1F3864"/>
          <w:sz w:val="24"/>
        </w:rPr>
        <w:t>3. Fidelity 3711 cash, reconciled to your history</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5400"/>
        <w:gridCol w:w="1500"/>
        <w:gridCol w:w="3468"/>
      </w:tblGrid>
      <w:tr>
        <w:trPr>
          <w:cantSplit/>
          <w:tblHeader/>
        </w:trPr>
        <w:tc>
          <w:tcPr>
            <w:tcW w:w="5400" w:type="dxa"/>
            <w:shd w:val="clear" w:color="auto" w:fill="E7E6E6"/>
          </w:tcPr>
          <w:p>
            <w:pPr>
              <w:keepNext/>
              <w:spacing w:before="0" w:after="0" w:line="240" w:lineRule="auto"/>
            </w:pPr>
            <w:r>
              <w:rPr>
                <w:rFonts w:ascii="Calibri" w:hAnsi="Calibri" w:eastAsia="Calibri" w:cs="Calibri"/>
                <w:b/>
                <w:color w:val="1F3864"/>
                <w:sz w:val="18"/>
              </w:rPr>
              <w:t>Step</w:t>
            </w:r>
          </w:p>
        </w:tc>
        <w:tc>
          <w:tcPr>
            <w:tcW w:w="1500" w:type="dxa"/>
            <w:shd w:val="clear" w:color="auto" w:fill="E7E6E6"/>
          </w:tcPr>
          <w:p>
            <w:pPr>
              <w:keepNext/>
              <w:spacing w:before="0" w:after="0" w:line="240" w:lineRule="auto"/>
            </w:pPr>
            <w:r>
              <w:rPr>
                <w:rFonts w:ascii="Calibri" w:hAnsi="Calibri" w:eastAsia="Calibri" w:cs="Calibri"/>
                <w:b/>
                <w:color w:val="1F3864"/>
                <w:sz w:val="18"/>
              </w:rPr>
              <w:t>Amount</w:t>
            </w:r>
          </w:p>
        </w:tc>
        <w:tc>
          <w:tcPr>
            <w:tcW w:w="3468" w:type="dxa"/>
            <w:shd w:val="clear" w:color="auto" w:fill="E7E6E6"/>
          </w:tcPr>
          <w:p>
            <w:pPr>
              <w:keepNext/>
              <w:spacing w:before="0" w:after="0" w:line="240" w:lineRule="auto"/>
            </w:pPr>
            <w:r>
              <w:rPr>
                <w:rFonts w:ascii="Calibri" w:hAnsi="Calibri" w:eastAsia="Calibri" w:cs="Calibri"/>
                <w:b/>
                <w:color w:val="1F3864"/>
                <w:sz w:val="18"/>
              </w:rPr>
              <w:t>Note</w:t>
            </w:r>
          </w:p>
        </w:tc>
      </w:tr>
      <w:tr>
        <w:trPr>
          <w:cantSplit/>
        </w:trPr>
        <w:tc>
          <w:tcPr>
            <w:tcW w:w="5400" w:type="dxa"/>
          </w:tcPr>
          <w:p>
            <w:pPr>
              <w:keepNext/>
              <w:spacing w:before="0" w:after="0" w:line="240" w:lineRule="auto"/>
            </w:pPr>
            <w:r>
              <w:rPr>
                <w:rFonts w:ascii="Calibri" w:hAnsi="Calibri" w:eastAsia="Calibri" w:cs="Calibri"/>
                <w:b/>
                <w:sz w:val="18"/>
              </w:rPr>
              <w:t>Workbook Fidelity cash (FZDXX + FZFXX, tied to the 9/30 statements)</w:t>
            </w:r>
          </w:p>
        </w:tc>
        <w:tc>
          <w:tcPr>
            <w:tcW w:w="1500" w:type="dxa"/>
          </w:tcPr>
          <w:p>
            <w:pPr>
              <w:keepNext/>
              <w:spacing w:before="0" w:after="0" w:line="240" w:lineRule="auto"/>
            </w:pPr>
            <w:r>
              <w:rPr>
                <w:rFonts w:ascii="Calibri" w:hAnsi="Calibri" w:eastAsia="Calibri" w:cs="Calibri"/>
                <w:b w:val="0"/>
                <w:sz w:val="18"/>
              </w:rPr>
              <w:t>$39,328.19</w:t>
            </w:r>
          </w:p>
        </w:tc>
        <w:tc>
          <w:tcPr>
            <w:tcW w:w="3468" w:type="dxa"/>
          </w:tcPr>
          <w:p>
            <w:pPr>
              <w:keepNext/>
              <w:spacing w:before="0" w:after="0" w:line="240" w:lineRule="auto"/>
            </w:pPr>
            <w:r>
              <w:rPr>
                <w:rFonts w:ascii="Calibri" w:hAnsi="Calibri" w:eastAsia="Calibri" w:cs="Calibri"/>
                <w:b w:val="0"/>
                <w:sz w:val="18"/>
              </w:rPr>
              <w:t>Current Positions rows 14–15</w:t>
            </w:r>
          </w:p>
        </w:tc>
      </w:tr>
      <w:tr>
        <w:trPr>
          <w:cantSplit/>
        </w:trPr>
        <w:tc>
          <w:tcPr>
            <w:tcW w:w="5400" w:type="dxa"/>
          </w:tcPr>
          <w:p>
            <w:pPr>
              <w:keepNext/>
              <w:spacing w:before="0" w:after="0" w:line="240" w:lineRule="auto"/>
            </w:pPr>
            <w:r>
              <w:rPr>
                <w:rFonts w:ascii="Calibri" w:hAnsi="Calibri" w:eastAsia="Calibri" w:cs="Calibri"/>
                <w:b/>
                <w:sz w:val="18"/>
              </w:rPr>
              <w:t>− EFT withdrawal, 10/2</w:t>
            </w:r>
          </w:p>
        </w:tc>
        <w:tc>
          <w:tcPr>
            <w:tcW w:w="1500" w:type="dxa"/>
          </w:tcPr>
          <w:p>
            <w:pPr>
              <w:keepNext/>
              <w:spacing w:before="0" w:after="0" w:line="240" w:lineRule="auto"/>
            </w:pPr>
            <w:r>
              <w:rPr>
                <w:rFonts w:ascii="Calibri" w:hAnsi="Calibri" w:eastAsia="Calibri" w:cs="Calibri"/>
                <w:b w:val="0"/>
                <w:sz w:val="18"/>
              </w:rPr>
              <w:t>−$15,000.00</w:t>
            </w:r>
          </w:p>
        </w:tc>
        <w:tc>
          <w:tcPr>
            <w:tcW w:w="3468" w:type="dxa"/>
          </w:tcPr>
          <w:p>
            <w:pPr>
              <w:keepNext/>
              <w:spacing w:before="0" w:after="0" w:line="240" w:lineRule="auto"/>
            </w:pPr>
            <w:r>
              <w:rPr>
                <w:rFonts w:ascii="Calibri" w:hAnsi="Calibri" w:eastAsia="Calibri" w:cs="Calibri"/>
                <w:b w:val="0"/>
                <w:sz w:val="18"/>
              </w:rPr>
              <w:t>not yet in the workbook</w:t>
            </w:r>
          </w:p>
        </w:tc>
      </w:tr>
      <w:tr>
        <w:trPr>
          <w:cantSplit/>
        </w:trPr>
        <w:tc>
          <w:tcPr>
            <w:tcW w:w="5400" w:type="dxa"/>
          </w:tcPr>
          <w:p>
            <w:pPr>
              <w:keepNext/>
              <w:spacing w:before="0" w:after="0" w:line="240" w:lineRule="auto"/>
            </w:pPr>
            <w:r>
              <w:rPr>
                <w:rFonts w:ascii="Calibri" w:hAnsi="Calibri" w:eastAsia="Calibri" w:cs="Calibri"/>
                <w:b/>
                <w:sz w:val="18"/>
              </w:rPr>
              <w:t>+ NVDA dividend, 10/1</w:t>
            </w:r>
          </w:p>
        </w:tc>
        <w:tc>
          <w:tcPr>
            <w:tcW w:w="1500" w:type="dxa"/>
          </w:tcPr>
          <w:p>
            <w:pPr>
              <w:keepNext/>
              <w:spacing w:before="0" w:after="0" w:line="240" w:lineRule="auto"/>
            </w:pPr>
            <w:r>
              <w:rPr>
                <w:rFonts w:ascii="Calibri" w:hAnsi="Calibri" w:eastAsia="Calibri" w:cs="Calibri"/>
                <w:b w:val="0"/>
                <w:sz w:val="18"/>
              </w:rPr>
              <w:t>+$38.75</w:t>
            </w:r>
          </w:p>
        </w:tc>
        <w:tc>
          <w:tcPr>
            <w:tcW w:w="3468" w:type="dxa"/>
          </w:tcPr>
          <w:p>
            <w:pPr>
              <w:keepNext/>
              <w:spacing w:before="0" w:after="0" w:line="240" w:lineRule="auto"/>
            </w:pPr>
            <w:r>
              <w:rPr>
                <w:rFonts w:ascii="Calibri" w:hAnsi="Calibri" w:eastAsia="Calibri" w:cs="Calibri"/>
                <w:b w:val="0"/>
                <w:sz w:val="18"/>
              </w:rPr>
            </w:r>
          </w:p>
        </w:tc>
      </w:tr>
      <w:tr>
        <w:trPr>
          <w:cantSplit/>
        </w:trPr>
        <w:tc>
          <w:tcPr>
            <w:tcW w:w="5400" w:type="dxa"/>
          </w:tcPr>
          <w:p>
            <w:pPr>
              <w:keepNext/>
              <w:spacing w:before="0" w:after="0" w:line="240" w:lineRule="auto"/>
            </w:pPr>
            <w:r>
              <w:rPr>
                <w:rFonts w:ascii="Calibri" w:hAnsi="Calibri" w:eastAsia="Calibri" w:cs="Calibri"/>
                <w:b/>
                <w:sz w:val="18"/>
              </w:rPr>
              <w:t>= Fidelity cash now</w:t>
            </w:r>
          </w:p>
        </w:tc>
        <w:tc>
          <w:tcPr>
            <w:tcW w:w="1500" w:type="dxa"/>
          </w:tcPr>
          <w:p>
            <w:pPr>
              <w:keepNext/>
              <w:spacing w:before="0" w:after="0" w:line="240" w:lineRule="auto"/>
            </w:pPr>
            <w:r>
              <w:rPr>
                <w:rFonts w:ascii="Calibri" w:hAnsi="Calibri" w:eastAsia="Calibri" w:cs="Calibri"/>
                <w:b w:val="0"/>
                <w:sz w:val="18"/>
              </w:rPr>
              <w:t>$24,366.94</w:t>
            </w:r>
          </w:p>
        </w:tc>
        <w:tc>
          <w:tcPr>
            <w:tcW w:w="3468" w:type="dxa"/>
          </w:tcPr>
          <w:p>
            <w:pPr>
              <w:keepNext/>
              <w:spacing w:before="0" w:after="0" w:line="240" w:lineRule="auto"/>
            </w:pPr>
            <w:r>
              <w:rPr>
                <w:rFonts w:ascii="Calibri" w:hAnsi="Calibri" w:eastAsia="Calibri" w:cs="Calibri"/>
                <w:b w:val="0"/>
                <w:sz w:val="18"/>
              </w:rPr>
              <w:t>equals the balance on your slate</w:t>
            </w:r>
          </w:p>
        </w:tc>
      </w:tr>
      <w:tr>
        <w:trPr>
          <w:cantSplit/>
        </w:trPr>
        <w:tc>
          <w:tcPr>
            <w:tcW w:w="5400" w:type="dxa"/>
          </w:tcPr>
          <w:p>
            <w:pPr>
              <w:keepNext/>
              <w:spacing w:before="0" w:after="0" w:line="240" w:lineRule="auto"/>
            </w:pPr>
            <w:r>
              <w:rPr>
                <w:rFonts w:ascii="Calibri" w:hAnsi="Calibri" w:eastAsia="Calibri" w:cs="Calibri"/>
                <w:b/>
                <w:sz w:val="18"/>
              </w:rPr>
              <w:t>+ SPMO sale 10/6: 30 sh at $153.54, net of a $0.10 fee</w:t>
            </w:r>
          </w:p>
        </w:tc>
        <w:tc>
          <w:tcPr>
            <w:tcW w:w="1500" w:type="dxa"/>
          </w:tcPr>
          <w:p>
            <w:pPr>
              <w:keepNext/>
              <w:spacing w:before="0" w:after="0" w:line="240" w:lineRule="auto"/>
            </w:pPr>
            <w:r>
              <w:rPr>
                <w:rFonts w:ascii="Calibri" w:hAnsi="Calibri" w:eastAsia="Calibri" w:cs="Calibri"/>
                <w:b w:val="0"/>
                <w:sz w:val="18"/>
              </w:rPr>
              <w:t>+$4,606.10</w:t>
            </w:r>
          </w:p>
        </w:tc>
        <w:tc>
          <w:tcPr>
            <w:tcW w:w="3468" w:type="dxa"/>
          </w:tcPr>
          <w:p>
            <w:pPr>
              <w:keepNext/>
              <w:spacing w:before="0" w:after="0" w:line="240" w:lineRule="auto"/>
            </w:pPr>
            <w:r>
              <w:rPr>
                <w:rFonts w:ascii="Calibri" w:hAnsi="Calibri" w:eastAsia="Calibri" w:cs="Calibri"/>
                <w:b w:val="0"/>
                <w:sz w:val="18"/>
              </w:rPr>
              <w:t>journaled to cash at settlement, 10/7; no pending orders</w:t>
            </w:r>
          </w:p>
        </w:tc>
      </w:tr>
      <w:tr>
        <w:trPr>
          <w:cantSplit/>
        </w:trPr>
        <w:tc>
          <w:tcPr>
            <w:tcW w:w="5400" w:type="dxa"/>
          </w:tcPr>
          <w:p>
            <w:pPr>
              <w:spacing w:before="0" w:after="0" w:line="240" w:lineRule="auto"/>
            </w:pPr>
            <w:r>
              <w:rPr>
                <w:rFonts w:ascii="Calibri" w:hAnsi="Calibri" w:eastAsia="Calibri" w:cs="Calibri"/>
                <w:b/>
                <w:sz w:val="18"/>
              </w:rPr>
              <w:t>= Available for VEEV</w:t>
            </w:r>
          </w:p>
        </w:tc>
        <w:tc>
          <w:tcPr>
            <w:tcW w:w="1500" w:type="dxa"/>
          </w:tcPr>
          <w:p>
            <w:pPr>
              <w:spacing w:before="0" w:after="0" w:line="240" w:lineRule="auto"/>
            </w:pPr>
            <w:r>
              <w:rPr>
                <w:rFonts w:ascii="Calibri" w:hAnsi="Calibri" w:eastAsia="Calibri" w:cs="Calibri"/>
                <w:b w:val="0"/>
                <w:sz w:val="18"/>
              </w:rPr>
              <w:t>$28,973.04</w:t>
            </w:r>
          </w:p>
        </w:tc>
        <w:tc>
          <w:tcPr>
            <w:tcW w:w="3468" w:type="dxa"/>
          </w:tcPr>
          <w:p>
            <w:pPr>
              <w:spacing w:before="0" w:after="0" w:line="240" w:lineRule="auto"/>
            </w:pPr>
            <w:r>
              <w:rPr>
                <w:rFonts w:ascii="Calibri" w:hAnsi="Calibri" w:eastAsia="Calibri" w:cs="Calibri"/>
                <w:b w:val="0"/>
                <w:sz w:val="18"/>
              </w:rPr>
              <w:t>100 sh at the slate's $284 would leave $573</w:t>
            </w:r>
          </w:p>
        </w:tc>
      </w:tr>
    </w:tbl>
    <w:p>
      <w:pPr>
        <w:spacing w:before="60" w:after="40"/>
      </w:pPr>
      <w:r>
        <w:rPr>
          <w:rFonts w:ascii="Calibri" w:hAnsi="Calibri" w:eastAsia="Calibri" w:cs="Calibri"/>
          <w:b w:val="0"/>
          <w:i w:val="0"/>
          <w:sz w:val="19"/>
        </w:rPr>
        <w:t>Cross-check: positions at market plus this cash agree with Fidelity's own JT ULTRA_3711 balance ($399,609.14 at 12:41 pm ET) to within $11. The running Cash Balance column shows the 9/30 GE/NFLX settlement used up the dividend cash the 10/4 reconciliation had carried as FZFXX, so the money sits in FZDXX. Chase is carried at your slate's $11,408.02 core cash and the workbook's $36,854.47 VMFXX (the 9/30 statement value; not re-verified). The file also lists other household accounts; I used only 3711.</w:t>
      </w:r>
    </w:p>
    <w:p>
      <w:pPr>
        <w:spacing w:before="0" w:after="40"/>
      </w:pPr>
      <w:r>
        <w:rPr>
          <w:rFonts w:ascii="Calibri" w:hAnsi="Calibri" w:eastAsia="Calibri" w:cs="Calibri"/>
          <w:b w:val="0"/>
          <w:i w:val="0"/>
          <w:sz w:val="19"/>
        </w:rPr>
        <w:t>Drawdown Log: net external withdrawals since the 9/4 peak are $16,500 (9/9) + $20,000 (9/14) + $19.99 (9/15 PayPal) + $15,000 (10/2) less the $16,500 that entered Chase on 9/8 = $35,019.99 ($20,019.99 was added back in the 9/30 entry; the 10/2 $15,000 is new). On that basis the portfolio is $753.5K against the 9/4 peak of $751.2K: a new high, regime Normal. Posted this morning as the 10/6 entry ($753,520.32; Drawdown Log row 6).</w:t>
      </w:r>
    </w:p>
    <w:p>
      <w:pPr>
        <w:keepNext/>
        <w:spacing w:before="200" w:after="60"/>
      </w:pPr>
      <w:r>
        <w:rPr>
          <w:rFonts w:ascii="Calibri" w:hAnsi="Calibri" w:eastAsia="Calibri" w:cs="Calibri"/>
          <w:b/>
          <w:color w:val="1F3864"/>
          <w:sz w:val="24"/>
        </w:rPr>
        <w:t>4. Rule 14's basis: ruled trailing (VEEV free cash flow after stock comp)</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3000"/>
        <w:gridCol w:w="1700"/>
        <w:gridCol w:w="1700"/>
        <w:gridCol w:w="3968"/>
      </w:tblGrid>
      <w:tr>
        <w:trPr>
          <w:cantSplit/>
          <w:tblHeader/>
        </w:trPr>
        <w:tc>
          <w:tcPr>
            <w:tcW w:w="3000" w:type="dxa"/>
            <w:shd w:val="clear" w:color="auto" w:fill="E7E6E6"/>
          </w:tcPr>
          <w:p>
            <w:pPr>
              <w:keepNext/>
              <w:spacing w:before="0" w:after="0" w:line="240" w:lineRule="auto"/>
            </w:pPr>
            <w:r>
              <w:rPr>
                <w:rFonts w:ascii="Calibri" w:hAnsi="Calibri" w:eastAsia="Calibri" w:cs="Calibri"/>
                <w:b/>
                <w:color w:val="1F3864"/>
                <w:sz w:val="18"/>
              </w:rPr>
              <w:t>$M</w:t>
            </w:r>
          </w:p>
        </w:tc>
        <w:tc>
          <w:tcPr>
            <w:tcW w:w="1700" w:type="dxa"/>
            <w:shd w:val="clear" w:color="auto" w:fill="E7E6E6"/>
          </w:tcPr>
          <w:p>
            <w:pPr>
              <w:keepNext/>
              <w:spacing w:before="0" w:after="0" w:line="240" w:lineRule="auto"/>
            </w:pPr>
            <w:r>
              <w:rPr>
                <w:rFonts w:ascii="Calibri" w:hAnsi="Calibri" w:eastAsia="Calibri" w:cs="Calibri"/>
                <w:b/>
                <w:color w:val="1F3864"/>
                <w:sz w:val="18"/>
              </w:rPr>
              <w:t>FY26 (to 1/31/26)</w:t>
            </w:r>
          </w:p>
        </w:tc>
        <w:tc>
          <w:tcPr>
            <w:tcW w:w="1700" w:type="dxa"/>
            <w:shd w:val="clear" w:color="auto" w:fill="E7E6E6"/>
          </w:tcPr>
          <w:p>
            <w:pPr>
              <w:keepNext/>
              <w:spacing w:before="0" w:after="0" w:line="240" w:lineRule="auto"/>
            </w:pPr>
            <w:r>
              <w:rPr>
                <w:rFonts w:ascii="Calibri" w:hAnsi="Calibri" w:eastAsia="Calibri" w:cs="Calibri"/>
                <w:b/>
                <w:color w:val="1F3864"/>
                <w:sz w:val="18"/>
              </w:rPr>
              <w:t>TTM (to 7/31/26)</w:t>
            </w:r>
          </w:p>
        </w:tc>
        <w:tc>
          <w:tcPr>
            <w:tcW w:w="3968" w:type="dxa"/>
            <w:shd w:val="clear" w:color="auto" w:fill="E7E6E6"/>
          </w:tcPr>
          <w:p>
            <w:pPr>
              <w:keepNext/>
              <w:spacing w:before="0" w:after="0" w:line="240" w:lineRule="auto"/>
            </w:pPr>
            <w:r>
              <w:rPr>
                <w:rFonts w:ascii="Calibri" w:hAnsi="Calibri" w:eastAsia="Calibri" w:cs="Calibri"/>
                <w:b/>
                <w:color w:val="1F3864"/>
                <w:sz w:val="18"/>
              </w:rPr>
              <w:t>Source</w:t>
            </w:r>
          </w:p>
        </w:tc>
      </w:tr>
      <w:tr>
        <w:trPr>
          <w:cantSplit/>
        </w:trPr>
        <w:tc>
          <w:tcPr>
            <w:tcW w:w="3000" w:type="dxa"/>
          </w:tcPr>
          <w:p>
            <w:pPr>
              <w:keepNext/>
              <w:spacing w:before="0" w:after="0" w:line="240" w:lineRule="auto"/>
            </w:pPr>
            <w:r>
              <w:rPr>
                <w:rFonts w:ascii="Calibri" w:hAnsi="Calibri" w:eastAsia="Calibri" w:cs="Calibri"/>
                <w:b/>
                <w:sz w:val="18"/>
              </w:rPr>
              <w:t>Cash from operations</w:t>
            </w:r>
          </w:p>
        </w:tc>
        <w:tc>
          <w:tcPr>
            <w:tcW w:w="1700" w:type="dxa"/>
          </w:tcPr>
          <w:p>
            <w:pPr>
              <w:keepNext/>
              <w:spacing w:before="0" w:after="0" w:line="240" w:lineRule="auto"/>
            </w:pPr>
            <w:r>
              <w:rPr>
                <w:rFonts w:ascii="Calibri" w:hAnsi="Calibri" w:eastAsia="Calibri" w:cs="Calibri"/>
                <w:b w:val="0"/>
                <w:sz w:val="18"/>
              </w:rPr>
              <w:t>1,415.2</w:t>
            </w:r>
          </w:p>
        </w:tc>
        <w:tc>
          <w:tcPr>
            <w:tcW w:w="1700" w:type="dxa"/>
          </w:tcPr>
          <w:p>
            <w:pPr>
              <w:keepNext/>
              <w:spacing w:before="0" w:after="0" w:line="240" w:lineRule="auto"/>
            </w:pPr>
            <w:r>
              <w:rPr>
                <w:rFonts w:ascii="Calibri" w:hAnsi="Calibri" w:eastAsia="Calibri" w:cs="Calibri"/>
                <w:b w:val="0"/>
                <w:sz w:val="18"/>
              </w:rPr>
              <w:t>1,665.5</w:t>
            </w:r>
          </w:p>
        </w:tc>
        <w:tc>
          <w:tcPr>
            <w:tcW w:w="3968" w:type="dxa"/>
          </w:tcPr>
          <w:p>
            <w:pPr>
              <w:keepNext/>
              <w:spacing w:before="0" w:after="0" w:line="240" w:lineRule="auto"/>
            </w:pPr>
            <w:r>
              <w:rPr>
                <w:rFonts w:ascii="Calibri" w:hAnsi="Calibri" w:eastAsia="Calibri" w:cs="Calibri"/>
                <w:b w:val="0"/>
                <w:sz w:val="18"/>
              </w:rPr>
              <w:t>10-K FY26; 10-Q Q2 FY27 (FY + 6M − prior 6M)</w:t>
            </w:r>
          </w:p>
        </w:tc>
      </w:tr>
      <w:tr>
        <w:trPr>
          <w:cantSplit/>
        </w:trPr>
        <w:tc>
          <w:tcPr>
            <w:tcW w:w="3000" w:type="dxa"/>
          </w:tcPr>
          <w:p>
            <w:pPr>
              <w:keepNext/>
              <w:spacing w:before="0" w:after="0" w:line="240" w:lineRule="auto"/>
            </w:pPr>
            <w:r>
              <w:rPr>
                <w:rFonts w:ascii="Calibri" w:hAnsi="Calibri" w:eastAsia="Calibri" w:cs="Calibri"/>
                <w:b/>
                <w:sz w:val="18"/>
              </w:rPr>
              <w:t>Capex incl. capitalized software</w:t>
            </w:r>
          </w:p>
        </w:tc>
        <w:tc>
          <w:tcPr>
            <w:tcW w:w="1700" w:type="dxa"/>
          </w:tcPr>
          <w:p>
            <w:pPr>
              <w:keepNext/>
              <w:spacing w:before="0" w:after="0" w:line="240" w:lineRule="auto"/>
            </w:pPr>
            <w:r>
              <w:rPr>
                <w:rFonts w:ascii="Calibri" w:hAnsi="Calibri" w:eastAsia="Calibri" w:cs="Calibri"/>
                <w:b w:val="0"/>
                <w:sz w:val="18"/>
              </w:rPr>
              <w:t>(29.1)</w:t>
            </w:r>
          </w:p>
        </w:tc>
        <w:tc>
          <w:tcPr>
            <w:tcW w:w="1700" w:type="dxa"/>
          </w:tcPr>
          <w:p>
            <w:pPr>
              <w:keepNext/>
              <w:spacing w:before="0" w:after="0" w:line="240" w:lineRule="auto"/>
            </w:pPr>
            <w:r>
              <w:rPr>
                <w:rFonts w:ascii="Calibri" w:hAnsi="Calibri" w:eastAsia="Calibri" w:cs="Calibri"/>
                <w:b w:val="0"/>
                <w:sz w:val="18"/>
              </w:rPr>
              <w:t>(26.7)</w:t>
            </w:r>
          </w:p>
        </w:tc>
        <w:tc>
          <w:tcPr>
            <w:tcW w:w="3968" w:type="dxa"/>
          </w:tcPr>
          <w:p>
            <w:pPr>
              <w:keepNext/>
              <w:spacing w:before="0" w:after="0" w:line="240" w:lineRule="auto"/>
            </w:pPr>
            <w:r>
              <w:rPr>
                <w:rFonts w:ascii="Calibri" w:hAnsi="Calibri" w:eastAsia="Calibri" w:cs="Calibri"/>
                <w:b w:val="0"/>
                <w:sz w:val="18"/>
              </w:rPr>
              <w:t>XBRL PaymentsForSoftware (no PP&amp;E-purchase fact)</w:t>
            </w:r>
          </w:p>
        </w:tc>
      </w:tr>
      <w:tr>
        <w:trPr>
          <w:cantSplit/>
        </w:trPr>
        <w:tc>
          <w:tcPr>
            <w:tcW w:w="3000" w:type="dxa"/>
          </w:tcPr>
          <w:p>
            <w:pPr>
              <w:keepNext/>
              <w:spacing w:before="0" w:after="0" w:line="240" w:lineRule="auto"/>
            </w:pPr>
            <w:r>
              <w:rPr>
                <w:rFonts w:ascii="Calibri" w:hAnsi="Calibri" w:eastAsia="Calibri" w:cs="Calibri"/>
                <w:b/>
                <w:sz w:val="18"/>
              </w:rPr>
              <w:t>Stock-based compensation</w:t>
            </w:r>
          </w:p>
        </w:tc>
        <w:tc>
          <w:tcPr>
            <w:tcW w:w="1700" w:type="dxa"/>
          </w:tcPr>
          <w:p>
            <w:pPr>
              <w:keepNext/>
              <w:spacing w:before="0" w:after="0" w:line="240" w:lineRule="auto"/>
            </w:pPr>
            <w:r>
              <w:rPr>
                <w:rFonts w:ascii="Calibri" w:hAnsi="Calibri" w:eastAsia="Calibri" w:cs="Calibri"/>
                <w:b w:val="0"/>
                <w:sz w:val="18"/>
              </w:rPr>
              <w:t>(472.7)</w:t>
            </w:r>
          </w:p>
        </w:tc>
        <w:tc>
          <w:tcPr>
            <w:tcW w:w="1700" w:type="dxa"/>
          </w:tcPr>
          <w:p>
            <w:pPr>
              <w:keepNext/>
              <w:spacing w:before="0" w:after="0" w:line="240" w:lineRule="auto"/>
            </w:pPr>
            <w:r>
              <w:rPr>
                <w:rFonts w:ascii="Calibri" w:hAnsi="Calibri" w:eastAsia="Calibri" w:cs="Calibri"/>
                <w:b w:val="0"/>
                <w:sz w:val="18"/>
              </w:rPr>
              <w:t>(494.6)</w:t>
            </w:r>
          </w:p>
        </w:tc>
        <w:tc>
          <w:tcPr>
            <w:tcW w:w="3968" w:type="dxa"/>
          </w:tcPr>
          <w:p>
            <w:pPr>
              <w:keepNext/>
              <w:spacing w:before="0" w:after="0" w:line="240" w:lineRule="auto"/>
            </w:pPr>
            <w:r>
              <w:rPr>
                <w:rFonts w:ascii="Calibri" w:hAnsi="Calibri" w:eastAsia="Calibri" w:cs="Calibri"/>
                <w:b w:val="0"/>
                <w:sz w:val="18"/>
              </w:rPr>
              <w:t>cash-flow statement</w:t>
            </w:r>
          </w:p>
        </w:tc>
      </w:tr>
      <w:tr>
        <w:trPr>
          <w:cantSplit/>
        </w:trPr>
        <w:tc>
          <w:tcPr>
            <w:tcW w:w="3000" w:type="dxa"/>
          </w:tcPr>
          <w:p>
            <w:pPr>
              <w:keepNext/>
              <w:spacing w:before="0" w:after="0" w:line="240" w:lineRule="auto"/>
            </w:pPr>
            <w:r>
              <w:rPr>
                <w:rFonts w:ascii="Calibri" w:hAnsi="Calibri" w:eastAsia="Calibri" w:cs="Calibri"/>
                <w:b/>
                <w:sz w:val="18"/>
              </w:rPr>
              <w:t>FCF after stock comp (Part 10)</w:t>
            </w:r>
          </w:p>
        </w:tc>
        <w:tc>
          <w:tcPr>
            <w:tcW w:w="1700" w:type="dxa"/>
          </w:tcPr>
          <w:p>
            <w:pPr>
              <w:keepNext/>
              <w:spacing w:before="0" w:after="0" w:line="240" w:lineRule="auto"/>
            </w:pPr>
            <w:r>
              <w:rPr>
                <w:rFonts w:ascii="Calibri" w:hAnsi="Calibri" w:eastAsia="Calibri" w:cs="Calibri"/>
                <w:b w:val="0"/>
                <w:sz w:val="18"/>
              </w:rPr>
              <w:t>913.4</w:t>
            </w:r>
          </w:p>
        </w:tc>
        <w:tc>
          <w:tcPr>
            <w:tcW w:w="1700" w:type="dxa"/>
          </w:tcPr>
          <w:p>
            <w:pPr>
              <w:keepNext/>
              <w:spacing w:before="0" w:after="0" w:line="240" w:lineRule="auto"/>
            </w:pPr>
            <w:r>
              <w:rPr>
                <w:rFonts w:ascii="Calibri" w:hAnsi="Calibri" w:eastAsia="Calibri" w:cs="Calibri"/>
                <w:b w:val="0"/>
                <w:sz w:val="18"/>
              </w:rPr>
              <w:t>1,144.2</w:t>
            </w:r>
          </w:p>
        </w:tc>
        <w:tc>
          <w:tcPr>
            <w:tcW w:w="3968" w:type="dxa"/>
          </w:tcPr>
          <w:p>
            <w:pPr>
              <w:keepNext/>
              <w:spacing w:before="0" w:after="0" w:line="240" w:lineRule="auto"/>
            </w:pPr>
            <w:r>
              <w:rPr>
                <w:rFonts w:ascii="Calibri" w:hAnsi="Calibri" w:eastAsia="Calibri" w:cs="Calibri"/>
                <w:b w:val="0"/>
                <w:sz w:val="18"/>
              </w:rPr>
              <w:t>per share $5.64 / $7.07 on 161.9M sh</w:t>
            </w:r>
          </w:p>
        </w:tc>
      </w:tr>
      <w:tr>
        <w:trPr>
          <w:cantSplit/>
        </w:trPr>
        <w:tc>
          <w:tcPr>
            <w:tcW w:w="3000" w:type="dxa"/>
          </w:tcPr>
          <w:p>
            <w:pPr>
              <w:keepNext/>
              <w:spacing w:before="0" w:after="0" w:line="240" w:lineRule="auto"/>
            </w:pPr>
            <w:r>
              <w:rPr>
                <w:rFonts w:ascii="Calibri" w:hAnsi="Calibri" w:eastAsia="Calibri" w:cs="Calibri"/>
                <w:b/>
                <w:sz w:val="18"/>
              </w:rPr>
              <w:t>P/FCF at $283.50</w:t>
            </w:r>
          </w:p>
        </w:tc>
        <w:tc>
          <w:tcPr>
            <w:tcW w:w="1700" w:type="dxa"/>
          </w:tcPr>
          <w:p>
            <w:pPr>
              <w:keepNext/>
              <w:spacing w:before="0" w:after="0" w:line="240" w:lineRule="auto"/>
            </w:pPr>
            <w:r>
              <w:rPr>
                <w:rFonts w:ascii="Calibri" w:hAnsi="Calibri" w:eastAsia="Calibri" w:cs="Calibri"/>
                <w:b w:val="0"/>
                <w:sz w:val="18"/>
              </w:rPr>
              <w:t>50.3x</w:t>
            </w:r>
          </w:p>
        </w:tc>
        <w:tc>
          <w:tcPr>
            <w:tcW w:w="1700" w:type="dxa"/>
          </w:tcPr>
          <w:p>
            <w:pPr>
              <w:keepNext/>
              <w:spacing w:before="0" w:after="0" w:line="240" w:lineRule="auto"/>
            </w:pPr>
            <w:r>
              <w:rPr>
                <w:rFonts w:ascii="Calibri" w:hAnsi="Calibri" w:eastAsia="Calibri" w:cs="Calibri"/>
                <w:b w:val="0"/>
                <w:sz w:val="18"/>
              </w:rPr>
              <w:t>40.1x</w:t>
            </w:r>
          </w:p>
        </w:tc>
        <w:tc>
          <w:tcPr>
            <w:tcW w:w="3968" w:type="dxa"/>
          </w:tcPr>
          <w:p>
            <w:pPr>
              <w:keepNext/>
              <w:spacing w:before="0" w:after="0" w:line="240" w:lineRule="auto"/>
            </w:pPr>
            <w:r>
              <w:rPr>
                <w:rFonts w:ascii="Calibri" w:hAnsi="Calibri" w:eastAsia="Calibri" w:cs="Calibri"/>
                <w:b w:val="0"/>
                <w:sz w:val="18"/>
              </w:rPr>
              <w:t>market cap basis; net cash $7.1B not credited</w:t>
            </w:r>
          </w:p>
        </w:tc>
      </w:tr>
      <w:tr>
        <w:trPr>
          <w:cantSplit/>
        </w:trPr>
        <w:tc>
          <w:tcPr>
            <w:tcW w:w="3000" w:type="dxa"/>
          </w:tcPr>
          <w:p>
            <w:pPr>
              <w:spacing w:before="0" w:after="0" w:line="240" w:lineRule="auto"/>
            </w:pPr>
            <w:r>
              <w:rPr>
                <w:rFonts w:ascii="Calibri" w:hAnsi="Calibri" w:eastAsia="Calibri" w:cs="Calibri"/>
                <w:b/>
                <w:sz w:val="18"/>
              </w:rPr>
              <w:t>Price where P/FCF = 50x</w:t>
            </w:r>
          </w:p>
        </w:tc>
        <w:tc>
          <w:tcPr>
            <w:tcW w:w="1700" w:type="dxa"/>
          </w:tcPr>
          <w:p>
            <w:pPr>
              <w:spacing w:before="0" w:after="0" w:line="240" w:lineRule="auto"/>
            </w:pPr>
            <w:r>
              <w:rPr>
                <w:rFonts w:ascii="Calibri" w:hAnsi="Calibri" w:eastAsia="Calibri" w:cs="Calibri"/>
                <w:b w:val="0"/>
                <w:sz w:val="18"/>
              </w:rPr>
              <w:t>$282</w:t>
            </w:r>
          </w:p>
        </w:tc>
        <w:tc>
          <w:tcPr>
            <w:tcW w:w="1700" w:type="dxa"/>
          </w:tcPr>
          <w:p>
            <w:pPr>
              <w:spacing w:before="0" w:after="0" w:line="240" w:lineRule="auto"/>
            </w:pPr>
            <w:r>
              <w:rPr>
                <w:rFonts w:ascii="Calibri" w:hAnsi="Calibri" w:eastAsia="Calibri" w:cs="Calibri"/>
                <w:b w:val="0"/>
                <w:sz w:val="18"/>
              </w:rPr>
              <w:t>$353</w:t>
            </w:r>
          </w:p>
        </w:tc>
        <w:tc>
          <w:tcPr>
            <w:tcW w:w="3968" w:type="dxa"/>
          </w:tcPr>
          <w:p>
            <w:pPr>
              <w:spacing w:before="0" w:after="0" w:line="240" w:lineRule="auto"/>
            </w:pPr>
            <w:r>
              <w:rPr>
                <w:rFonts w:ascii="Calibri" w:hAnsi="Calibri" w:eastAsia="Calibri" w:cs="Calibri"/>
                <w:b w:val="0"/>
                <w:sz w:val="18"/>
              </w:rPr>
            </w:r>
          </w:p>
        </w:tc>
      </w:tr>
    </w:tbl>
    <w:p>
      <w:pPr>
        <w:spacing w:before="60" w:after="40"/>
      </w:pPr>
      <w:r>
        <w:rPr>
          <w:rFonts w:ascii="Calibri" w:hAnsi="Calibri" w:eastAsia="Calibri" w:cs="Calibri"/>
          <w:b w:val="0"/>
          <w:i w:val="0"/>
          <w:sz w:val="19"/>
        </w:rPr>
        <w:t>You ruled the trailing basis on 10/6 (the rule speaks of the current multiple, and FY26 ended eight months ago), so the Entry Checklist row stays at 40.4x and reads YES. For the record, FY26 would have failed the ceiling above $282, with no exception available (it needs consensus FCF growth above 30%; consensus is about 12.5%). The ruling is in the Journal (row 102).</w:t>
      </w:r>
    </w:p>
    <w:p>
      <w:pPr>
        <w:keepNext/>
        <w:spacing w:before="200" w:after="60"/>
      </w:pPr>
      <w:r>
        <w:rPr>
          <w:rFonts w:ascii="Calibri" w:hAnsi="Calibri" w:eastAsia="Calibri" w:cs="Calibri"/>
          <w:b/>
          <w:color w:val="1F3864"/>
          <w:sz w:val="24"/>
        </w:rPr>
        <w:t>5. Already in the live workbook (committed 10/6; this morning's Drawdown Log entry is not yet)</w:t>
      </w:r>
    </w:p>
    <w:p>
      <w:pPr>
        <w:spacing w:before="0" w:after="30"/>
        <w:ind w:left="403" w:hanging="288"/>
      </w:pPr>
      <w:r>
        <w:rPr>
          <w:rFonts w:ascii="Calibri" w:hAnsi="Calibri" w:eastAsia="Calibri" w:cs="Calibri"/>
          <w:sz w:val="19"/>
        </w:rPr>
        <w:t>•  Entry Checklist: table extended to A2:S51 (rows 48–51 = KGS, ABT, SLB, VEEV). SLB's row reads DO NOT ENTER (Base +6.2%, Bear −9.4%) and stays as the record; VEEV's reads YES / Initiate: Standard initial size.</w:t>
      </w:r>
    </w:p>
    <w:p>
      <w:pPr>
        <w:spacing w:before="0" w:after="30"/>
        <w:ind w:left="403" w:hanging="288"/>
      </w:pPr>
      <w:r>
        <w:rPr>
          <w:rFonts w:ascii="Calibri" w:hAnsi="Calibri" w:eastAsia="Calibri" w:cs="Calibri"/>
          <w:sz w:val="19"/>
        </w:rPr>
        <w:t>•  Rule 14 column corrected on every row: it had read the Rule 13 tag check as the P/FCF, the P/FCF as the growth rate, and the Base case where the rule names the Bear case, so the 50x ceiling was never enforced (V's row said "exception met" at 34.4x; it now says "within ceiling" and stays YES).</w:t>
      </w:r>
    </w:p>
    <w:p>
      <w:pPr>
        <w:spacing w:before="0" w:after="30"/>
        <w:ind w:left="403" w:hanging="288"/>
      </w:pPr>
      <w:r>
        <w:rPr>
          <w:rFonts w:ascii="Calibri" w:hAnsi="Calibri" w:eastAsia="Calibri" w:cs="Calibri"/>
          <w:sz w:val="19"/>
        </w:rPr>
        <w:t>•  Implied-Return rows 51 (SLB) and 52 (VEEV); Action Items counts and Schema Reference ranges; Open Items #24 closed (Moat 4), #33 (NBIX, paused), #34 (SLB/ABT, paused to 10/13) and #35 (NFLX) added; Journal rows 100–103. Audit: 69 of 71 pass (the two standing scoring_verification findings).</w:t>
      </w:r>
    </w:p>
    <w:p>
      <w:pPr>
        <w:spacing w:before="0" w:after="30"/>
        <w:ind w:left="403" w:hanging="288"/>
      </w:pPr>
      <w:r>
        <w:rPr>
          <w:rFonts w:ascii="Calibri" w:hAnsi="Calibri" w:eastAsia="Calibri" w:cs="Calibri"/>
          <w:sz w:val="19"/>
        </w:rPr>
        <w:t>•  GE and NFLX backfilled (Journal row 102): their Entry Checklist and Implied-Return rows were blank. Both clear Rules 12–14 (GE only just: Base +11.6%, Bear +0.6%; NFLX Base +15.0%, Bear +3.1%, after taking out the $2.8B Warner Bros. fee). NFLX's 9/30 purchase was about $2.9K over its 50% staged limit, which you accepted as an exception (the 90-day review is still due 12/29: Open Items #35). I also fixed a bug in the SEC trailing-12-month tool that had misread NFLX's cash flow; no earlier decision changes.</w:t>
      </w:r>
    </w:p>
    <w:p>
      <w:pPr>
        <w:keepNext/>
        <w:spacing w:before="200" w:after="60"/>
      </w:pPr>
      <w:r>
        <w:rPr>
          <w:rFonts w:ascii="Calibri" w:hAnsi="Calibri" w:eastAsia="Calibri" w:cs="Calibri"/>
          <w:b/>
          <w:color w:val="1F3864"/>
          <w:sz w:val="24"/>
        </w:rPr>
        <w:t>6. After the fill</w:t>
      </w:r>
    </w:p>
    <w:p>
      <w:pPr>
        <w:spacing w:before="0" w:after="40"/>
      </w:pPr>
      <w:r>
        <w:rPr>
          <w:rFonts w:ascii="Calibri" w:hAnsi="Calibri" w:eastAsia="Calibri" w:cs="Calibri"/>
          <w:b w:val="0"/>
          <w:i w:val="0"/>
          <w:sz w:val="20"/>
        </w:rPr>
        <w:t>Tell me the fill (or I read it from Activity &amp; Orders). Then one bookkeeping pass, so Current Positions changes once:</w:t>
      </w:r>
    </w:p>
    <w:p>
      <w:pPr>
        <w:spacing w:before="0" w:after="30"/>
        <w:ind w:left="403" w:hanging="288"/>
      </w:pPr>
      <w:r>
        <w:rPr>
          <w:rFonts w:ascii="Calibri" w:hAnsi="Calibri" w:eastAsia="Calibri" w:cs="Calibri"/>
          <w:sz w:val="19"/>
        </w:rPr>
        <w:t>•  Current Positions: cash rows to the real balances, SPMO at Fidelity 100 → 70 sh (cost basis an average-cost estimate unless you give me the lots), and VEEV's row (a row insertion, so I rehearse it first and you reopen the file in Excel).</w:t>
      </w:r>
    </w:p>
    <w:p>
      <w:pPr>
        <w:spacing w:before="0" w:after="30"/>
        <w:ind w:left="403" w:hanging="288"/>
      </w:pPr>
      <w:r>
        <w:rPr>
          <w:rFonts w:ascii="Calibri" w:hAnsi="Calibri" w:eastAsia="Calibri" w:cs="Calibri"/>
          <w:sz w:val="19"/>
        </w:rPr>
        <w:t>•  Performance Tracking: VEEV System lot; the SPMO partial sale as a sold baseline lot plus a rebase. Then `landry prices add VEEV`, Monitor Category → Owned plus `monitor stamp`, a Journal entry for the fills, and the DCA-CATCHUP-2 rows of the Process Checklist.</w:t>
      </w:r>
    </w:p>
    <w:p>
      <w:pPr>
        <w:spacing w:before="0" w:after="30"/>
        <w:ind w:left="403" w:hanging="288"/>
      </w:pPr>
      <w:r>
        <w:rPr>
          <w:rFonts w:ascii="Calibri" w:hAnsi="Calibri" w:eastAsia="Calibri" w:cs="Calibri"/>
          <w:sz w:val="19"/>
        </w:rPr>
        <w:t>•  From you: which SPMO lots you sold (Part 8, Rule 42).</w:t>
      </w:r>
    </w:p>
    <w:p>
      <w:pPr>
        <w:keepNext/>
        <w:spacing w:before="200" w:after="60"/>
      </w:pPr>
      <w:r>
        <w:rPr>
          <w:rFonts w:ascii="Calibri" w:hAnsi="Calibri" w:eastAsia="Calibri" w:cs="Calibri"/>
          <w:b/>
          <w:color w:val="1F3864"/>
          <w:sz w:val="24"/>
        </w:rPr>
        <w:t>7. The remainder of the tranche</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000"/>
        <w:gridCol w:w="1700"/>
        <w:gridCol w:w="6068"/>
        <w:gridCol w:w="1600"/>
      </w:tblGrid>
      <w:tr>
        <w:trPr>
          <w:cantSplit/>
          <w:tblHeader/>
        </w:trPr>
        <w:tc>
          <w:tcPr>
            <w:tcW w:w="1000" w:type="dxa"/>
            <w:shd w:val="clear" w:color="auto" w:fill="E7E6E6"/>
          </w:tcPr>
          <w:p>
            <w:pPr>
              <w:keepNext/>
              <w:spacing w:before="0" w:after="0" w:line="240" w:lineRule="auto"/>
            </w:pPr>
            <w:r>
              <w:rPr>
                <w:rFonts w:ascii="Calibri" w:hAnsi="Calibri" w:eastAsia="Calibri" w:cs="Calibri"/>
                <w:b/>
                <w:color w:val="1F3864"/>
                <w:sz w:val="18"/>
              </w:rPr>
              <w:t>Name</w:t>
            </w:r>
          </w:p>
        </w:tc>
        <w:tc>
          <w:tcPr>
            <w:tcW w:w="1700" w:type="dxa"/>
            <w:shd w:val="clear" w:color="auto" w:fill="E7E6E6"/>
          </w:tcPr>
          <w:p>
            <w:pPr>
              <w:keepNext/>
              <w:spacing w:before="0" w:after="0" w:line="240" w:lineRule="auto"/>
            </w:pPr>
            <w:r>
              <w:rPr>
                <w:rFonts w:ascii="Calibri" w:hAnsi="Calibri" w:eastAsia="Calibri" w:cs="Calibri"/>
                <w:b/>
                <w:color w:val="1F3864"/>
                <w:sz w:val="18"/>
              </w:rPr>
              <w:t>Status</w:t>
            </w:r>
          </w:p>
        </w:tc>
        <w:tc>
          <w:tcPr>
            <w:tcW w:w="6068" w:type="dxa"/>
            <w:shd w:val="clear" w:color="auto" w:fill="E7E6E6"/>
          </w:tcPr>
          <w:p>
            <w:pPr>
              <w:keepNext/>
              <w:spacing w:before="0" w:after="0" w:line="240" w:lineRule="auto"/>
            </w:pPr>
            <w:r>
              <w:rPr>
                <w:rFonts w:ascii="Calibri" w:hAnsi="Calibri" w:eastAsia="Calibri" w:cs="Calibri"/>
                <w:b/>
                <w:color w:val="1F3864"/>
                <w:sz w:val="18"/>
              </w:rPr>
              <w:t>Why</w:t>
            </w:r>
          </w:p>
        </w:tc>
        <w:tc>
          <w:tcPr>
            <w:tcW w:w="1600" w:type="dxa"/>
            <w:shd w:val="clear" w:color="auto" w:fill="E7E6E6"/>
          </w:tcPr>
          <w:p>
            <w:pPr>
              <w:keepNext/>
              <w:spacing w:before="0" w:after="0" w:line="240" w:lineRule="auto"/>
            </w:pPr>
            <w:r>
              <w:rPr>
                <w:rFonts w:ascii="Calibri" w:hAnsi="Calibri" w:eastAsia="Calibri" w:cs="Calibri"/>
                <w:b/>
                <w:color w:val="1F3864"/>
                <w:sz w:val="18"/>
              </w:rPr>
              <w:t>Earnings</w:t>
            </w:r>
          </w:p>
        </w:tc>
      </w:tr>
      <w:tr>
        <w:trPr>
          <w:cantSplit/>
        </w:trPr>
        <w:tc>
          <w:tcPr>
            <w:tcW w:w="1000" w:type="dxa"/>
          </w:tcPr>
          <w:p>
            <w:pPr>
              <w:keepNext/>
              <w:spacing w:before="0" w:after="0" w:line="240" w:lineRule="auto"/>
            </w:pPr>
            <w:r>
              <w:rPr>
                <w:rFonts w:ascii="Calibri" w:hAnsi="Calibri" w:eastAsia="Calibri" w:cs="Calibri"/>
                <w:b/>
                <w:sz w:val="18"/>
              </w:rPr>
              <w:t>NBIX</w:t>
            </w:r>
          </w:p>
        </w:tc>
        <w:tc>
          <w:tcPr>
            <w:tcW w:w="1700" w:type="dxa"/>
          </w:tcPr>
          <w:p>
            <w:pPr>
              <w:keepNext/>
              <w:spacing w:before="0" w:after="0" w:line="240" w:lineRule="auto"/>
            </w:pPr>
            <w:r>
              <w:rPr>
                <w:rFonts w:ascii="Calibri" w:hAnsi="Calibri" w:eastAsia="Calibri" w:cs="Calibri"/>
                <w:b/>
                <w:sz w:val="18"/>
              </w:rPr>
              <w:t>paused (you, 10/6)</w:t>
            </w:r>
          </w:p>
        </w:tc>
        <w:tc>
          <w:tcPr>
            <w:tcW w:w="6068" w:type="dxa"/>
          </w:tcPr>
          <w:p>
            <w:pPr>
              <w:keepNext/>
              <w:spacing w:before="0" w:after="0" w:line="240" w:lineRule="auto"/>
            </w:pPr>
            <w:r>
              <w:rPr>
                <w:rFonts w:ascii="Calibri" w:hAnsi="Calibri" w:eastAsia="Calibri" w:cs="Calibri"/>
                <w:b w:val="0"/>
                <w:sz w:val="18"/>
              </w:rPr>
              <w:t>The event risk (Vykat XR safety reports, the Justice Department inquiry) needs more time to evaluate; no further work until you reopen it. First pass is in NBIX_Part12_Workup_DRAFT.</w:t>
            </w:r>
          </w:p>
        </w:tc>
        <w:tc>
          <w:tcPr>
            <w:tcW w:w="1600" w:type="dxa"/>
          </w:tcPr>
          <w:p>
            <w:pPr>
              <w:keepNext/>
              <w:spacing w:before="0" w:after="0" w:line="240" w:lineRule="auto"/>
            </w:pPr>
            <w:r>
              <w:rPr>
                <w:rFonts w:ascii="Calibri" w:hAnsi="Calibri" w:eastAsia="Calibri" w:cs="Calibri"/>
                <w:b w:val="0"/>
                <w:sz w:val="18"/>
              </w:rPr>
              <w:t>10/26</w:t>
            </w:r>
          </w:p>
        </w:tc>
      </w:tr>
      <w:tr>
        <w:trPr>
          <w:cantSplit/>
        </w:trPr>
        <w:tc>
          <w:tcPr>
            <w:tcW w:w="1000" w:type="dxa"/>
          </w:tcPr>
          <w:p>
            <w:pPr>
              <w:keepNext/>
              <w:spacing w:before="0" w:after="0" w:line="240" w:lineRule="auto"/>
            </w:pPr>
            <w:r>
              <w:rPr>
                <w:rFonts w:ascii="Calibri" w:hAnsi="Calibri" w:eastAsia="Calibri" w:cs="Calibri"/>
                <w:b/>
                <w:sz w:val="18"/>
              </w:rPr>
              <w:t>SPOT</w:t>
            </w:r>
          </w:p>
        </w:tc>
        <w:tc>
          <w:tcPr>
            <w:tcW w:w="1700" w:type="dxa"/>
          </w:tcPr>
          <w:p>
            <w:pPr>
              <w:keepNext/>
              <w:spacing w:before="0" w:after="0" w:line="240" w:lineRule="auto"/>
            </w:pPr>
            <w:r>
              <w:rPr>
                <w:rFonts w:ascii="Calibri" w:hAnsi="Calibri" w:eastAsia="Calibri" w:cs="Calibri"/>
                <w:b/>
                <w:sz w:val="18"/>
              </w:rPr>
              <w:t>alternate; no workup</w:t>
            </w:r>
          </w:p>
        </w:tc>
        <w:tc>
          <w:tcPr>
            <w:tcW w:w="6068" w:type="dxa"/>
          </w:tcPr>
          <w:p>
            <w:pPr>
              <w:keepNext/>
              <w:spacing w:before="0" w:after="0" w:line="240" w:lineRule="auto"/>
            </w:pPr>
            <w:r>
              <w:rPr>
                <w:rFonts w:ascii="Calibri" w:hAnsi="Calibri" w:eastAsia="Calibri" w:cs="Calibri"/>
                <w:b w:val="0"/>
                <w:sz w:val="18"/>
              </w:rPr>
              <w:t>Quant 4 / 4 / 4, ROIC 5; relative strength 1 triggers Rule 5.</w:t>
            </w:r>
          </w:p>
        </w:tc>
        <w:tc>
          <w:tcPr>
            <w:tcW w:w="1600" w:type="dxa"/>
          </w:tcPr>
          <w:p>
            <w:pPr>
              <w:keepNext/>
              <w:spacing w:before="0" w:after="0" w:line="240" w:lineRule="auto"/>
            </w:pPr>
            <w:r>
              <w:rPr>
                <w:rFonts w:ascii="Calibri" w:hAnsi="Calibri" w:eastAsia="Calibri" w:cs="Calibri"/>
                <w:b w:val="0"/>
                <w:sz w:val="18"/>
              </w:rPr>
              <w:t>10/22</w:t>
            </w:r>
          </w:p>
        </w:tc>
      </w:tr>
      <w:tr>
        <w:trPr>
          <w:cantSplit/>
        </w:trPr>
        <w:tc>
          <w:tcPr>
            <w:tcW w:w="1000" w:type="dxa"/>
          </w:tcPr>
          <w:p>
            <w:pPr>
              <w:keepNext/>
              <w:spacing w:before="0" w:after="0" w:line="240" w:lineRule="auto"/>
            </w:pPr>
            <w:r>
              <w:rPr>
                <w:rFonts w:ascii="Calibri" w:hAnsi="Calibri" w:eastAsia="Calibri" w:cs="Calibri"/>
                <w:b/>
                <w:sz w:val="18"/>
              </w:rPr>
              <w:t>ABT</w:t>
            </w:r>
          </w:p>
        </w:tc>
        <w:tc>
          <w:tcPr>
            <w:tcW w:w="1700" w:type="dxa"/>
          </w:tcPr>
          <w:p>
            <w:pPr>
              <w:keepNext/>
              <w:spacing w:before="0" w:after="0" w:line="240" w:lineRule="auto"/>
            </w:pPr>
            <w:r>
              <w:rPr>
                <w:rFonts w:ascii="Calibri" w:hAnsi="Calibri" w:eastAsia="Calibri" w:cs="Calibri"/>
                <w:b/>
                <w:sz w:val="18"/>
              </w:rPr>
              <w:t>re-look paused to 10/13</w:t>
            </w:r>
          </w:p>
        </w:tc>
        <w:tc>
          <w:tcPr>
            <w:tcW w:w="6068" w:type="dxa"/>
          </w:tcPr>
          <w:p>
            <w:pPr>
              <w:keepNext/>
              <w:spacing w:before="0" w:after="0" w:line="240" w:lineRule="auto"/>
            </w:pPr>
            <w:r>
              <w:rPr>
                <w:rFonts w:ascii="Calibri" w:hAnsi="Calibri" w:eastAsia="Calibri" w:cs="Calibri"/>
                <w:b w:val="0"/>
                <w:sz w:val="18"/>
              </w:rPr>
              <w:t>Passes Rule 12 narrowly (+10.5% / +2.5%); relative strength 1, MACD negative (half size ≈ $10.9K), Fidelity Bearish 2.9, $46M non-plan CEO sale.</w:t>
            </w:r>
          </w:p>
        </w:tc>
        <w:tc>
          <w:tcPr>
            <w:tcW w:w="1600" w:type="dxa"/>
          </w:tcPr>
          <w:p>
            <w:pPr>
              <w:keepNext/>
              <w:spacing w:before="0" w:after="0" w:line="240" w:lineRule="auto"/>
            </w:pPr>
            <w:r>
              <w:rPr>
                <w:rFonts w:ascii="Calibri" w:hAnsi="Calibri" w:eastAsia="Calibri" w:cs="Calibri"/>
                <w:b w:val="0"/>
                <w:sz w:val="18"/>
              </w:rPr>
              <w:t>10/21</w:t>
            </w:r>
          </w:p>
        </w:tc>
      </w:tr>
      <w:tr>
        <w:trPr>
          <w:cantSplit/>
        </w:trPr>
        <w:tc>
          <w:tcPr>
            <w:tcW w:w="1000" w:type="dxa"/>
          </w:tcPr>
          <w:p>
            <w:pPr>
              <w:keepNext/>
              <w:spacing w:before="0" w:after="0" w:line="240" w:lineRule="auto"/>
            </w:pPr>
            <w:r>
              <w:rPr>
                <w:rFonts w:ascii="Calibri" w:hAnsi="Calibri" w:eastAsia="Calibri" w:cs="Calibri"/>
                <w:b/>
                <w:sz w:val="18"/>
              </w:rPr>
              <w:t>SLB</w:t>
            </w:r>
          </w:p>
        </w:tc>
        <w:tc>
          <w:tcPr>
            <w:tcW w:w="1700" w:type="dxa"/>
          </w:tcPr>
          <w:p>
            <w:pPr>
              <w:keepNext/>
              <w:spacing w:before="0" w:after="0" w:line="240" w:lineRule="auto"/>
            </w:pPr>
            <w:r>
              <w:rPr>
                <w:rFonts w:ascii="Calibri" w:hAnsi="Calibri" w:eastAsia="Calibri" w:cs="Calibri"/>
                <w:b/>
                <w:sz w:val="18"/>
              </w:rPr>
              <w:t>failed; paused to 10/13</w:t>
            </w:r>
          </w:p>
        </w:tc>
        <w:tc>
          <w:tcPr>
            <w:tcW w:w="6068" w:type="dxa"/>
          </w:tcPr>
          <w:p>
            <w:pPr>
              <w:keepNext/>
              <w:spacing w:before="0" w:after="0" w:line="240" w:lineRule="auto"/>
            </w:pPr>
            <w:r>
              <w:rPr>
                <w:rFonts w:ascii="Calibri" w:hAnsi="Calibri" w:eastAsia="Calibri" w:cs="Calibri"/>
                <w:b w:val="0"/>
                <w:sz w:val="18"/>
              </w:rPr>
              <w:t>Base +6.2%, Bear −9.4%; needs about 9.3% a year of per-share FCF growth at 16.8x (consensus ≈ 7.8%).</w:t>
            </w:r>
          </w:p>
        </w:tc>
        <w:tc>
          <w:tcPr>
            <w:tcW w:w="1600" w:type="dxa"/>
          </w:tcPr>
          <w:p>
            <w:pPr>
              <w:keepNext/>
              <w:spacing w:before="0" w:after="0" w:line="240" w:lineRule="auto"/>
            </w:pPr>
            <w:r>
              <w:rPr>
                <w:rFonts w:ascii="Calibri" w:hAnsi="Calibri" w:eastAsia="Calibri" w:cs="Calibri"/>
                <w:b w:val="0"/>
                <w:sz w:val="18"/>
              </w:rPr>
              <w:t>10/23</w:t>
            </w:r>
          </w:p>
        </w:tc>
      </w:tr>
      <w:tr>
        <w:trPr>
          <w:cantSplit/>
        </w:trPr>
        <w:tc>
          <w:tcPr>
            <w:tcW w:w="1000" w:type="dxa"/>
          </w:tcPr>
          <w:p>
            <w:pPr>
              <w:spacing w:before="0" w:after="0" w:line="240" w:lineRule="auto"/>
            </w:pPr>
            <w:r>
              <w:rPr>
                <w:rFonts w:ascii="Calibri" w:hAnsi="Calibri" w:eastAsia="Calibri" w:cs="Calibri"/>
                <w:b/>
                <w:sz w:val="18"/>
              </w:rPr>
              <w:t>GE top-up</w:t>
            </w:r>
          </w:p>
        </w:tc>
        <w:tc>
          <w:tcPr>
            <w:tcW w:w="1700" w:type="dxa"/>
          </w:tcPr>
          <w:p>
            <w:pPr>
              <w:spacing w:before="0" w:after="0" w:line="240" w:lineRule="auto"/>
            </w:pPr>
            <w:r>
              <w:rPr>
                <w:rFonts w:ascii="Calibri" w:hAnsi="Calibri" w:eastAsia="Calibri" w:cs="Calibri"/>
                <w:b/>
                <w:sz w:val="18"/>
              </w:rPr>
              <w:t>too small</w:t>
            </w:r>
          </w:p>
        </w:tc>
        <w:tc>
          <w:tcPr>
            <w:tcW w:w="6068" w:type="dxa"/>
          </w:tcPr>
          <w:p>
            <w:pPr>
              <w:spacing w:before="0" w:after="0" w:line="240" w:lineRule="auto"/>
            </w:pPr>
            <w:r>
              <w:rPr>
                <w:rFonts w:ascii="Calibri" w:hAnsi="Calibri" w:eastAsia="Calibri" w:cs="Calibri"/>
                <w:b w:val="0"/>
                <w:sz w:val="18"/>
              </w:rPr>
              <w:t>About $5K to its initial cap.</w:t>
            </w:r>
          </w:p>
        </w:tc>
        <w:tc>
          <w:tcPr>
            <w:tcW w:w="1600" w:type="dxa"/>
          </w:tcPr>
          <w:p>
            <w:pPr>
              <w:spacing w:before="0" w:after="0" w:line="240" w:lineRule="auto"/>
            </w:pPr>
            <w:r>
              <w:rPr>
                <w:rFonts w:ascii="Calibri" w:hAnsi="Calibri" w:eastAsia="Calibri" w:cs="Calibri"/>
                <w:b w:val="0"/>
                <w:sz w:val="18"/>
              </w:rPr>
              <w:t>10/20</w:t>
            </w:r>
          </w:p>
        </w:tc>
      </w:tr>
    </w:tbl>
    <w:p>
      <w:pPr>
        <w:spacing w:before="60" w:after="40"/>
      </w:pPr>
      <w:r>
        <w:rPr>
          <w:rFonts w:ascii="Calibri" w:hAnsi="Calibri" w:eastAsia="Calibri" w:cs="Calibri"/>
          <w:b w:val="0"/>
          <w:i w:val="0"/>
          <w:sz w:val="19"/>
        </w:rPr>
        <w:t>Earnings season (GE and NFLX 10/20 through NBIX 10/26) crowds the 10/22 tranche; the plan's guardrail is that pace never overrides the Composite ≥ 65 gate, so the unspent ~$20K simply waits.</w:t>
      </w:r>
    </w:p>
    <w:p>
      <w:pPr>
        <w:spacing w:before="60" w:after="60"/>
      </w:pPr>
      <w:r>
        <w:rPr>
          <w:rFonts w:ascii="Calibri" w:hAnsi="Calibri" w:eastAsia="Calibri" w:cs="Calibri"/>
          <w:b w:val="0"/>
          <w:i/>
          <w:color w:val="595959"/>
          <w:sz w:val="17"/>
        </w:rPr>
        <w:t>Sources: Veeva Q2 FY27 release (8/26/26), 10-K FY26 and 10-Q Q2 FY27 (SEC XBRL); Fidelity research pages and Activity &amp; Orders (10/5–10/6); consensus via yfinance; the SEC TTM tool.</w:t>
      </w:r>
    </w:p>
    <w:sectPr w:rsidR="00FC693F" w:rsidRPr="0006063C" w:rsidSect="00034616">
      <w:footerReference w:type="default" r:id="rId9"/>
      <w:pgSz w:w="12240" w:h="15840"/>
      <w:pgMar w:top="864" w:right="936" w:bottom="1008" w:left="93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368" w:val="right"/>
      </w:tabs>
    </w:pPr>
    <w:r>
      <w:rPr>
        <w:rFonts w:ascii="Calibri" w:hAnsi="Calibri" w:eastAsia="Calibri" w:cs="Calibri"/>
        <w:color w:val="595959"/>
        <w:sz w:val="17"/>
      </w:rPr>
      <w:t>10/7/26 DCA entry pack v2</w:t>
      <w:tab/>
      <w:t xml:space="preserve">Page </w:t>
    </w:r>
    <w:r>
      <w:rPr>
        <w:rFonts w:ascii="Calibri" w:hAnsi="Calibri" w:eastAsia="Calibri" w:cs="Calibri"/>
        <w:color w:val="595959"/>
        <w:sz w:val="17"/>
      </w:rPr>
      <w:fldChar w:fldCharType="begin"/>
    </w:r>
    <w:r>
      <w:rPr>
        <w:rFonts w:ascii="Calibri" w:hAnsi="Calibri" w:eastAsia="Calibri" w:cs="Calibri"/>
        <w:color w:val="595959"/>
        <w:sz w:val="17"/>
      </w:rPr>
      <w:instrText xml:space="preserve"> PAGE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r>
      <w:rPr>
        <w:rFonts w:ascii="Calibri" w:hAnsi="Calibri" w:eastAsia="Calibri" w:cs="Calibri"/>
        <w:color w:val="595959"/>
        <w:sz w:val="17"/>
      </w:rPr>
      <w:t xml:space="preserve"> of </w:t>
    </w:r>
    <w:r>
      <w:rPr>
        <w:rFonts w:ascii="Calibri" w:hAnsi="Calibri" w:eastAsia="Calibri" w:cs="Calibri"/>
        <w:color w:val="595959"/>
        <w:sz w:val="17"/>
      </w:rPr>
      <w:fldChar w:fldCharType="begin"/>
    </w:r>
    <w:r>
      <w:rPr>
        <w:rFonts w:ascii="Calibri" w:hAnsi="Calibri" w:eastAsia="Calibri" w:cs="Calibri"/>
        <w:color w:val="595959"/>
        <w:sz w:val="17"/>
      </w:rPr>
      <w:instrText xml:space="preserve"> NUMPAGES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10/7/26 DCA entry pack v2</dc:title>
  <dc:subject/>
  <dc:creator>Landry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