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8DF4D4" w14:textId="0444FC92" w:rsidR="00C00B6D" w:rsidRPr="0023251F" w:rsidRDefault="00C00B6D" w:rsidP="0023251F">
      <w:pPr>
        <w:shd w:val="clear" w:color="auto" w:fill="EAE7DD"/>
        <w:spacing w:after="0" w:line="240" w:lineRule="auto"/>
        <w:ind w:right="-108"/>
        <w:contextualSpacing w:val="0"/>
        <w:rPr>
          <w:rFonts w:ascii="Roboto Mono" w:hAnsi="Roboto Mono"/>
          <w:caps/>
          <w:color w:val="8A3A2F"/>
          <w:spacing w:val="38"/>
          <w:sz w:val="23"/>
          <w:szCs w:val="23"/>
        </w:rPr>
      </w:pPr>
      <w:r w:rsidRPr="0023251F">
        <w:rPr>
          <w:rFonts w:ascii="Roboto Mono" w:hAnsi="Roboto Mono"/>
          <w:caps/>
          <w:color w:val="8A3A2F"/>
          <w:spacing w:val="38"/>
          <w:sz w:val="23"/>
          <w:szCs w:val="23"/>
        </w:rPr>
        <w:t>Advisor Briefing</w:t>
      </w:r>
      <w:r w:rsidR="0023251F" w:rsidRPr="0023251F">
        <w:rPr>
          <w:rFonts w:ascii="Roboto Mono" w:hAnsi="Roboto Mono"/>
          <w:caps/>
          <w:color w:val="8A3A2F"/>
          <w:spacing w:val="38"/>
          <w:sz w:val="23"/>
          <w:szCs w:val="23"/>
        </w:rPr>
        <w:t xml:space="preserve"> </w:t>
      </w:r>
      <w:r w:rsidRPr="0023251F">
        <w:rPr>
          <w:rFonts w:ascii="Roboto Mono" w:hAnsi="Roboto Mono"/>
          <w:caps/>
          <w:color w:val="8A3A2F"/>
          <w:spacing w:val="38"/>
          <w:sz w:val="23"/>
          <w:szCs w:val="23"/>
        </w:rPr>
        <w:t>·</w:t>
      </w:r>
      <w:r w:rsidR="0023251F">
        <w:rPr>
          <w:rFonts w:ascii="Roboto Mono" w:hAnsi="Roboto Mono"/>
          <w:caps/>
          <w:color w:val="8A3A2F"/>
          <w:spacing w:val="38"/>
          <w:sz w:val="23"/>
          <w:szCs w:val="23"/>
        </w:rPr>
        <w:t xml:space="preserve"> </w:t>
      </w:r>
      <w:r w:rsidRPr="0023251F">
        <w:rPr>
          <w:rFonts w:ascii="Roboto Mono" w:hAnsi="Roboto Mono"/>
          <w:caps/>
          <w:color w:val="8A3A2F"/>
          <w:spacing w:val="38"/>
          <w:sz w:val="23"/>
          <w:szCs w:val="23"/>
        </w:rPr>
        <w:t>The Landry Family Equity Operating System</w:t>
      </w:r>
    </w:p>
    <w:p w14:paraId="39F63285" w14:textId="77777777" w:rsidR="00C00B6D" w:rsidRPr="00C00B6D" w:rsidRDefault="00C00B6D" w:rsidP="0023251F">
      <w:pPr>
        <w:shd w:val="clear" w:color="auto" w:fill="EAE7DD"/>
        <w:spacing w:after="0" w:line="240" w:lineRule="auto"/>
        <w:ind w:right="-108"/>
        <w:contextualSpacing w:val="0"/>
        <w:outlineLvl w:val="0"/>
        <w:rPr>
          <w:rFonts w:ascii="Sitka Text" w:eastAsia="Times New Roman" w:hAnsi="Sitka Text" w:cs="Times New Roman"/>
          <w:color w:val="1E1C18"/>
          <w:spacing w:val="-2"/>
          <w:kern w:val="36"/>
          <w:sz w:val="48"/>
          <w:szCs w:val="48"/>
        </w:rPr>
      </w:pPr>
      <w:r w:rsidRPr="00C00B6D">
        <w:rPr>
          <w:rFonts w:ascii="Sitka Text" w:eastAsia="Times New Roman" w:hAnsi="Sitka Text" w:cs="Times New Roman"/>
          <w:color w:val="1E1C18"/>
          <w:spacing w:val="-2"/>
          <w:kern w:val="36"/>
          <w:sz w:val="48"/>
          <w:szCs w:val="48"/>
        </w:rPr>
        <w:t>The Landry System</w:t>
      </w:r>
    </w:p>
    <w:p w14:paraId="34FCF96D" w14:textId="77777777" w:rsidR="00C00B6D" w:rsidRPr="00DF1E5A" w:rsidRDefault="00C00B6D" w:rsidP="0023251F">
      <w:pPr>
        <w:shd w:val="clear" w:color="auto" w:fill="EAE7DD"/>
        <w:spacing w:after="0" w:line="240" w:lineRule="auto"/>
        <w:ind w:right="-108"/>
        <w:contextualSpacing w:val="0"/>
        <w:rPr>
          <w:rFonts w:ascii="Sitka Text" w:hAnsi="Sitka Text"/>
          <w:i/>
          <w:color w:val="5B574C"/>
          <w:sz w:val="27"/>
        </w:rPr>
      </w:pPr>
      <w:r w:rsidRPr="00DF1E5A">
        <w:rPr>
          <w:rFonts w:ascii="Sitka Text" w:hAnsi="Sitka Text"/>
          <w:i/>
          <w:color w:val="5B574C"/>
          <w:sz w:val="27"/>
        </w:rPr>
        <w:t>An introduction to how it works, and why — written for advisors evaluating the architecture and investors asking the one question that matters.</w:t>
      </w:r>
    </w:p>
    <w:p w14:paraId="67F98DA8" w14:textId="08E265BB" w:rsidR="00C00B6D" w:rsidRPr="00DF1E5A" w:rsidRDefault="00C00B6D" w:rsidP="0023251F">
      <w:pPr>
        <w:shd w:val="clear" w:color="auto" w:fill="EAE7DD"/>
        <w:spacing w:before="100" w:beforeAutospacing="1" w:after="100" w:afterAutospacing="1" w:line="240" w:lineRule="auto"/>
        <w:ind w:right="-108"/>
        <w:contextualSpacing w:val="0"/>
        <w:rPr>
          <w:rFonts w:ascii="Sitka Text" w:hAnsi="Sitka Text"/>
          <w:color w:val="5B574C"/>
          <w:sz w:val="27"/>
        </w:rPr>
      </w:pPr>
      <w:r w:rsidRPr="00DF1E5A">
        <w:rPr>
          <w:rFonts w:ascii="Sitka Text" w:hAnsi="Sitka Text"/>
          <w:color w:val="5B574C"/>
          <w:sz w:val="27"/>
        </w:rPr>
        <w:t>Every experienced advisor has watched a client — or, if being honest, has watched themselves — sell a wonderful business during a bad week and buy a mediocre one during a good headline. </w:t>
      </w:r>
      <w:r w:rsidRPr="00DF1E5A">
        <w:rPr>
          <w:rFonts w:ascii="Sitka Text" w:hAnsi="Sitka Text"/>
          <w:color w:val="1E1C18"/>
          <w:sz w:val="27"/>
        </w:rPr>
        <w:t xml:space="preserve">The Landry System exists to </w:t>
      </w:r>
      <w:r w:rsidRPr="00C00B6D">
        <w:rPr>
          <w:rFonts w:ascii="Sitka Text" w:eastAsia="Times New Roman" w:hAnsi="Sitka Text" w:cs="Times New Roman"/>
          <w:color w:val="1E1C18"/>
          <w:sz w:val="27"/>
          <w:szCs w:val="27"/>
        </w:rPr>
        <w:t>guard against</w:t>
      </w:r>
      <w:r w:rsidRPr="00DF1E5A">
        <w:rPr>
          <w:rFonts w:ascii="Sitka Text" w:hAnsi="Sitka Text"/>
          <w:color w:val="1E1C18"/>
          <w:sz w:val="27"/>
        </w:rPr>
        <w:t xml:space="preserve"> that specific mistake</w:t>
      </w:r>
      <w:r w:rsidRPr="00DF1E5A">
        <w:rPr>
          <w:rFonts w:ascii="Sitka Text" w:hAnsi="Sitka Text"/>
          <w:color w:val="5B574C"/>
          <w:sz w:val="27"/>
        </w:rPr>
        <w:t>: a written, pre-committed description of the decisions a rational long-term owner of businesses would make, so those decisions get made even on the day they are hardest to make.</w:t>
      </w:r>
    </w:p>
    <w:p w14:paraId="6BBC55AC" w14:textId="77777777" w:rsidR="00C00B6D" w:rsidRPr="00DF1E5A" w:rsidRDefault="00C00B6D" w:rsidP="00DF1E5A">
      <w:pPr>
        <w:pStyle w:val="Heading1"/>
      </w:pPr>
      <w:r w:rsidRPr="00DF1E5A">
        <w:t>What kind of system this is</w:t>
      </w:r>
    </w:p>
    <w:p w14:paraId="332F9A0D" w14:textId="706577F8" w:rsidR="00C00B6D" w:rsidRPr="00C00B6D" w:rsidRDefault="00C00B6D" w:rsidP="00DF1E5A">
      <w:pPr>
        <w:spacing w:after="100" w:afterAutospacing="1" w:line="240" w:lineRule="auto"/>
        <w:contextualSpacing w:val="0"/>
        <w:rPr>
          <w:rFonts w:ascii="Times New Roman" w:eastAsia="Times New Roman" w:hAnsi="Times New Roman" w:cs="Times New Roman"/>
          <w:szCs w:val="24"/>
        </w:rPr>
      </w:pPr>
      <w:r w:rsidRPr="00C00B6D">
        <w:rPr>
          <w:rFonts w:ascii="Times New Roman" w:eastAsia="Times New Roman" w:hAnsi="Times New Roman" w:cs="Times New Roman"/>
          <w:szCs w:val="24"/>
        </w:rPr>
        <w:t>The Landry System governs long-term equity ownership over a three-to-ten-year horizon. It is bottom-up: the starting question is always “is this a good business at a fair price,” not “where is the market going.” It belongs to a lineage sometimes called quality-at-a-reasonable-price investing: the working premise is that a good business bought carelessly can still be a bad investment, and a mediocre one bought cheaply rarely becomes a good one. What distinguishes the Landry System within that tradition is not the philosophy, which is well established, but the insistence on making the philosophy mechanical: every judgment that can be converted into an explicit, auditable rule has been. Every judgment that cannot — and there are several, honestly labeled as such — is flagged for human analysis rather than quietly automated away.</w:t>
      </w:r>
    </w:p>
    <w:p w14:paraId="4435B439" w14:textId="5E247C99" w:rsidR="00C00B6D" w:rsidRPr="00C00B6D" w:rsidRDefault="00C00B6D" w:rsidP="00C00B6D">
      <w:pPr>
        <w:spacing w:after="0" w:line="240" w:lineRule="auto"/>
        <w:contextualSpacing w:val="0"/>
        <w:rPr>
          <w:rFonts w:ascii="Times New Roman" w:eastAsia="Times New Roman" w:hAnsi="Times New Roman" w:cs="Times New Roman"/>
          <w:szCs w:val="24"/>
        </w:rPr>
      </w:pPr>
      <w:r w:rsidRPr="00C00B6D">
        <w:rPr>
          <w:rFonts w:ascii="Times New Roman" w:eastAsia="Times New Roman" w:hAnsi="Times New Roman" w:cs="Times New Roman"/>
          <w:szCs w:val="24"/>
        </w:rPr>
        <w:t>The stated objective is not to beat the market every year. It is to compound capital for a family across decades while keeping maximum drawdown — the decline from a portfolio’s highest-ever value — under roughly thirty percent. That is a planning target, not a promise; realized losses depend on conditions no process fully controls, but the target still shapes nearly every rule that follows. A system built only to maximize return would look different from this one. This one is built to survive being run across generations, which is a different and harder design problem.</w:t>
      </w:r>
    </w:p>
    <w:p w14:paraId="5B4FBDD4" w14:textId="77777777" w:rsidR="00C00B6D" w:rsidRPr="00C00B6D" w:rsidRDefault="00C00B6D" w:rsidP="009534D1">
      <w:pPr>
        <w:pStyle w:val="Heading1"/>
        <w:ind w:right="-198"/>
      </w:pPr>
      <w:r w:rsidRPr="00C00B6D">
        <w:t>The behavioral problem this is actually solving</w:t>
      </w:r>
    </w:p>
    <w:p w14:paraId="32F947C4" w14:textId="77777777" w:rsidR="00AB691F" w:rsidRDefault="00C00B6D" w:rsidP="00AB691F">
      <w:pPr>
        <w:spacing w:before="100" w:beforeAutospacing="1" w:after="100" w:afterAutospacing="1" w:line="240" w:lineRule="auto"/>
        <w:contextualSpacing w:val="0"/>
        <w:rPr>
          <w:rFonts w:ascii="Times New Roman" w:eastAsia="Times New Roman" w:hAnsi="Times New Roman" w:cs="Times New Roman"/>
          <w:szCs w:val="24"/>
        </w:rPr>
      </w:pPr>
      <w:r w:rsidRPr="00C00B6D">
        <w:rPr>
          <w:rFonts w:ascii="Times New Roman" w:eastAsia="Times New Roman" w:hAnsi="Times New Roman" w:cs="Times New Roman"/>
          <w:szCs w:val="24"/>
        </w:rPr>
        <w:t xml:space="preserve">It is worth being explicit about what the System is defending against, because the defense explains most of its structure. Decades of research on investor behavior point to a small number of recurring, expensive mistakes: </w:t>
      </w:r>
    </w:p>
    <w:p w14:paraId="043F45DF" w14:textId="77777777" w:rsidR="00AB691F" w:rsidRDefault="00C00B6D" w:rsidP="00AB691F">
      <w:pPr>
        <w:pStyle w:val="ListParagraph"/>
        <w:numPr>
          <w:ilvl w:val="0"/>
          <w:numId w:val="4"/>
        </w:numPr>
        <w:spacing w:before="100" w:beforeAutospacing="1" w:after="100" w:afterAutospacing="1" w:line="240" w:lineRule="auto"/>
        <w:contextualSpacing w:val="0"/>
        <w:rPr>
          <w:rFonts w:ascii="Times New Roman" w:eastAsia="Times New Roman" w:hAnsi="Times New Roman" w:cs="Times New Roman"/>
          <w:szCs w:val="24"/>
        </w:rPr>
      </w:pPr>
      <w:r w:rsidRPr="00C00B6D">
        <w:rPr>
          <w:rFonts w:ascii="Times New Roman" w:eastAsia="Times New Roman" w:hAnsi="Times New Roman" w:cs="Times New Roman"/>
          <w:szCs w:val="24"/>
        </w:rPr>
        <w:t xml:space="preserve">selling sound businesses during ordinary volatility because a decline feels like new information; </w:t>
      </w:r>
    </w:p>
    <w:p w14:paraId="5BA78C6C" w14:textId="77777777" w:rsidR="00AB691F" w:rsidRDefault="00C00B6D" w:rsidP="00AB691F">
      <w:pPr>
        <w:pStyle w:val="ListParagraph"/>
        <w:numPr>
          <w:ilvl w:val="0"/>
          <w:numId w:val="4"/>
        </w:numPr>
        <w:spacing w:before="100" w:beforeAutospacing="1" w:after="100" w:afterAutospacing="1" w:line="240" w:lineRule="auto"/>
        <w:contextualSpacing w:val="0"/>
        <w:rPr>
          <w:rFonts w:ascii="Times New Roman" w:eastAsia="Times New Roman" w:hAnsi="Times New Roman" w:cs="Times New Roman"/>
          <w:szCs w:val="24"/>
        </w:rPr>
      </w:pPr>
      <w:r w:rsidRPr="00C00B6D">
        <w:rPr>
          <w:rFonts w:ascii="Times New Roman" w:eastAsia="Times New Roman" w:hAnsi="Times New Roman" w:cs="Times New Roman"/>
          <w:szCs w:val="24"/>
        </w:rPr>
        <w:t xml:space="preserve">holding deteriorating businesses because selling would mean admitting a mistake; </w:t>
      </w:r>
    </w:p>
    <w:p w14:paraId="64A66FDC" w14:textId="77777777" w:rsidR="00AB691F" w:rsidRDefault="00C00B6D" w:rsidP="00AB691F">
      <w:pPr>
        <w:pStyle w:val="ListParagraph"/>
        <w:numPr>
          <w:ilvl w:val="0"/>
          <w:numId w:val="4"/>
        </w:numPr>
        <w:spacing w:before="100" w:beforeAutospacing="1" w:after="100" w:afterAutospacing="1" w:line="240" w:lineRule="auto"/>
        <w:contextualSpacing w:val="0"/>
        <w:rPr>
          <w:rFonts w:ascii="Times New Roman" w:eastAsia="Times New Roman" w:hAnsi="Times New Roman" w:cs="Times New Roman"/>
          <w:szCs w:val="24"/>
        </w:rPr>
      </w:pPr>
      <w:r w:rsidRPr="00C00B6D">
        <w:rPr>
          <w:rFonts w:ascii="Times New Roman" w:eastAsia="Times New Roman" w:hAnsi="Times New Roman" w:cs="Times New Roman"/>
          <w:szCs w:val="24"/>
        </w:rPr>
        <w:t xml:space="preserve">chasing whatever narrative currently dominates headlines; </w:t>
      </w:r>
    </w:p>
    <w:p w14:paraId="035D7183" w14:textId="77777777" w:rsidR="00AB691F" w:rsidRDefault="00C00B6D" w:rsidP="00AB691F">
      <w:pPr>
        <w:pStyle w:val="ListParagraph"/>
        <w:numPr>
          <w:ilvl w:val="0"/>
          <w:numId w:val="4"/>
        </w:numPr>
        <w:spacing w:before="100" w:beforeAutospacing="1" w:after="100" w:afterAutospacing="1" w:line="240" w:lineRule="auto"/>
        <w:contextualSpacing w:val="0"/>
        <w:rPr>
          <w:rFonts w:ascii="Times New Roman" w:eastAsia="Times New Roman" w:hAnsi="Times New Roman" w:cs="Times New Roman"/>
          <w:szCs w:val="24"/>
        </w:rPr>
      </w:pPr>
      <w:r w:rsidRPr="00C00B6D">
        <w:rPr>
          <w:rFonts w:ascii="Times New Roman" w:eastAsia="Times New Roman" w:hAnsi="Times New Roman" w:cs="Times New Roman"/>
          <w:szCs w:val="24"/>
        </w:rPr>
        <w:t xml:space="preserve">mistaking a falling price for a falling probability of being right. </w:t>
      </w:r>
    </w:p>
    <w:p w14:paraId="1D326707" w14:textId="77777777" w:rsidR="00C00B6D" w:rsidRPr="00C00B6D" w:rsidRDefault="00C00B6D" w:rsidP="00C00B6D">
      <w:pPr>
        <w:spacing w:before="100" w:beforeAutospacing="1" w:after="100" w:afterAutospacing="1" w:line="240" w:lineRule="auto"/>
        <w:contextualSpacing w:val="0"/>
        <w:rPr>
          <w:rFonts w:ascii="Times New Roman" w:eastAsia="Times New Roman" w:hAnsi="Times New Roman" w:cs="Times New Roman"/>
          <w:szCs w:val="24"/>
        </w:rPr>
      </w:pPr>
      <w:r w:rsidRPr="00C00B6D">
        <w:rPr>
          <w:rFonts w:ascii="Times New Roman" w:eastAsia="Times New Roman" w:hAnsi="Times New Roman" w:cs="Times New Roman"/>
          <w:szCs w:val="24"/>
        </w:rPr>
        <w:t>None of these are failures of intelligence. They are what happens when a capable person makes a real-time decision under stress without a pre-agreed rule to fall back on.</w:t>
      </w:r>
    </w:p>
    <w:p w14:paraId="31A7386F" w14:textId="77777777" w:rsidR="00C00B6D" w:rsidRPr="00C00B6D" w:rsidRDefault="00C00B6D" w:rsidP="00C00B6D">
      <w:pPr>
        <w:spacing w:after="0" w:line="240" w:lineRule="auto"/>
        <w:contextualSpacing w:val="0"/>
        <w:rPr>
          <w:rFonts w:ascii="Times New Roman" w:eastAsia="Times New Roman" w:hAnsi="Times New Roman" w:cs="Times New Roman"/>
          <w:szCs w:val="24"/>
        </w:rPr>
      </w:pPr>
      <w:r w:rsidRPr="00C00B6D">
        <w:rPr>
          <w:rFonts w:ascii="Times New Roman" w:eastAsia="Times New Roman" w:hAnsi="Times New Roman" w:cs="Times New Roman"/>
          <w:szCs w:val="24"/>
        </w:rPr>
        <w:t xml:space="preserve">The System’s central design choice is to move as many of these decisions as possible out of the moment of stress and into a calmer moment — before the position is even purchased. A rule decided in advance, in writing, without a specific dollar amount on the line that day, is a fundamentally different decision than the same rule improvised under pressure. This is why the document governing the System reads less like </w:t>
      </w:r>
      <w:r w:rsidRPr="00C00B6D">
        <w:rPr>
          <w:rFonts w:ascii="Times New Roman" w:eastAsia="Times New Roman" w:hAnsi="Times New Roman" w:cs="Times New Roman"/>
          <w:szCs w:val="24"/>
        </w:rPr>
        <w:lastRenderedPageBreak/>
        <w:t>investment commentary and more like an operating manual: it is deliberately written to be followed, not merely consulted.</w:t>
      </w:r>
    </w:p>
    <w:p w14:paraId="772CB956" w14:textId="77777777" w:rsidR="00C00B6D" w:rsidRPr="00C00B6D" w:rsidRDefault="00C00B6D" w:rsidP="00DF1E5A">
      <w:pPr>
        <w:pStyle w:val="Heading1"/>
      </w:pPr>
      <w:r w:rsidRPr="00C00B6D">
        <w:t>How a business earns its score</w:t>
      </w:r>
    </w:p>
    <w:p w14:paraId="09CF0F3B" w14:textId="77777777" w:rsidR="00C00B6D" w:rsidRPr="00C00B6D" w:rsidRDefault="00C00B6D" w:rsidP="00C00B6D">
      <w:pPr>
        <w:spacing w:before="100" w:beforeAutospacing="1" w:after="100" w:afterAutospacing="1" w:line="240" w:lineRule="auto"/>
        <w:contextualSpacing w:val="0"/>
        <w:rPr>
          <w:rFonts w:ascii="Times New Roman" w:eastAsia="Times New Roman" w:hAnsi="Times New Roman" w:cs="Times New Roman"/>
          <w:szCs w:val="24"/>
        </w:rPr>
      </w:pPr>
      <w:r w:rsidRPr="00C00B6D">
        <w:rPr>
          <w:rFonts w:ascii="Times New Roman" w:eastAsia="Times New Roman" w:hAnsi="Times New Roman" w:cs="Times New Roman"/>
          <w:szCs w:val="24"/>
        </w:rPr>
        <w:t>Every candidate is scored across twelve indicators, organized into three tiers by how directly they bear on long-term value creation.</w:t>
      </w:r>
    </w:p>
    <w:p w14:paraId="3C7120EA" w14:textId="77777777" w:rsidR="008303A4" w:rsidRDefault="00C00B6D" w:rsidP="00AB691F">
      <w:pPr>
        <w:spacing w:before="100" w:beforeAutospacing="1" w:after="100" w:afterAutospacing="1" w:line="240" w:lineRule="auto"/>
        <w:contextualSpacing w:val="0"/>
        <w:rPr>
          <w:rFonts w:ascii="Times New Roman" w:eastAsia="Times New Roman" w:hAnsi="Times New Roman" w:cs="Times New Roman"/>
          <w:szCs w:val="24"/>
        </w:rPr>
      </w:pPr>
      <w:r w:rsidRPr="00C00B6D">
        <w:rPr>
          <w:rFonts w:ascii="Times New Roman" w:eastAsia="Times New Roman" w:hAnsi="Times New Roman" w:cs="Times New Roman"/>
          <w:b/>
          <w:bCs/>
          <w:szCs w:val="24"/>
        </w:rPr>
        <w:t xml:space="preserve">Tier 1 — seventy percent </w:t>
      </w:r>
      <w:r w:rsidR="008303A4">
        <w:rPr>
          <w:rFonts w:ascii="Times New Roman" w:eastAsia="Times New Roman" w:hAnsi="Times New Roman" w:cs="Times New Roman"/>
          <w:b/>
          <w:bCs/>
          <w:szCs w:val="24"/>
        </w:rPr>
        <w:t xml:space="preserve">(70%) </w:t>
      </w:r>
      <w:r w:rsidRPr="00C00B6D">
        <w:rPr>
          <w:rFonts w:ascii="Times New Roman" w:eastAsia="Times New Roman" w:hAnsi="Times New Roman" w:cs="Times New Roman"/>
          <w:b/>
          <w:bCs/>
          <w:szCs w:val="24"/>
        </w:rPr>
        <w:t>of the decision.</w:t>
      </w:r>
      <w:r w:rsidRPr="00C00B6D">
        <w:rPr>
          <w:rFonts w:ascii="Times New Roman" w:eastAsia="Times New Roman" w:hAnsi="Times New Roman" w:cs="Times New Roman"/>
          <w:szCs w:val="24"/>
        </w:rPr>
        <w:t xml:space="preserve"> Five indicators measure the core economics of the business: </w:t>
      </w:r>
    </w:p>
    <w:p w14:paraId="5B27EC04" w14:textId="38CCEC4C" w:rsidR="008303A4" w:rsidRDefault="008303A4" w:rsidP="008303A4">
      <w:pPr>
        <w:pStyle w:val="ListNumber"/>
        <w:rPr>
          <w:rFonts w:eastAsia="Times New Roman"/>
        </w:rPr>
      </w:pPr>
      <w:r>
        <w:rPr>
          <w:rFonts w:eastAsia="Times New Roman"/>
        </w:rPr>
        <w:t>L</w:t>
      </w:r>
      <w:r w:rsidR="00AB691F" w:rsidRPr="00AB691F">
        <w:rPr>
          <w:rFonts w:eastAsia="Times New Roman"/>
        </w:rPr>
        <w:t>evel</w:t>
      </w:r>
      <w:r w:rsidR="00C00B6D" w:rsidRPr="00DF1E5A">
        <w:rPr>
          <w:sz w:val="22"/>
        </w:rPr>
        <w:t xml:space="preserve"> and trend of </w:t>
      </w:r>
      <w:r w:rsidR="00C00B6D" w:rsidRPr="00DF1E5A">
        <w:rPr>
          <w:b/>
          <w:sz w:val="22"/>
        </w:rPr>
        <w:t>free cash flow yield</w:t>
      </w:r>
      <w:r w:rsidR="00C00B6D" w:rsidRPr="00DF1E5A">
        <w:rPr>
          <w:sz w:val="22"/>
        </w:rPr>
        <w:t xml:space="preserve">, </w:t>
      </w:r>
    </w:p>
    <w:p w14:paraId="7EF48471" w14:textId="2891FCF9" w:rsidR="008303A4" w:rsidRDefault="008303A4" w:rsidP="008303A4">
      <w:pPr>
        <w:pStyle w:val="ListNumber"/>
        <w:rPr>
          <w:rFonts w:eastAsia="Times New Roman"/>
        </w:rPr>
      </w:pPr>
      <w:r>
        <w:rPr>
          <w:rFonts w:eastAsia="Times New Roman"/>
        </w:rPr>
        <w:t>C</w:t>
      </w:r>
      <w:r w:rsidR="00AB691F" w:rsidRPr="00AB691F">
        <w:rPr>
          <w:rFonts w:eastAsia="Times New Roman"/>
        </w:rPr>
        <w:t>onsistency</w:t>
      </w:r>
      <w:r w:rsidR="00C00B6D" w:rsidRPr="00DF1E5A">
        <w:rPr>
          <w:sz w:val="22"/>
        </w:rPr>
        <w:t xml:space="preserve"> of </w:t>
      </w:r>
      <w:r w:rsidR="00C00B6D" w:rsidRPr="00DF1E5A">
        <w:rPr>
          <w:b/>
          <w:sz w:val="22"/>
        </w:rPr>
        <w:t>revenue growth</w:t>
      </w:r>
      <w:r w:rsidR="00C00B6D" w:rsidRPr="00DF1E5A">
        <w:rPr>
          <w:sz w:val="22"/>
        </w:rPr>
        <w:t xml:space="preserve">, </w:t>
      </w:r>
    </w:p>
    <w:p w14:paraId="5F5231D9" w14:textId="03A29C60" w:rsidR="008303A4" w:rsidRDefault="008303A4" w:rsidP="008303A4">
      <w:pPr>
        <w:pStyle w:val="ListNumber"/>
        <w:rPr>
          <w:rFonts w:eastAsia="Times New Roman"/>
        </w:rPr>
      </w:pPr>
      <w:r>
        <w:rPr>
          <w:rFonts w:eastAsia="Times New Roman"/>
        </w:rPr>
        <w:t>D</w:t>
      </w:r>
      <w:r w:rsidR="00AB691F" w:rsidRPr="00AB691F">
        <w:rPr>
          <w:rFonts w:eastAsia="Times New Roman"/>
        </w:rPr>
        <w:t>urability</w:t>
      </w:r>
      <w:r w:rsidR="00C00B6D" w:rsidRPr="00DF1E5A">
        <w:rPr>
          <w:sz w:val="22"/>
        </w:rPr>
        <w:t xml:space="preserve"> of competitive advantage, </w:t>
      </w:r>
    </w:p>
    <w:p w14:paraId="72B61F6B" w14:textId="44B4AC60" w:rsidR="008303A4" w:rsidRDefault="008303A4" w:rsidP="008303A4">
      <w:pPr>
        <w:pStyle w:val="ListNumber"/>
        <w:rPr>
          <w:rFonts w:eastAsia="Times New Roman"/>
        </w:rPr>
      </w:pPr>
      <w:r>
        <w:rPr>
          <w:rFonts w:eastAsia="Times New Roman"/>
        </w:rPr>
        <w:t>Visibility</w:t>
      </w:r>
      <w:r w:rsidR="00C00B6D" w:rsidRPr="00DF1E5A">
        <w:rPr>
          <w:sz w:val="22"/>
        </w:rPr>
        <w:t xml:space="preserve"> of </w:t>
      </w:r>
      <w:r w:rsidR="00C00B6D" w:rsidRPr="00DF1E5A">
        <w:rPr>
          <w:b/>
          <w:sz w:val="22"/>
        </w:rPr>
        <w:t>next year’s revenue</w:t>
      </w:r>
      <w:r w:rsidR="00C00B6D" w:rsidRPr="00DF1E5A">
        <w:rPr>
          <w:sz w:val="22"/>
        </w:rPr>
        <w:t xml:space="preserve"> under contract or subscription, </w:t>
      </w:r>
    </w:p>
    <w:p w14:paraId="2140731B" w14:textId="6245C4ED" w:rsidR="008303A4" w:rsidRDefault="008303A4" w:rsidP="008303A4">
      <w:pPr>
        <w:pStyle w:val="ListNumber"/>
        <w:rPr>
          <w:rFonts w:eastAsia="Times New Roman"/>
        </w:rPr>
      </w:pPr>
      <w:r>
        <w:rPr>
          <w:rFonts w:eastAsia="Times New Roman"/>
        </w:rPr>
        <w:t>T</w:t>
      </w:r>
      <w:r w:rsidR="00AB691F" w:rsidRPr="00AB691F">
        <w:rPr>
          <w:rFonts w:eastAsia="Times New Roman"/>
        </w:rPr>
        <w:t>rend</w:t>
      </w:r>
      <w:r w:rsidR="00C00B6D" w:rsidRPr="00DF1E5A">
        <w:rPr>
          <w:sz w:val="22"/>
        </w:rPr>
        <w:t xml:space="preserve"> in </w:t>
      </w:r>
      <w:r w:rsidR="00C00B6D" w:rsidRPr="00DF1E5A">
        <w:rPr>
          <w:b/>
          <w:sz w:val="22"/>
        </w:rPr>
        <w:t>free cash flow margin</w:t>
      </w:r>
      <w:r w:rsidR="00C00B6D" w:rsidRPr="00DF1E5A">
        <w:rPr>
          <w:sz w:val="22"/>
        </w:rPr>
        <w:t xml:space="preserve">. </w:t>
      </w:r>
    </w:p>
    <w:p w14:paraId="67880EFE" w14:textId="77777777" w:rsidR="00C00B6D" w:rsidRPr="00DF1E5A" w:rsidRDefault="00C00B6D" w:rsidP="00383E6F">
      <w:pPr>
        <w:pStyle w:val="ListNumber"/>
        <w:numPr>
          <w:ilvl w:val="0"/>
          <w:numId w:val="0"/>
        </w:numPr>
        <w:spacing w:before="240"/>
        <w:contextualSpacing w:val="0"/>
        <w:rPr>
          <w:sz w:val="22"/>
        </w:rPr>
      </w:pPr>
      <w:r w:rsidRPr="00DF1E5A">
        <w:rPr>
          <w:sz w:val="22"/>
        </w:rPr>
        <w:t>A business must clear a minimum average score here before anything else is considered — a weak Tier 1 profile cannot be rescued by an attractive valuation or a promising chart.</w:t>
      </w:r>
    </w:p>
    <w:p w14:paraId="27770F6F" w14:textId="77777777" w:rsidR="008303A4" w:rsidRDefault="00C00B6D" w:rsidP="00AB691F">
      <w:pPr>
        <w:spacing w:before="100" w:beforeAutospacing="1" w:after="100" w:afterAutospacing="1" w:line="240" w:lineRule="auto"/>
        <w:contextualSpacing w:val="0"/>
        <w:rPr>
          <w:rFonts w:ascii="Times New Roman" w:eastAsia="Times New Roman" w:hAnsi="Times New Roman" w:cs="Times New Roman"/>
          <w:szCs w:val="24"/>
        </w:rPr>
      </w:pPr>
      <w:r w:rsidRPr="00C00B6D">
        <w:rPr>
          <w:rFonts w:ascii="Times New Roman" w:eastAsia="Times New Roman" w:hAnsi="Times New Roman" w:cs="Times New Roman"/>
          <w:b/>
          <w:bCs/>
          <w:szCs w:val="24"/>
        </w:rPr>
        <w:t xml:space="preserve">Tier 2 — twenty-five </w:t>
      </w:r>
      <w:r w:rsidR="008303A4">
        <w:rPr>
          <w:rFonts w:ascii="Times New Roman" w:eastAsia="Times New Roman" w:hAnsi="Times New Roman" w:cs="Times New Roman"/>
          <w:b/>
          <w:bCs/>
          <w:szCs w:val="24"/>
        </w:rPr>
        <w:t xml:space="preserve">(25%) </w:t>
      </w:r>
      <w:r w:rsidRPr="00C00B6D">
        <w:rPr>
          <w:rFonts w:ascii="Times New Roman" w:eastAsia="Times New Roman" w:hAnsi="Times New Roman" w:cs="Times New Roman"/>
          <w:b/>
          <w:bCs/>
          <w:szCs w:val="24"/>
        </w:rPr>
        <w:t>percent.</w:t>
      </w:r>
      <w:r w:rsidRPr="00C00B6D">
        <w:rPr>
          <w:rFonts w:ascii="Times New Roman" w:eastAsia="Times New Roman" w:hAnsi="Times New Roman" w:cs="Times New Roman"/>
          <w:szCs w:val="24"/>
        </w:rPr>
        <w:t xml:space="preserve"> Four indicators confirm quality and execution: </w:t>
      </w:r>
    </w:p>
    <w:p w14:paraId="37DE7E67" w14:textId="29A0A113" w:rsidR="008303A4" w:rsidRDefault="008303A4" w:rsidP="008303A4">
      <w:pPr>
        <w:pStyle w:val="ListNumber"/>
        <w:rPr>
          <w:rFonts w:eastAsia="Times New Roman"/>
        </w:rPr>
      </w:pPr>
      <w:r>
        <w:rPr>
          <w:rFonts w:eastAsia="Times New Roman"/>
        </w:rPr>
        <w:t>H</w:t>
      </w:r>
      <w:r w:rsidR="00AB691F" w:rsidRPr="00AB691F">
        <w:rPr>
          <w:rFonts w:eastAsia="Times New Roman"/>
        </w:rPr>
        <w:t>ow</w:t>
      </w:r>
      <w:r w:rsidR="00C00B6D" w:rsidRPr="00DF1E5A">
        <w:rPr>
          <w:sz w:val="22"/>
        </w:rPr>
        <w:t xml:space="preserve"> well </w:t>
      </w:r>
      <w:r w:rsidR="00C00B6D" w:rsidRPr="00DF1E5A">
        <w:rPr>
          <w:sz w:val="22"/>
          <w:u w:val="single"/>
        </w:rPr>
        <w:t>management</w:t>
      </w:r>
      <w:r w:rsidR="00C00B6D" w:rsidRPr="00DF1E5A">
        <w:rPr>
          <w:sz w:val="22"/>
        </w:rPr>
        <w:t xml:space="preserve"> has </w:t>
      </w:r>
      <w:r>
        <w:rPr>
          <w:rFonts w:eastAsia="Times New Roman"/>
        </w:rPr>
        <w:t>historically</w:t>
      </w:r>
      <w:r w:rsidR="00AB691F" w:rsidRPr="00AB691F">
        <w:rPr>
          <w:rFonts w:eastAsia="Times New Roman"/>
        </w:rPr>
        <w:t xml:space="preserve"> </w:t>
      </w:r>
      <w:r w:rsidR="00C00B6D" w:rsidRPr="00DF1E5A">
        <w:rPr>
          <w:b/>
          <w:sz w:val="22"/>
        </w:rPr>
        <w:t>allocated capital</w:t>
      </w:r>
    </w:p>
    <w:p w14:paraId="633BF6E2" w14:textId="12501BBD" w:rsidR="008303A4" w:rsidRDefault="008303A4" w:rsidP="008303A4">
      <w:pPr>
        <w:pStyle w:val="ListNumber"/>
        <w:rPr>
          <w:rFonts w:eastAsia="Times New Roman"/>
        </w:rPr>
      </w:pPr>
      <w:r>
        <w:rPr>
          <w:rFonts w:eastAsia="Times New Roman"/>
        </w:rPr>
        <w:t>W</w:t>
      </w:r>
      <w:r w:rsidR="00AB691F" w:rsidRPr="00AB691F">
        <w:rPr>
          <w:rFonts w:eastAsia="Times New Roman"/>
        </w:rPr>
        <w:t>hether</w:t>
      </w:r>
      <w:r w:rsidR="00C00B6D" w:rsidRPr="00DF1E5A">
        <w:rPr>
          <w:sz w:val="22"/>
        </w:rPr>
        <w:t xml:space="preserve"> </w:t>
      </w:r>
      <w:r w:rsidR="00C00B6D" w:rsidRPr="00DF1E5A">
        <w:rPr>
          <w:sz w:val="22"/>
          <w:u w:val="single"/>
        </w:rPr>
        <w:t xml:space="preserve">returns </w:t>
      </w:r>
      <w:r w:rsidR="00C00B6D" w:rsidRPr="00DF1E5A">
        <w:rPr>
          <w:sz w:val="22"/>
        </w:rPr>
        <w:t xml:space="preserve">on </w:t>
      </w:r>
      <w:r w:rsidR="00C00B6D" w:rsidRPr="00DF1E5A">
        <w:rPr>
          <w:b/>
          <w:sz w:val="22"/>
        </w:rPr>
        <w:t>invested capital exceed the cost of that capital</w:t>
      </w:r>
      <w:r w:rsidR="00C00B6D" w:rsidRPr="00DF1E5A">
        <w:rPr>
          <w:sz w:val="22"/>
        </w:rPr>
        <w:t xml:space="preserve">, </w:t>
      </w:r>
    </w:p>
    <w:p w14:paraId="5F5751C1" w14:textId="2644E03A" w:rsidR="008303A4" w:rsidRDefault="008303A4" w:rsidP="008303A4">
      <w:pPr>
        <w:pStyle w:val="ListNumber"/>
        <w:rPr>
          <w:rFonts w:eastAsia="Times New Roman"/>
        </w:rPr>
      </w:pPr>
      <w:r w:rsidRPr="008303A4">
        <w:rPr>
          <w:rFonts w:eastAsia="Times New Roman"/>
          <w:u w:val="single"/>
        </w:rPr>
        <w:t>S</w:t>
      </w:r>
      <w:r w:rsidR="00AB691F" w:rsidRPr="008303A4">
        <w:rPr>
          <w:rFonts w:eastAsia="Times New Roman"/>
          <w:u w:val="single"/>
        </w:rPr>
        <w:t xml:space="preserve">tock </w:t>
      </w:r>
      <w:r w:rsidRPr="008303A4">
        <w:rPr>
          <w:rFonts w:eastAsia="Times New Roman"/>
          <w:u w:val="single"/>
        </w:rPr>
        <w:t>performance</w:t>
      </w:r>
      <w:r w:rsidR="00C00B6D" w:rsidRPr="00DF1E5A">
        <w:rPr>
          <w:sz w:val="22"/>
        </w:rPr>
        <w:t xml:space="preserve"> </w:t>
      </w:r>
      <w:r w:rsidR="00C00B6D" w:rsidRPr="00DF1E5A">
        <w:rPr>
          <w:b/>
          <w:sz w:val="22"/>
        </w:rPr>
        <w:t>relative to the broader market</w:t>
      </w:r>
      <w:r w:rsidR="00C00B6D" w:rsidRPr="00DF1E5A">
        <w:rPr>
          <w:sz w:val="22"/>
        </w:rPr>
        <w:t xml:space="preserve">, and </w:t>
      </w:r>
    </w:p>
    <w:p w14:paraId="69B407D4" w14:textId="3B5ADE3F" w:rsidR="00C00B6D" w:rsidRPr="00DF1E5A" w:rsidRDefault="008303A4" w:rsidP="00DF1E5A">
      <w:pPr>
        <w:pStyle w:val="ListNumber"/>
        <w:rPr>
          <w:sz w:val="22"/>
        </w:rPr>
      </w:pPr>
      <w:r>
        <w:rPr>
          <w:rFonts w:eastAsia="Times New Roman"/>
          <w:u w:val="single"/>
        </w:rPr>
        <w:t>H</w:t>
      </w:r>
      <w:r w:rsidR="00AB691F" w:rsidRPr="00AB691F">
        <w:rPr>
          <w:rFonts w:eastAsia="Times New Roman"/>
        </w:rPr>
        <w:t>ow</w:t>
      </w:r>
      <w:r w:rsidR="00C00B6D" w:rsidRPr="00DF1E5A">
        <w:rPr>
          <w:sz w:val="22"/>
        </w:rPr>
        <w:t xml:space="preserve"> its </w:t>
      </w:r>
      <w:r w:rsidR="00C00B6D" w:rsidRPr="00DF1E5A">
        <w:rPr>
          <w:sz w:val="22"/>
          <w:u w:val="single"/>
        </w:rPr>
        <w:t>valuation</w:t>
      </w:r>
      <w:r w:rsidR="00C00B6D" w:rsidRPr="00DF1E5A">
        <w:rPr>
          <w:sz w:val="22"/>
        </w:rPr>
        <w:t xml:space="preserve"> compares with its own </w:t>
      </w:r>
      <w:r w:rsidR="00C00B6D" w:rsidRPr="00DF1E5A">
        <w:rPr>
          <w:b/>
          <w:sz w:val="22"/>
        </w:rPr>
        <w:t>history</w:t>
      </w:r>
      <w:r w:rsidR="00C00B6D" w:rsidRPr="00DF1E5A">
        <w:rPr>
          <w:sz w:val="22"/>
        </w:rPr>
        <w:t xml:space="preserve"> and its peers.</w:t>
      </w:r>
    </w:p>
    <w:p w14:paraId="487E6617" w14:textId="77777777" w:rsidR="00383E6F" w:rsidRDefault="00C00B6D" w:rsidP="00C00B6D">
      <w:pPr>
        <w:spacing w:before="100" w:beforeAutospacing="1" w:after="100" w:afterAutospacing="1" w:line="240" w:lineRule="auto"/>
        <w:contextualSpacing w:val="0"/>
        <w:rPr>
          <w:rFonts w:ascii="Times New Roman" w:eastAsia="Times New Roman" w:hAnsi="Times New Roman" w:cs="Times New Roman"/>
          <w:szCs w:val="24"/>
        </w:rPr>
      </w:pPr>
      <w:r w:rsidRPr="00C00B6D">
        <w:rPr>
          <w:rFonts w:ascii="Times New Roman" w:eastAsia="Times New Roman" w:hAnsi="Times New Roman" w:cs="Times New Roman"/>
          <w:b/>
          <w:bCs/>
          <w:szCs w:val="24"/>
        </w:rPr>
        <w:t>Tier 3 — five percent</w:t>
      </w:r>
      <w:r w:rsidR="008303A4">
        <w:rPr>
          <w:rFonts w:ascii="Times New Roman" w:eastAsia="Times New Roman" w:hAnsi="Times New Roman" w:cs="Times New Roman"/>
          <w:b/>
          <w:bCs/>
          <w:szCs w:val="24"/>
        </w:rPr>
        <w:t xml:space="preserve"> (5%)</w:t>
      </w:r>
      <w:r w:rsidR="00AB691F" w:rsidRPr="00AB691F">
        <w:rPr>
          <w:rFonts w:ascii="Times New Roman" w:eastAsia="Times New Roman" w:hAnsi="Times New Roman" w:cs="Times New Roman"/>
          <w:b/>
          <w:bCs/>
          <w:szCs w:val="24"/>
        </w:rPr>
        <w:t>.</w:t>
      </w:r>
      <w:r w:rsidRPr="00C00B6D">
        <w:rPr>
          <w:rFonts w:ascii="Times New Roman" w:eastAsia="Times New Roman" w:hAnsi="Times New Roman" w:cs="Times New Roman"/>
          <w:szCs w:val="24"/>
        </w:rPr>
        <w:t> Three indicators —— refine timing and confidence at the margin</w:t>
      </w:r>
      <w:r w:rsidR="00383E6F">
        <w:rPr>
          <w:rFonts w:ascii="Times New Roman" w:eastAsia="Times New Roman" w:hAnsi="Times New Roman" w:cs="Times New Roman"/>
          <w:szCs w:val="24"/>
        </w:rPr>
        <w:t>:</w:t>
      </w:r>
    </w:p>
    <w:p w14:paraId="2C470BB9" w14:textId="77777777" w:rsidR="00383E6F" w:rsidRDefault="00383E6F" w:rsidP="00383E6F">
      <w:pPr>
        <w:pStyle w:val="ListNumber"/>
        <w:rPr>
          <w:rFonts w:eastAsia="Times New Roman"/>
        </w:rPr>
      </w:pPr>
      <w:r>
        <w:rPr>
          <w:rFonts w:eastAsia="Times New Roman"/>
        </w:rPr>
        <w:t>P</w:t>
      </w:r>
      <w:r w:rsidRPr="00C00B6D">
        <w:rPr>
          <w:rFonts w:eastAsia="Times New Roman"/>
        </w:rPr>
        <w:t xml:space="preserve">rice trend, </w:t>
      </w:r>
    </w:p>
    <w:p w14:paraId="62EFDE42" w14:textId="77777777" w:rsidR="00383E6F" w:rsidRDefault="00383E6F" w:rsidP="00383E6F">
      <w:pPr>
        <w:pStyle w:val="ListNumber"/>
        <w:rPr>
          <w:rFonts w:eastAsia="Times New Roman"/>
        </w:rPr>
      </w:pPr>
      <w:r>
        <w:rPr>
          <w:rFonts w:eastAsia="Times New Roman"/>
        </w:rPr>
        <w:t>A</w:t>
      </w:r>
      <w:r w:rsidRPr="00C00B6D">
        <w:rPr>
          <w:rFonts w:eastAsia="Times New Roman"/>
        </w:rPr>
        <w:t xml:space="preserve">nalyst sentiment, and </w:t>
      </w:r>
    </w:p>
    <w:p w14:paraId="2B49BABD" w14:textId="77777777" w:rsidR="00383E6F" w:rsidRDefault="00383E6F" w:rsidP="00383E6F">
      <w:pPr>
        <w:pStyle w:val="ListNumber"/>
        <w:rPr>
          <w:rFonts w:eastAsia="Times New Roman"/>
        </w:rPr>
      </w:pPr>
      <w:r>
        <w:rPr>
          <w:rFonts w:eastAsia="Times New Roman"/>
        </w:rPr>
        <w:t>T</w:t>
      </w:r>
      <w:r w:rsidRPr="00C00B6D">
        <w:rPr>
          <w:rFonts w:eastAsia="Times New Roman"/>
        </w:rPr>
        <w:t>rading volume</w:t>
      </w:r>
      <w:r w:rsidR="00C00B6D" w:rsidRPr="00C00B6D">
        <w:rPr>
          <w:rFonts w:eastAsia="Times New Roman"/>
        </w:rPr>
        <w:t xml:space="preserve"> </w:t>
      </w:r>
    </w:p>
    <w:p w14:paraId="3A9D3CE3" w14:textId="468DB6B5" w:rsidR="00C00B6D" w:rsidRPr="00383E6F" w:rsidRDefault="00C00B6D" w:rsidP="00383E6F">
      <w:pPr>
        <w:pStyle w:val="ListNumber"/>
        <w:numPr>
          <w:ilvl w:val="0"/>
          <w:numId w:val="0"/>
        </w:numPr>
        <w:spacing w:before="240"/>
        <w:contextualSpacing w:val="0"/>
        <w:rPr>
          <w:rFonts w:eastAsia="Times New Roman"/>
        </w:rPr>
      </w:pPr>
      <w:r w:rsidRPr="00383E6F">
        <w:rPr>
          <w:rFonts w:eastAsia="Times New Roman"/>
        </w:rPr>
        <w:t>They can nudge a decision but, by design, cannot rescue a weak fundamental case.</w:t>
      </w:r>
    </w:p>
    <w:p w14:paraId="3DBB7AEE" w14:textId="74BB54FC" w:rsidR="00383E6F" w:rsidRPr="00C00B6D" w:rsidRDefault="00C00B6D" w:rsidP="00C00B6D">
      <w:pPr>
        <w:spacing w:before="100" w:beforeAutospacing="1" w:after="100" w:afterAutospacing="1" w:line="240" w:lineRule="auto"/>
        <w:contextualSpacing w:val="0"/>
        <w:rPr>
          <w:rFonts w:ascii="Times New Roman" w:eastAsia="Times New Roman" w:hAnsi="Times New Roman" w:cs="Times New Roman"/>
          <w:szCs w:val="24"/>
        </w:rPr>
      </w:pPr>
      <w:r w:rsidRPr="00C00B6D">
        <w:rPr>
          <w:rFonts w:ascii="Times New Roman" w:eastAsia="Times New Roman" w:hAnsi="Times New Roman" w:cs="Times New Roman"/>
          <w:szCs w:val="24"/>
        </w:rPr>
        <w:t xml:space="preserve">Each indicator receives a score from one to five and a confidence tag — high, medium, or low — reflecting how well-supported that judgment is. The weighted scores sum to a </w:t>
      </w:r>
      <w:r w:rsidRPr="00DF1E5A">
        <w:rPr>
          <w:rFonts w:ascii="Times New Roman" w:hAnsi="Times New Roman"/>
          <w:b/>
        </w:rPr>
        <w:t>Composite Score</w:t>
      </w:r>
      <w:r w:rsidRPr="00C00B6D">
        <w:rPr>
          <w:rFonts w:ascii="Times New Roman" w:eastAsia="Times New Roman" w:hAnsi="Times New Roman" w:cs="Times New Roman"/>
          <w:szCs w:val="24"/>
        </w:rPr>
        <w:t xml:space="preserve"> out of one hundred, which maps to five decisions:</w:t>
      </w:r>
    </w:p>
    <w:tbl>
      <w:tblPr>
        <w:tblW w:w="9270" w:type="dxa"/>
        <w:tblCellMar>
          <w:top w:w="15" w:type="dxa"/>
          <w:left w:w="15" w:type="dxa"/>
          <w:bottom w:w="15" w:type="dxa"/>
          <w:right w:w="15" w:type="dxa"/>
        </w:tblCellMar>
        <w:tblLook w:val="04A0" w:firstRow="1" w:lastRow="0" w:firstColumn="1" w:lastColumn="0" w:noHBand="0" w:noVBand="1"/>
      </w:tblPr>
      <w:tblGrid>
        <w:gridCol w:w="1175"/>
        <w:gridCol w:w="1853"/>
        <w:gridCol w:w="3169"/>
        <w:gridCol w:w="3073"/>
      </w:tblGrid>
      <w:tr w:rsidR="00C00B6D" w:rsidRPr="00C00B6D" w14:paraId="788BB5DC" w14:textId="77777777" w:rsidTr="00383E6F">
        <w:trPr>
          <w:cantSplit/>
          <w:tblHeader/>
        </w:trPr>
        <w:tc>
          <w:tcPr>
            <w:tcW w:w="0" w:type="auto"/>
            <w:shd w:val="clear" w:color="auto" w:fill="E8E8E8" w:themeFill="background2"/>
            <w:noWrap/>
            <w:vAlign w:val="center"/>
            <w:hideMark/>
          </w:tcPr>
          <w:p w14:paraId="4E63290D" w14:textId="77777777" w:rsidR="00C00B6D" w:rsidRPr="00DF1E5A" w:rsidRDefault="00C00B6D" w:rsidP="00DF1E5A">
            <w:pPr>
              <w:spacing w:after="0" w:line="240" w:lineRule="auto"/>
              <w:contextualSpacing w:val="0"/>
              <w:jc w:val="center"/>
              <w:rPr>
                <w:rFonts w:ascii="Roboto Mono" w:hAnsi="Roboto Mono"/>
                <w:b/>
                <w:caps/>
                <w:color w:val="5B574C"/>
                <w:spacing w:val="19"/>
              </w:rPr>
            </w:pPr>
            <w:r w:rsidRPr="00DF1E5A">
              <w:rPr>
                <w:rFonts w:ascii="Roboto Mono" w:hAnsi="Roboto Mono"/>
                <w:b/>
                <w:caps/>
                <w:color w:val="5B574C"/>
                <w:spacing w:val="19"/>
              </w:rPr>
              <w:t>Score</w:t>
            </w:r>
          </w:p>
        </w:tc>
        <w:tc>
          <w:tcPr>
            <w:tcW w:w="0" w:type="auto"/>
            <w:shd w:val="clear" w:color="auto" w:fill="E8E8E8" w:themeFill="background2"/>
            <w:noWrap/>
            <w:vAlign w:val="center"/>
            <w:hideMark/>
          </w:tcPr>
          <w:p w14:paraId="4D2AB861" w14:textId="77777777" w:rsidR="00C00B6D" w:rsidRPr="00DF1E5A" w:rsidRDefault="00C00B6D" w:rsidP="00DF1E5A">
            <w:pPr>
              <w:spacing w:after="0" w:line="240" w:lineRule="auto"/>
              <w:contextualSpacing w:val="0"/>
              <w:jc w:val="center"/>
              <w:rPr>
                <w:rFonts w:ascii="Roboto Mono" w:hAnsi="Roboto Mono"/>
                <w:b/>
                <w:caps/>
                <w:color w:val="8A8577"/>
                <w:spacing w:val="19"/>
              </w:rPr>
            </w:pPr>
            <w:r w:rsidRPr="00DF1E5A">
              <w:rPr>
                <w:rFonts w:ascii="Roboto Mono" w:hAnsi="Roboto Mono"/>
                <w:b/>
                <w:caps/>
                <w:color w:val="8A8577"/>
                <w:spacing w:val="19"/>
              </w:rPr>
              <w:t>Decision</w:t>
            </w:r>
          </w:p>
        </w:tc>
        <w:tc>
          <w:tcPr>
            <w:tcW w:w="0" w:type="auto"/>
            <w:shd w:val="clear" w:color="auto" w:fill="E8E8E8" w:themeFill="background2"/>
            <w:noWrap/>
            <w:vAlign w:val="center"/>
            <w:hideMark/>
          </w:tcPr>
          <w:p w14:paraId="7AF04736" w14:textId="77777777" w:rsidR="00C00B6D" w:rsidRPr="00DF1E5A" w:rsidRDefault="00C00B6D" w:rsidP="00DF1E5A">
            <w:pPr>
              <w:spacing w:after="0" w:line="240" w:lineRule="auto"/>
              <w:contextualSpacing w:val="0"/>
              <w:jc w:val="center"/>
              <w:rPr>
                <w:rFonts w:ascii="Roboto Mono" w:hAnsi="Roboto Mono"/>
                <w:b/>
                <w:caps/>
                <w:color w:val="8A8577"/>
                <w:spacing w:val="19"/>
              </w:rPr>
            </w:pPr>
            <w:r w:rsidRPr="00DF1E5A">
              <w:rPr>
                <w:rFonts w:ascii="Roboto Mono" w:hAnsi="Roboto Mono"/>
                <w:b/>
                <w:caps/>
                <w:color w:val="8A8577"/>
                <w:spacing w:val="19"/>
              </w:rPr>
              <w:t>New candidate</w:t>
            </w:r>
          </w:p>
        </w:tc>
        <w:tc>
          <w:tcPr>
            <w:tcW w:w="3073" w:type="dxa"/>
            <w:shd w:val="clear" w:color="auto" w:fill="E8E8E8" w:themeFill="background2"/>
            <w:noWrap/>
            <w:vAlign w:val="center"/>
            <w:hideMark/>
          </w:tcPr>
          <w:p w14:paraId="6EE8EAFC" w14:textId="77777777" w:rsidR="00C00B6D" w:rsidRPr="00DF1E5A" w:rsidRDefault="00C00B6D" w:rsidP="00DF1E5A">
            <w:pPr>
              <w:spacing w:after="0" w:line="240" w:lineRule="auto"/>
              <w:contextualSpacing w:val="0"/>
              <w:jc w:val="center"/>
              <w:rPr>
                <w:rFonts w:ascii="Roboto Mono" w:hAnsi="Roboto Mono"/>
                <w:b/>
                <w:caps/>
                <w:color w:val="8A8577"/>
                <w:spacing w:val="19"/>
              </w:rPr>
            </w:pPr>
            <w:r w:rsidRPr="00DF1E5A">
              <w:rPr>
                <w:rFonts w:ascii="Roboto Mono" w:hAnsi="Roboto Mono"/>
                <w:b/>
                <w:caps/>
                <w:color w:val="8A8577"/>
                <w:spacing w:val="19"/>
              </w:rPr>
              <w:t>Existing holding</w:t>
            </w:r>
          </w:p>
        </w:tc>
      </w:tr>
      <w:tr w:rsidR="00C00B6D" w:rsidRPr="00C00B6D" w14:paraId="59B8C729" w14:textId="77777777" w:rsidTr="00383E6F">
        <w:trPr>
          <w:cantSplit/>
        </w:trPr>
        <w:tc>
          <w:tcPr>
            <w:tcW w:w="0" w:type="auto"/>
            <w:noWrap/>
            <w:vAlign w:val="center"/>
            <w:hideMark/>
          </w:tcPr>
          <w:p w14:paraId="22CCC3EA" w14:textId="77777777" w:rsidR="00C00B6D" w:rsidRPr="00C00B6D" w:rsidRDefault="00C00B6D" w:rsidP="00DF1E5A">
            <w:pPr>
              <w:spacing w:after="0" w:line="240" w:lineRule="auto"/>
              <w:contextualSpacing w:val="0"/>
              <w:jc w:val="center"/>
              <w:rPr>
                <w:rFonts w:ascii="Times New Roman" w:eastAsia="Times New Roman" w:hAnsi="Times New Roman" w:cs="Times New Roman"/>
                <w:color w:val="5B574C"/>
                <w:szCs w:val="24"/>
              </w:rPr>
            </w:pPr>
            <w:r w:rsidRPr="00C00B6D">
              <w:rPr>
                <w:rFonts w:ascii="Times New Roman" w:eastAsia="Times New Roman" w:hAnsi="Times New Roman" w:cs="Times New Roman"/>
                <w:color w:val="5B574C"/>
                <w:szCs w:val="24"/>
              </w:rPr>
              <w:t>80–100</w:t>
            </w:r>
          </w:p>
        </w:tc>
        <w:tc>
          <w:tcPr>
            <w:tcW w:w="0" w:type="auto"/>
            <w:noWrap/>
            <w:vAlign w:val="center"/>
            <w:hideMark/>
          </w:tcPr>
          <w:p w14:paraId="2484BFC0" w14:textId="77777777" w:rsidR="00C00B6D" w:rsidRPr="00383E6F" w:rsidRDefault="00C00B6D" w:rsidP="00DF1E5A">
            <w:pPr>
              <w:spacing w:after="0" w:line="240" w:lineRule="auto"/>
              <w:contextualSpacing w:val="0"/>
              <w:jc w:val="center"/>
              <w:rPr>
                <w:rFonts w:ascii="Times New Roman" w:eastAsia="Times New Roman" w:hAnsi="Times New Roman" w:cs="Times New Roman"/>
                <w:b/>
                <w:bCs/>
                <w:color w:val="000000" w:themeColor="text1"/>
                <w:szCs w:val="24"/>
              </w:rPr>
            </w:pPr>
            <w:r w:rsidRPr="00383E6F">
              <w:rPr>
                <w:rFonts w:ascii="Times New Roman" w:hAnsi="Times New Roman"/>
                <w:b/>
                <w:color w:val="000000" w:themeColor="text1"/>
              </w:rPr>
              <w:t>Strong Buy</w:t>
            </w:r>
          </w:p>
        </w:tc>
        <w:tc>
          <w:tcPr>
            <w:tcW w:w="0" w:type="auto"/>
            <w:noWrap/>
            <w:vAlign w:val="center"/>
            <w:hideMark/>
          </w:tcPr>
          <w:p w14:paraId="13BCF721" w14:textId="14001B4C" w:rsidR="00C00B6D" w:rsidRPr="00C00B6D" w:rsidRDefault="00C00B6D" w:rsidP="00DF1E5A">
            <w:pPr>
              <w:spacing w:after="0" w:line="240" w:lineRule="auto"/>
              <w:contextualSpacing w:val="0"/>
              <w:jc w:val="center"/>
              <w:rPr>
                <w:rFonts w:ascii="Times New Roman" w:eastAsia="Times New Roman" w:hAnsi="Times New Roman" w:cs="Times New Roman"/>
                <w:szCs w:val="24"/>
              </w:rPr>
            </w:pPr>
            <w:r w:rsidRPr="00C00B6D">
              <w:rPr>
                <w:rFonts w:ascii="Times New Roman" w:eastAsia="Times New Roman" w:hAnsi="Times New Roman" w:cs="Times New Roman"/>
                <w:szCs w:val="24"/>
              </w:rPr>
              <w:t>Initiate</w:t>
            </w:r>
            <w:r w:rsidR="00AB691F" w:rsidRPr="00AB691F">
              <w:rPr>
                <w:rFonts w:ascii="Times New Roman" w:eastAsia="Times New Roman" w:hAnsi="Times New Roman" w:cs="Times New Roman"/>
                <w:szCs w:val="24"/>
              </w:rPr>
              <w:t xml:space="preserve"> to full size</w:t>
            </w:r>
          </w:p>
        </w:tc>
        <w:tc>
          <w:tcPr>
            <w:tcW w:w="3073" w:type="dxa"/>
            <w:noWrap/>
            <w:vAlign w:val="center"/>
            <w:hideMark/>
          </w:tcPr>
          <w:p w14:paraId="53616050" w14:textId="77777777" w:rsidR="00C00B6D" w:rsidRPr="00C00B6D" w:rsidRDefault="00C00B6D" w:rsidP="00DF1E5A">
            <w:pPr>
              <w:spacing w:after="0" w:line="240" w:lineRule="auto"/>
              <w:contextualSpacing w:val="0"/>
              <w:jc w:val="center"/>
              <w:rPr>
                <w:rFonts w:ascii="Times New Roman" w:eastAsia="Times New Roman" w:hAnsi="Times New Roman" w:cs="Times New Roman"/>
                <w:szCs w:val="24"/>
              </w:rPr>
            </w:pPr>
            <w:r w:rsidRPr="00C00B6D">
              <w:rPr>
                <w:rFonts w:ascii="Times New Roman" w:eastAsia="Times New Roman" w:hAnsi="Times New Roman" w:cs="Times New Roman"/>
                <w:szCs w:val="24"/>
              </w:rPr>
              <w:t>Core hold / add</w:t>
            </w:r>
          </w:p>
        </w:tc>
      </w:tr>
      <w:tr w:rsidR="00C00B6D" w:rsidRPr="00C00B6D" w14:paraId="6A5FA38E" w14:textId="77777777" w:rsidTr="00383E6F">
        <w:trPr>
          <w:cantSplit/>
        </w:trPr>
        <w:tc>
          <w:tcPr>
            <w:tcW w:w="0" w:type="auto"/>
            <w:noWrap/>
            <w:vAlign w:val="center"/>
            <w:hideMark/>
          </w:tcPr>
          <w:p w14:paraId="20BD5187" w14:textId="77777777" w:rsidR="00C00B6D" w:rsidRPr="00C00B6D" w:rsidRDefault="00C00B6D" w:rsidP="00DF1E5A">
            <w:pPr>
              <w:spacing w:after="0" w:line="240" w:lineRule="auto"/>
              <w:contextualSpacing w:val="0"/>
              <w:jc w:val="center"/>
              <w:rPr>
                <w:rFonts w:ascii="Times New Roman" w:eastAsia="Times New Roman" w:hAnsi="Times New Roman" w:cs="Times New Roman"/>
                <w:color w:val="5B574C"/>
                <w:szCs w:val="24"/>
              </w:rPr>
            </w:pPr>
            <w:r w:rsidRPr="00C00B6D">
              <w:rPr>
                <w:rFonts w:ascii="Times New Roman" w:eastAsia="Times New Roman" w:hAnsi="Times New Roman" w:cs="Times New Roman"/>
                <w:color w:val="5B574C"/>
                <w:szCs w:val="24"/>
              </w:rPr>
              <w:t>65–79</w:t>
            </w:r>
          </w:p>
        </w:tc>
        <w:tc>
          <w:tcPr>
            <w:tcW w:w="0" w:type="auto"/>
            <w:noWrap/>
            <w:vAlign w:val="center"/>
            <w:hideMark/>
          </w:tcPr>
          <w:p w14:paraId="19ED7585" w14:textId="77777777" w:rsidR="00C00B6D" w:rsidRPr="00383E6F" w:rsidRDefault="00C00B6D" w:rsidP="00DF1E5A">
            <w:pPr>
              <w:spacing w:after="0" w:line="240" w:lineRule="auto"/>
              <w:contextualSpacing w:val="0"/>
              <w:jc w:val="center"/>
              <w:rPr>
                <w:rFonts w:ascii="Times New Roman" w:eastAsia="Times New Roman" w:hAnsi="Times New Roman" w:cs="Times New Roman"/>
                <w:b/>
                <w:bCs/>
                <w:color w:val="000000" w:themeColor="text1"/>
                <w:szCs w:val="24"/>
              </w:rPr>
            </w:pPr>
            <w:r w:rsidRPr="00383E6F">
              <w:rPr>
                <w:rFonts w:ascii="Times New Roman" w:hAnsi="Times New Roman"/>
                <w:b/>
                <w:color w:val="000000" w:themeColor="text1"/>
              </w:rPr>
              <w:t>Buy</w:t>
            </w:r>
          </w:p>
        </w:tc>
        <w:tc>
          <w:tcPr>
            <w:tcW w:w="0" w:type="auto"/>
            <w:noWrap/>
            <w:vAlign w:val="center"/>
            <w:hideMark/>
          </w:tcPr>
          <w:p w14:paraId="45C2421D" w14:textId="6323E7E2" w:rsidR="00C00B6D" w:rsidRPr="00C00B6D" w:rsidRDefault="00C00B6D" w:rsidP="00DF1E5A">
            <w:pPr>
              <w:spacing w:after="0" w:line="240" w:lineRule="auto"/>
              <w:contextualSpacing w:val="0"/>
              <w:jc w:val="center"/>
              <w:rPr>
                <w:rFonts w:ascii="Times New Roman" w:eastAsia="Times New Roman" w:hAnsi="Times New Roman" w:cs="Times New Roman"/>
                <w:szCs w:val="24"/>
              </w:rPr>
            </w:pPr>
            <w:r w:rsidRPr="00C00B6D">
              <w:rPr>
                <w:rFonts w:ascii="Times New Roman" w:eastAsia="Times New Roman" w:hAnsi="Times New Roman" w:cs="Times New Roman"/>
                <w:szCs w:val="24"/>
              </w:rPr>
              <w:t>Initiate</w:t>
            </w:r>
            <w:r w:rsidR="00AB691F" w:rsidRPr="00AB691F">
              <w:rPr>
                <w:rFonts w:ascii="Times New Roman" w:eastAsia="Times New Roman" w:hAnsi="Times New Roman" w:cs="Times New Roman"/>
                <w:szCs w:val="24"/>
              </w:rPr>
              <w:t xml:space="preserve"> to full size</w:t>
            </w:r>
          </w:p>
        </w:tc>
        <w:tc>
          <w:tcPr>
            <w:tcW w:w="3073" w:type="dxa"/>
            <w:noWrap/>
            <w:vAlign w:val="center"/>
            <w:hideMark/>
          </w:tcPr>
          <w:p w14:paraId="486F215C" w14:textId="77777777" w:rsidR="00C00B6D" w:rsidRPr="00C00B6D" w:rsidRDefault="00C00B6D" w:rsidP="00DF1E5A">
            <w:pPr>
              <w:spacing w:after="0" w:line="240" w:lineRule="auto"/>
              <w:contextualSpacing w:val="0"/>
              <w:jc w:val="center"/>
              <w:rPr>
                <w:rFonts w:ascii="Times New Roman" w:eastAsia="Times New Roman" w:hAnsi="Times New Roman" w:cs="Times New Roman"/>
                <w:szCs w:val="24"/>
              </w:rPr>
            </w:pPr>
            <w:r w:rsidRPr="00C00B6D">
              <w:rPr>
                <w:rFonts w:ascii="Times New Roman" w:eastAsia="Times New Roman" w:hAnsi="Times New Roman" w:cs="Times New Roman"/>
                <w:szCs w:val="24"/>
              </w:rPr>
              <w:t>Hold</w:t>
            </w:r>
          </w:p>
        </w:tc>
      </w:tr>
      <w:tr w:rsidR="00C00B6D" w:rsidRPr="00C00B6D" w14:paraId="61F870CE" w14:textId="77777777" w:rsidTr="00383E6F">
        <w:trPr>
          <w:cantSplit/>
        </w:trPr>
        <w:tc>
          <w:tcPr>
            <w:tcW w:w="0" w:type="auto"/>
            <w:noWrap/>
            <w:vAlign w:val="center"/>
            <w:hideMark/>
          </w:tcPr>
          <w:p w14:paraId="72127652" w14:textId="77777777" w:rsidR="00C00B6D" w:rsidRPr="00C00B6D" w:rsidRDefault="00C00B6D" w:rsidP="00DF1E5A">
            <w:pPr>
              <w:spacing w:after="0" w:line="240" w:lineRule="auto"/>
              <w:contextualSpacing w:val="0"/>
              <w:jc w:val="center"/>
              <w:rPr>
                <w:rFonts w:ascii="Times New Roman" w:eastAsia="Times New Roman" w:hAnsi="Times New Roman" w:cs="Times New Roman"/>
                <w:color w:val="5B574C"/>
                <w:szCs w:val="24"/>
              </w:rPr>
            </w:pPr>
            <w:r w:rsidRPr="00C00B6D">
              <w:rPr>
                <w:rFonts w:ascii="Times New Roman" w:eastAsia="Times New Roman" w:hAnsi="Times New Roman" w:cs="Times New Roman"/>
                <w:color w:val="5B574C"/>
                <w:szCs w:val="24"/>
              </w:rPr>
              <w:t>50–64</w:t>
            </w:r>
          </w:p>
        </w:tc>
        <w:tc>
          <w:tcPr>
            <w:tcW w:w="0" w:type="auto"/>
            <w:noWrap/>
            <w:vAlign w:val="center"/>
            <w:hideMark/>
          </w:tcPr>
          <w:p w14:paraId="49520BAB" w14:textId="77777777" w:rsidR="00C00B6D" w:rsidRPr="00383E6F" w:rsidRDefault="00C00B6D" w:rsidP="00DF1E5A">
            <w:pPr>
              <w:spacing w:after="0" w:line="240" w:lineRule="auto"/>
              <w:contextualSpacing w:val="0"/>
              <w:jc w:val="center"/>
              <w:rPr>
                <w:rFonts w:ascii="Times New Roman" w:eastAsia="Times New Roman" w:hAnsi="Times New Roman" w:cs="Times New Roman"/>
                <w:b/>
                <w:bCs/>
                <w:color w:val="000000" w:themeColor="text1"/>
                <w:szCs w:val="24"/>
              </w:rPr>
            </w:pPr>
            <w:r w:rsidRPr="00383E6F">
              <w:rPr>
                <w:rFonts w:ascii="Times New Roman" w:eastAsia="Times New Roman" w:hAnsi="Times New Roman" w:cs="Times New Roman"/>
                <w:b/>
                <w:bCs/>
                <w:color w:val="000000" w:themeColor="text1"/>
                <w:szCs w:val="24"/>
              </w:rPr>
              <w:t>Watch List</w:t>
            </w:r>
          </w:p>
        </w:tc>
        <w:tc>
          <w:tcPr>
            <w:tcW w:w="0" w:type="auto"/>
            <w:noWrap/>
            <w:vAlign w:val="center"/>
            <w:hideMark/>
          </w:tcPr>
          <w:p w14:paraId="6B967DE7" w14:textId="77777777" w:rsidR="00C00B6D" w:rsidRPr="00C00B6D" w:rsidRDefault="00C00B6D" w:rsidP="00DF1E5A">
            <w:pPr>
              <w:spacing w:after="0" w:line="240" w:lineRule="auto"/>
              <w:contextualSpacing w:val="0"/>
              <w:jc w:val="center"/>
              <w:rPr>
                <w:rFonts w:ascii="Times New Roman" w:eastAsia="Times New Roman" w:hAnsi="Times New Roman" w:cs="Times New Roman"/>
                <w:szCs w:val="24"/>
              </w:rPr>
            </w:pPr>
            <w:r w:rsidRPr="00C00B6D">
              <w:rPr>
                <w:rFonts w:ascii="Times New Roman" w:eastAsia="Times New Roman" w:hAnsi="Times New Roman" w:cs="Times New Roman"/>
                <w:szCs w:val="24"/>
              </w:rPr>
              <w:t>No new capital</w:t>
            </w:r>
          </w:p>
        </w:tc>
        <w:tc>
          <w:tcPr>
            <w:tcW w:w="3073" w:type="dxa"/>
            <w:noWrap/>
            <w:vAlign w:val="center"/>
            <w:hideMark/>
          </w:tcPr>
          <w:p w14:paraId="0768FE82" w14:textId="77777777" w:rsidR="00C00B6D" w:rsidRPr="00C00B6D" w:rsidRDefault="00C00B6D" w:rsidP="00DF1E5A">
            <w:pPr>
              <w:spacing w:after="0" w:line="240" w:lineRule="auto"/>
              <w:contextualSpacing w:val="0"/>
              <w:jc w:val="center"/>
              <w:rPr>
                <w:rFonts w:ascii="Times New Roman" w:eastAsia="Times New Roman" w:hAnsi="Times New Roman" w:cs="Times New Roman"/>
                <w:szCs w:val="24"/>
              </w:rPr>
            </w:pPr>
            <w:r w:rsidRPr="00C00B6D">
              <w:rPr>
                <w:rFonts w:ascii="Times New Roman" w:eastAsia="Times New Roman" w:hAnsi="Times New Roman" w:cs="Times New Roman"/>
                <w:szCs w:val="24"/>
              </w:rPr>
              <w:t>Probationary, 90-day review</w:t>
            </w:r>
          </w:p>
        </w:tc>
      </w:tr>
      <w:tr w:rsidR="00C00B6D" w:rsidRPr="00C00B6D" w14:paraId="57A69882" w14:textId="77777777" w:rsidTr="00383E6F">
        <w:trPr>
          <w:cantSplit/>
        </w:trPr>
        <w:tc>
          <w:tcPr>
            <w:tcW w:w="0" w:type="auto"/>
            <w:noWrap/>
            <w:vAlign w:val="center"/>
            <w:hideMark/>
          </w:tcPr>
          <w:p w14:paraId="130C75CA" w14:textId="77777777" w:rsidR="00C00B6D" w:rsidRPr="00C00B6D" w:rsidRDefault="00C00B6D" w:rsidP="00DF1E5A">
            <w:pPr>
              <w:spacing w:after="0" w:line="240" w:lineRule="auto"/>
              <w:contextualSpacing w:val="0"/>
              <w:jc w:val="center"/>
              <w:rPr>
                <w:rFonts w:ascii="Times New Roman" w:eastAsia="Times New Roman" w:hAnsi="Times New Roman" w:cs="Times New Roman"/>
                <w:color w:val="5B574C"/>
                <w:szCs w:val="24"/>
              </w:rPr>
            </w:pPr>
            <w:r w:rsidRPr="00C00B6D">
              <w:rPr>
                <w:rFonts w:ascii="Times New Roman" w:eastAsia="Times New Roman" w:hAnsi="Times New Roman" w:cs="Times New Roman"/>
                <w:color w:val="5B574C"/>
                <w:szCs w:val="24"/>
              </w:rPr>
              <w:t>35–49</w:t>
            </w:r>
          </w:p>
        </w:tc>
        <w:tc>
          <w:tcPr>
            <w:tcW w:w="0" w:type="auto"/>
            <w:noWrap/>
            <w:vAlign w:val="center"/>
            <w:hideMark/>
          </w:tcPr>
          <w:p w14:paraId="600F8FE3" w14:textId="77777777" w:rsidR="00C00B6D" w:rsidRPr="00383E6F" w:rsidRDefault="00C00B6D" w:rsidP="00DF1E5A">
            <w:pPr>
              <w:spacing w:after="0" w:line="240" w:lineRule="auto"/>
              <w:contextualSpacing w:val="0"/>
              <w:jc w:val="center"/>
              <w:rPr>
                <w:rFonts w:ascii="Times New Roman" w:eastAsia="Times New Roman" w:hAnsi="Times New Roman" w:cs="Times New Roman"/>
                <w:b/>
                <w:bCs/>
                <w:color w:val="000000" w:themeColor="text1"/>
                <w:szCs w:val="24"/>
              </w:rPr>
            </w:pPr>
            <w:r w:rsidRPr="00383E6F">
              <w:rPr>
                <w:rFonts w:ascii="Times New Roman" w:hAnsi="Times New Roman"/>
                <w:b/>
                <w:color w:val="000000" w:themeColor="text1"/>
              </w:rPr>
              <w:t>Avoid</w:t>
            </w:r>
          </w:p>
        </w:tc>
        <w:tc>
          <w:tcPr>
            <w:tcW w:w="0" w:type="auto"/>
            <w:noWrap/>
            <w:vAlign w:val="center"/>
            <w:hideMark/>
          </w:tcPr>
          <w:p w14:paraId="500FD892" w14:textId="77777777" w:rsidR="00C00B6D" w:rsidRPr="00C00B6D" w:rsidRDefault="00C00B6D" w:rsidP="00DF1E5A">
            <w:pPr>
              <w:spacing w:after="0" w:line="240" w:lineRule="auto"/>
              <w:contextualSpacing w:val="0"/>
              <w:jc w:val="center"/>
              <w:rPr>
                <w:rFonts w:ascii="Times New Roman" w:eastAsia="Times New Roman" w:hAnsi="Times New Roman" w:cs="Times New Roman"/>
                <w:szCs w:val="24"/>
              </w:rPr>
            </w:pPr>
            <w:r w:rsidRPr="00C00B6D">
              <w:rPr>
                <w:rFonts w:ascii="Times New Roman" w:eastAsia="Times New Roman" w:hAnsi="Times New Roman" w:cs="Times New Roman"/>
                <w:szCs w:val="24"/>
              </w:rPr>
              <w:t>Do not initiate</w:t>
            </w:r>
          </w:p>
        </w:tc>
        <w:tc>
          <w:tcPr>
            <w:tcW w:w="3073" w:type="dxa"/>
            <w:noWrap/>
            <w:vAlign w:val="center"/>
            <w:hideMark/>
          </w:tcPr>
          <w:p w14:paraId="0AF44277" w14:textId="77777777" w:rsidR="00C00B6D" w:rsidRPr="00C00B6D" w:rsidRDefault="00C00B6D" w:rsidP="00DF1E5A">
            <w:pPr>
              <w:spacing w:after="0" w:line="240" w:lineRule="auto"/>
              <w:contextualSpacing w:val="0"/>
              <w:jc w:val="center"/>
              <w:rPr>
                <w:rFonts w:ascii="Times New Roman" w:eastAsia="Times New Roman" w:hAnsi="Times New Roman" w:cs="Times New Roman"/>
                <w:szCs w:val="24"/>
              </w:rPr>
            </w:pPr>
            <w:r w:rsidRPr="00C00B6D">
              <w:rPr>
                <w:rFonts w:ascii="Times New Roman" w:eastAsia="Times New Roman" w:hAnsi="Times New Roman" w:cs="Times New Roman"/>
                <w:szCs w:val="24"/>
              </w:rPr>
              <w:t>Exit review, 90-day plan or sell</w:t>
            </w:r>
          </w:p>
        </w:tc>
      </w:tr>
      <w:tr w:rsidR="00C00B6D" w:rsidRPr="00C00B6D" w14:paraId="62C6D037" w14:textId="77777777" w:rsidTr="00383E6F">
        <w:trPr>
          <w:cantSplit/>
        </w:trPr>
        <w:tc>
          <w:tcPr>
            <w:tcW w:w="0" w:type="auto"/>
            <w:tcBorders>
              <w:bottom w:val="nil"/>
            </w:tcBorders>
            <w:noWrap/>
            <w:vAlign w:val="center"/>
            <w:hideMark/>
          </w:tcPr>
          <w:p w14:paraId="2D35A5CB" w14:textId="77777777" w:rsidR="00C00B6D" w:rsidRPr="00C00B6D" w:rsidRDefault="00C00B6D" w:rsidP="00DF1E5A">
            <w:pPr>
              <w:spacing w:after="0" w:line="240" w:lineRule="auto"/>
              <w:contextualSpacing w:val="0"/>
              <w:jc w:val="center"/>
              <w:rPr>
                <w:rFonts w:ascii="Times New Roman" w:eastAsia="Times New Roman" w:hAnsi="Times New Roman" w:cs="Times New Roman"/>
                <w:color w:val="5B574C"/>
                <w:szCs w:val="24"/>
              </w:rPr>
            </w:pPr>
            <w:r w:rsidRPr="00C00B6D">
              <w:rPr>
                <w:rFonts w:ascii="Times New Roman" w:eastAsia="Times New Roman" w:hAnsi="Times New Roman" w:cs="Times New Roman"/>
                <w:color w:val="5B574C"/>
                <w:szCs w:val="24"/>
              </w:rPr>
              <w:t>&lt;35</w:t>
            </w:r>
          </w:p>
        </w:tc>
        <w:tc>
          <w:tcPr>
            <w:tcW w:w="0" w:type="auto"/>
            <w:tcBorders>
              <w:bottom w:val="nil"/>
            </w:tcBorders>
            <w:noWrap/>
            <w:vAlign w:val="center"/>
            <w:hideMark/>
          </w:tcPr>
          <w:p w14:paraId="7E262C2B" w14:textId="77777777" w:rsidR="00C00B6D" w:rsidRPr="00383E6F" w:rsidRDefault="00C00B6D" w:rsidP="00DF1E5A">
            <w:pPr>
              <w:spacing w:after="0" w:line="240" w:lineRule="auto"/>
              <w:contextualSpacing w:val="0"/>
              <w:jc w:val="center"/>
              <w:rPr>
                <w:rFonts w:ascii="Times New Roman" w:eastAsia="Times New Roman" w:hAnsi="Times New Roman" w:cs="Times New Roman"/>
                <w:b/>
                <w:bCs/>
                <w:color w:val="000000" w:themeColor="text1"/>
                <w:szCs w:val="24"/>
              </w:rPr>
            </w:pPr>
            <w:r w:rsidRPr="00383E6F">
              <w:rPr>
                <w:rFonts w:ascii="Times New Roman" w:hAnsi="Times New Roman"/>
                <w:b/>
                <w:color w:val="000000" w:themeColor="text1"/>
              </w:rPr>
              <w:t>Pass</w:t>
            </w:r>
          </w:p>
        </w:tc>
        <w:tc>
          <w:tcPr>
            <w:tcW w:w="0" w:type="auto"/>
            <w:tcBorders>
              <w:bottom w:val="nil"/>
            </w:tcBorders>
            <w:noWrap/>
            <w:vAlign w:val="center"/>
            <w:hideMark/>
          </w:tcPr>
          <w:p w14:paraId="19795C25" w14:textId="77777777" w:rsidR="00C00B6D" w:rsidRPr="00C00B6D" w:rsidRDefault="00C00B6D" w:rsidP="00DF1E5A">
            <w:pPr>
              <w:spacing w:after="0" w:line="240" w:lineRule="auto"/>
              <w:contextualSpacing w:val="0"/>
              <w:jc w:val="center"/>
              <w:rPr>
                <w:rFonts w:ascii="Times New Roman" w:eastAsia="Times New Roman" w:hAnsi="Times New Roman" w:cs="Times New Roman"/>
                <w:szCs w:val="24"/>
              </w:rPr>
            </w:pPr>
            <w:r w:rsidRPr="00C00B6D">
              <w:rPr>
                <w:rFonts w:ascii="Times New Roman" w:eastAsia="Times New Roman" w:hAnsi="Times New Roman" w:cs="Times New Roman"/>
                <w:szCs w:val="24"/>
              </w:rPr>
              <w:t>Remove from coverage</w:t>
            </w:r>
          </w:p>
        </w:tc>
        <w:tc>
          <w:tcPr>
            <w:tcW w:w="3073" w:type="dxa"/>
            <w:tcBorders>
              <w:bottom w:val="nil"/>
            </w:tcBorders>
            <w:noWrap/>
            <w:vAlign w:val="center"/>
            <w:hideMark/>
          </w:tcPr>
          <w:p w14:paraId="5FD0A7EB" w14:textId="77777777" w:rsidR="00C00B6D" w:rsidRPr="00C00B6D" w:rsidRDefault="00C00B6D" w:rsidP="00DF1E5A">
            <w:pPr>
              <w:spacing w:after="0" w:line="240" w:lineRule="auto"/>
              <w:contextualSpacing w:val="0"/>
              <w:jc w:val="center"/>
              <w:rPr>
                <w:rFonts w:ascii="Times New Roman" w:eastAsia="Times New Roman" w:hAnsi="Times New Roman" w:cs="Times New Roman"/>
                <w:szCs w:val="24"/>
              </w:rPr>
            </w:pPr>
            <w:r w:rsidRPr="00C00B6D">
              <w:rPr>
                <w:rFonts w:ascii="Times New Roman" w:eastAsia="Times New Roman" w:hAnsi="Times New Roman" w:cs="Times New Roman"/>
                <w:szCs w:val="24"/>
              </w:rPr>
              <w:t>Sell within 30 days</w:t>
            </w:r>
          </w:p>
        </w:tc>
      </w:tr>
    </w:tbl>
    <w:p w14:paraId="002EB2C3" w14:textId="52E0B851" w:rsidR="00C00B6D" w:rsidRPr="00C00B6D" w:rsidRDefault="00C00B6D" w:rsidP="00C00B6D">
      <w:pPr>
        <w:spacing w:before="100" w:beforeAutospacing="1" w:after="100" w:afterAutospacing="1" w:line="240" w:lineRule="auto"/>
        <w:contextualSpacing w:val="0"/>
        <w:rPr>
          <w:rFonts w:ascii="Times New Roman" w:eastAsia="Times New Roman" w:hAnsi="Times New Roman" w:cs="Times New Roman"/>
          <w:szCs w:val="24"/>
        </w:rPr>
      </w:pPr>
      <w:r w:rsidRPr="00C00B6D">
        <w:rPr>
          <w:rFonts w:ascii="Times New Roman" w:eastAsia="Times New Roman" w:hAnsi="Times New Roman" w:cs="Times New Roman"/>
          <w:szCs w:val="24"/>
        </w:rPr>
        <w:t xml:space="preserve">Two of these bands carry explicit five-year performance objectives — twelve percent </w:t>
      </w:r>
      <w:r w:rsidR="00383E6F">
        <w:rPr>
          <w:rFonts w:ascii="Times New Roman" w:eastAsia="Times New Roman" w:hAnsi="Times New Roman" w:cs="Times New Roman"/>
          <w:szCs w:val="24"/>
        </w:rPr>
        <w:t xml:space="preserve">(12%) </w:t>
      </w:r>
      <w:r w:rsidRPr="00C00B6D">
        <w:rPr>
          <w:rFonts w:ascii="Times New Roman" w:eastAsia="Times New Roman" w:hAnsi="Times New Roman" w:cs="Times New Roman"/>
          <w:szCs w:val="24"/>
        </w:rPr>
        <w:t xml:space="preserve">annualized for </w:t>
      </w:r>
      <w:r w:rsidRPr="00383E6F">
        <w:rPr>
          <w:rFonts w:ascii="Times New Roman" w:eastAsia="Times New Roman" w:hAnsi="Times New Roman" w:cs="Times New Roman"/>
          <w:b/>
          <w:bCs/>
          <w:szCs w:val="24"/>
        </w:rPr>
        <w:t>Strong Buy</w:t>
      </w:r>
      <w:r w:rsidRPr="00C00B6D">
        <w:rPr>
          <w:rFonts w:ascii="Times New Roman" w:eastAsia="Times New Roman" w:hAnsi="Times New Roman" w:cs="Times New Roman"/>
          <w:szCs w:val="24"/>
        </w:rPr>
        <w:t xml:space="preserve">, ten percent </w:t>
      </w:r>
      <w:r w:rsidR="00383E6F">
        <w:rPr>
          <w:rFonts w:ascii="Times New Roman" w:eastAsia="Times New Roman" w:hAnsi="Times New Roman" w:cs="Times New Roman"/>
          <w:szCs w:val="24"/>
        </w:rPr>
        <w:t xml:space="preserve">(10%) </w:t>
      </w:r>
      <w:r w:rsidRPr="00C00B6D">
        <w:rPr>
          <w:rFonts w:ascii="Times New Roman" w:eastAsia="Times New Roman" w:hAnsi="Times New Roman" w:cs="Times New Roman"/>
          <w:szCs w:val="24"/>
        </w:rPr>
        <w:t>fo</w:t>
      </w:r>
      <w:r w:rsidRPr="0023251F">
        <w:rPr>
          <w:rFonts w:ascii="Times New Roman" w:eastAsia="Times New Roman" w:hAnsi="Times New Roman" w:cs="Times New Roman"/>
          <w:szCs w:val="24"/>
        </w:rPr>
        <w:t xml:space="preserve">r </w:t>
      </w:r>
      <w:r w:rsidRPr="00383E6F">
        <w:rPr>
          <w:rFonts w:ascii="Times New Roman" w:eastAsia="Times New Roman" w:hAnsi="Times New Roman" w:cs="Times New Roman"/>
          <w:b/>
          <w:bCs/>
          <w:szCs w:val="24"/>
        </w:rPr>
        <w:t>Buy</w:t>
      </w:r>
      <w:r w:rsidRPr="00C00B6D">
        <w:rPr>
          <w:rFonts w:ascii="Times New Roman" w:eastAsia="Times New Roman" w:hAnsi="Times New Roman" w:cs="Times New Roman"/>
          <w:szCs w:val="24"/>
        </w:rPr>
        <w:t>. Both are treated throughout as planning targets, not promises, a distinction this piece returns to later.</w:t>
      </w:r>
    </w:p>
    <w:p w14:paraId="1A8CA215" w14:textId="27CD2F8D" w:rsidR="00C00B6D" w:rsidRPr="00C00B6D" w:rsidRDefault="00C00B6D" w:rsidP="00C00B6D">
      <w:pPr>
        <w:spacing w:before="100" w:beforeAutospacing="1" w:after="100" w:afterAutospacing="1" w:line="240" w:lineRule="auto"/>
        <w:contextualSpacing w:val="0"/>
        <w:rPr>
          <w:rFonts w:ascii="Times New Roman" w:eastAsia="Times New Roman" w:hAnsi="Times New Roman" w:cs="Times New Roman"/>
          <w:szCs w:val="24"/>
        </w:rPr>
      </w:pPr>
      <w:r w:rsidRPr="00C00B6D">
        <w:rPr>
          <w:rFonts w:ascii="Times New Roman" w:eastAsia="Times New Roman" w:hAnsi="Times New Roman" w:cs="Times New Roman"/>
          <w:szCs w:val="24"/>
        </w:rPr>
        <w:lastRenderedPageBreak/>
        <w:t xml:space="preserve">A handful of override rules sit on top of this arithmetic and cannot be argued around — two </w:t>
      </w:r>
      <w:r w:rsidR="0023251F">
        <w:rPr>
          <w:rFonts w:ascii="Times New Roman" w:eastAsia="Times New Roman" w:hAnsi="Times New Roman" w:cs="Times New Roman"/>
          <w:szCs w:val="24"/>
        </w:rPr>
        <w:t xml:space="preserve">(2) </w:t>
      </w:r>
      <w:r w:rsidRPr="0023251F">
        <w:rPr>
          <w:rFonts w:ascii="Times New Roman" w:eastAsia="Times New Roman" w:hAnsi="Times New Roman" w:cs="Times New Roman"/>
          <w:b/>
          <w:bCs/>
          <w:szCs w:val="24"/>
        </w:rPr>
        <w:t>Tier 1</w:t>
      </w:r>
      <w:r w:rsidRPr="00C00B6D">
        <w:rPr>
          <w:rFonts w:ascii="Times New Roman" w:eastAsia="Times New Roman" w:hAnsi="Times New Roman" w:cs="Times New Roman"/>
          <w:szCs w:val="24"/>
        </w:rPr>
        <w:t xml:space="preserve"> indicators scoring two </w:t>
      </w:r>
      <w:r w:rsidR="0023251F">
        <w:rPr>
          <w:rFonts w:ascii="Times New Roman" w:eastAsia="Times New Roman" w:hAnsi="Times New Roman" w:cs="Times New Roman"/>
          <w:szCs w:val="24"/>
        </w:rPr>
        <w:t xml:space="preserve">(2.0) </w:t>
      </w:r>
      <w:r w:rsidRPr="00C00B6D">
        <w:rPr>
          <w:rFonts w:ascii="Times New Roman" w:eastAsia="Times New Roman" w:hAnsi="Times New Roman" w:cs="Times New Roman"/>
          <w:szCs w:val="24"/>
        </w:rPr>
        <w:t xml:space="preserve">or below is an automatic </w:t>
      </w:r>
      <w:r w:rsidRPr="00383E6F">
        <w:rPr>
          <w:rFonts w:ascii="Times New Roman" w:eastAsia="Times New Roman" w:hAnsi="Times New Roman" w:cs="Times New Roman"/>
          <w:b/>
          <w:bCs/>
          <w:szCs w:val="24"/>
        </w:rPr>
        <w:t xml:space="preserve">Avoid </w:t>
      </w:r>
      <w:r w:rsidRPr="00C00B6D">
        <w:rPr>
          <w:rFonts w:ascii="Times New Roman" w:eastAsia="Times New Roman" w:hAnsi="Times New Roman" w:cs="Times New Roman"/>
          <w:szCs w:val="24"/>
        </w:rPr>
        <w:t xml:space="preserve">regardless of the composite number, and two </w:t>
      </w:r>
      <w:r w:rsidR="0023251F">
        <w:rPr>
          <w:rFonts w:ascii="Times New Roman" w:eastAsia="Times New Roman" w:hAnsi="Times New Roman" w:cs="Times New Roman"/>
          <w:szCs w:val="24"/>
        </w:rPr>
        <w:t xml:space="preserve">(2) </w:t>
      </w:r>
      <w:r w:rsidRPr="00C00B6D">
        <w:rPr>
          <w:rFonts w:ascii="Times New Roman" w:eastAsia="Times New Roman" w:hAnsi="Times New Roman" w:cs="Times New Roman"/>
          <w:szCs w:val="24"/>
        </w:rPr>
        <w:t xml:space="preserve">or more </w:t>
      </w:r>
      <w:r w:rsidRPr="0023251F">
        <w:rPr>
          <w:rFonts w:ascii="Times New Roman" w:eastAsia="Times New Roman" w:hAnsi="Times New Roman" w:cs="Times New Roman"/>
          <w:b/>
          <w:bCs/>
          <w:szCs w:val="24"/>
        </w:rPr>
        <w:t>Tier 1</w:t>
      </w:r>
      <w:r w:rsidRPr="00C00B6D">
        <w:rPr>
          <w:rFonts w:ascii="Times New Roman" w:eastAsia="Times New Roman" w:hAnsi="Times New Roman" w:cs="Times New Roman"/>
          <w:szCs w:val="24"/>
        </w:rPr>
        <w:t xml:space="preserve"> indicators tagged </w:t>
      </w:r>
      <w:r w:rsidRPr="00383E6F">
        <w:rPr>
          <w:rFonts w:ascii="Times New Roman" w:eastAsia="Times New Roman" w:hAnsi="Times New Roman" w:cs="Times New Roman"/>
          <w:b/>
          <w:bCs/>
          <w:szCs w:val="24"/>
        </w:rPr>
        <w:t>low confidence</w:t>
      </w:r>
      <w:r w:rsidRPr="00C00B6D">
        <w:rPr>
          <w:rFonts w:ascii="Times New Roman" w:eastAsia="Times New Roman" w:hAnsi="Times New Roman" w:cs="Times New Roman"/>
          <w:szCs w:val="24"/>
        </w:rPr>
        <w:t xml:space="preserve"> caps the classification at </w:t>
      </w:r>
      <w:r w:rsidRPr="00383E6F">
        <w:rPr>
          <w:rFonts w:ascii="Times New Roman" w:eastAsia="Times New Roman" w:hAnsi="Times New Roman" w:cs="Times New Roman"/>
          <w:b/>
          <w:bCs/>
          <w:szCs w:val="24"/>
        </w:rPr>
        <w:t xml:space="preserve">Buy </w:t>
      </w:r>
      <w:r w:rsidR="0023251F">
        <w:rPr>
          <w:rFonts w:ascii="Times New Roman" w:eastAsia="Times New Roman" w:hAnsi="Times New Roman" w:cs="Times New Roman"/>
          <w:b/>
          <w:bCs/>
          <w:szCs w:val="24"/>
        </w:rPr>
        <w:t xml:space="preserve">– </w:t>
      </w:r>
      <w:r w:rsidRPr="00C00B6D">
        <w:rPr>
          <w:rFonts w:ascii="Times New Roman" w:eastAsia="Times New Roman" w:hAnsi="Times New Roman" w:cs="Times New Roman"/>
          <w:szCs w:val="24"/>
        </w:rPr>
        <w:t>even if the math says higher. The System is, in this sense, less like a spreadsheet and more like a review board that can veto an application no matter how good its numbers look: figures matter, but a small set of disqualifying facts can override them outright.</w:t>
      </w:r>
    </w:p>
    <w:p w14:paraId="2032BECC" w14:textId="30FEC49B" w:rsidR="00C00B6D" w:rsidRPr="00C00B6D" w:rsidRDefault="00C00B6D" w:rsidP="00C00B6D">
      <w:pPr>
        <w:spacing w:after="0" w:line="240" w:lineRule="auto"/>
        <w:contextualSpacing w:val="0"/>
        <w:rPr>
          <w:rFonts w:ascii="Times New Roman" w:eastAsia="Times New Roman" w:hAnsi="Times New Roman" w:cs="Times New Roman"/>
          <w:szCs w:val="24"/>
        </w:rPr>
      </w:pPr>
      <w:r w:rsidRPr="00C00B6D">
        <w:rPr>
          <w:rFonts w:ascii="Times New Roman" w:eastAsia="Times New Roman" w:hAnsi="Times New Roman" w:cs="Times New Roman"/>
          <w:szCs w:val="24"/>
        </w:rPr>
        <w:t xml:space="preserve">One design choice is worth noting because it is more conservative than it needs to be. </w:t>
      </w:r>
      <w:r w:rsidRPr="00383E6F">
        <w:rPr>
          <w:rFonts w:ascii="Times New Roman" w:eastAsia="Times New Roman" w:hAnsi="Times New Roman" w:cs="Times New Roman"/>
          <w:b/>
          <w:bCs/>
          <w:szCs w:val="24"/>
        </w:rPr>
        <w:t>Free cash flow</w:t>
      </w:r>
      <w:r w:rsidRPr="00C00B6D">
        <w:rPr>
          <w:rFonts w:ascii="Times New Roman" w:eastAsia="Times New Roman" w:hAnsi="Times New Roman" w:cs="Times New Roman"/>
          <w:szCs w:val="24"/>
        </w:rPr>
        <w:t xml:space="preserve">, the System’s </w:t>
      </w:r>
      <w:r w:rsidRPr="0023251F">
        <w:rPr>
          <w:rFonts w:ascii="Times New Roman" w:eastAsia="Times New Roman" w:hAnsi="Times New Roman" w:cs="Times New Roman"/>
          <w:szCs w:val="24"/>
          <w:u w:val="single"/>
        </w:rPr>
        <w:t>central valuation input</w:t>
      </w:r>
      <w:r w:rsidRPr="00C00B6D">
        <w:rPr>
          <w:rFonts w:ascii="Times New Roman" w:eastAsia="Times New Roman" w:hAnsi="Times New Roman" w:cs="Times New Roman"/>
          <w:szCs w:val="24"/>
        </w:rPr>
        <w:t xml:space="preserve">, is defined to treat stock-based compensation as a genuine economic cost — deducted at its grant-date value — rather than added back as a non-cash item the way headline free cash flow figures often are. That distinction matters because a stock grant is real dilution for existing shareholders even though no cash </w:t>
      </w:r>
      <w:proofErr w:type="gramStart"/>
      <w:r w:rsidRPr="00C00B6D">
        <w:rPr>
          <w:rFonts w:ascii="Times New Roman" w:eastAsia="Times New Roman" w:hAnsi="Times New Roman" w:cs="Times New Roman"/>
          <w:szCs w:val="24"/>
        </w:rPr>
        <w:t>actually left</w:t>
      </w:r>
      <w:proofErr w:type="gramEnd"/>
      <w:r w:rsidRPr="00C00B6D">
        <w:rPr>
          <w:rFonts w:ascii="Times New Roman" w:eastAsia="Times New Roman" w:hAnsi="Times New Roman" w:cs="Times New Roman"/>
          <w:szCs w:val="24"/>
        </w:rPr>
        <w:t xml:space="preserve"> the company, and it is precisely the kind of adjustment that separates a rigorous buy-side process from a screen built on unadjusted data.</w:t>
      </w:r>
    </w:p>
    <w:p w14:paraId="55CE5EAC" w14:textId="77777777" w:rsidR="00C00B6D" w:rsidRPr="00C00B6D" w:rsidRDefault="00C00B6D" w:rsidP="00383E6F">
      <w:pPr>
        <w:pStyle w:val="Heading1"/>
      </w:pPr>
      <w:r w:rsidRPr="00C00B6D">
        <w:t>From score to purchase: the entry discipline</w:t>
      </w:r>
    </w:p>
    <w:p w14:paraId="6912D23C" w14:textId="5F2AACBE" w:rsidR="00C00B6D" w:rsidRPr="00C00B6D" w:rsidRDefault="00C00B6D" w:rsidP="00C00B6D">
      <w:pPr>
        <w:spacing w:before="100" w:beforeAutospacing="1" w:after="100" w:afterAutospacing="1" w:line="240" w:lineRule="auto"/>
        <w:contextualSpacing w:val="0"/>
        <w:rPr>
          <w:rFonts w:ascii="Times New Roman" w:eastAsia="Times New Roman" w:hAnsi="Times New Roman" w:cs="Times New Roman"/>
          <w:szCs w:val="24"/>
        </w:rPr>
      </w:pPr>
      <w:r w:rsidRPr="00C00B6D">
        <w:rPr>
          <w:rFonts w:ascii="Times New Roman" w:eastAsia="Times New Roman" w:hAnsi="Times New Roman" w:cs="Times New Roman"/>
          <w:szCs w:val="24"/>
        </w:rPr>
        <w:t xml:space="preserve">A qualifying score authorizes consideration, not a purchase. Before capital moves, the System requires an estimate of what the investment will </w:t>
      </w:r>
      <w:proofErr w:type="gramStart"/>
      <w:r w:rsidRPr="00C00B6D">
        <w:rPr>
          <w:rFonts w:ascii="Times New Roman" w:eastAsia="Times New Roman" w:hAnsi="Times New Roman" w:cs="Times New Roman"/>
          <w:szCs w:val="24"/>
        </w:rPr>
        <w:t>actually return</w:t>
      </w:r>
      <w:proofErr w:type="gramEnd"/>
      <w:r w:rsidRPr="00C00B6D">
        <w:rPr>
          <w:rFonts w:ascii="Times New Roman" w:eastAsia="Times New Roman" w:hAnsi="Times New Roman" w:cs="Times New Roman"/>
          <w:szCs w:val="24"/>
        </w:rPr>
        <w:t xml:space="preserve">. For every candidate, an analyst projects </w:t>
      </w:r>
      <w:r w:rsidRPr="0023251F">
        <w:rPr>
          <w:rFonts w:ascii="Times New Roman" w:eastAsia="Times New Roman" w:hAnsi="Times New Roman" w:cs="Times New Roman"/>
          <w:b/>
          <w:bCs/>
          <w:szCs w:val="24"/>
        </w:rPr>
        <w:t>five-year equity value</w:t>
      </w:r>
      <w:r w:rsidRPr="00C00B6D">
        <w:rPr>
          <w:rFonts w:ascii="Times New Roman" w:eastAsia="Times New Roman" w:hAnsi="Times New Roman" w:cs="Times New Roman"/>
          <w:szCs w:val="24"/>
        </w:rPr>
        <w:t xml:space="preserve"> from </w:t>
      </w:r>
      <w:r w:rsidRPr="0023251F">
        <w:rPr>
          <w:rFonts w:ascii="Times New Roman" w:eastAsia="Times New Roman" w:hAnsi="Times New Roman" w:cs="Times New Roman"/>
          <w:b/>
          <w:bCs/>
          <w:szCs w:val="24"/>
        </w:rPr>
        <w:t>normalized free cash flow</w:t>
      </w:r>
      <w:r w:rsidRPr="00C00B6D">
        <w:rPr>
          <w:rFonts w:ascii="Times New Roman" w:eastAsia="Times New Roman" w:hAnsi="Times New Roman" w:cs="Times New Roman"/>
          <w:szCs w:val="24"/>
        </w:rPr>
        <w:t>, multiplied by a defensible terminal multiple — one that cannot exceed the lower of today’s multiple or the company’s own five-year median</w:t>
      </w:r>
      <w:r w:rsidR="0023251F">
        <w:rPr>
          <w:rFonts w:ascii="Times New Roman" w:eastAsia="Times New Roman" w:hAnsi="Times New Roman" w:cs="Times New Roman"/>
          <w:szCs w:val="24"/>
        </w:rPr>
        <w:t xml:space="preserve"> –</w:t>
      </w:r>
      <w:r w:rsidRPr="00C00B6D">
        <w:rPr>
          <w:rFonts w:ascii="Times New Roman" w:eastAsia="Times New Roman" w:hAnsi="Times New Roman" w:cs="Times New Roman"/>
          <w:szCs w:val="24"/>
        </w:rPr>
        <w:t xml:space="preserve"> which rules out simply assuming the market will pay more for the business in the future than it does today, short of a rare, separately documented exception. That projection is required under three separate scenarios — </w:t>
      </w:r>
      <w:r w:rsidRPr="0023251F">
        <w:rPr>
          <w:rFonts w:ascii="Times New Roman" w:eastAsia="Times New Roman" w:hAnsi="Times New Roman" w:cs="Times New Roman"/>
          <w:b/>
          <w:bCs/>
          <w:szCs w:val="24"/>
        </w:rPr>
        <w:t>bull</w:t>
      </w:r>
      <w:r w:rsidRPr="00C00B6D">
        <w:rPr>
          <w:rFonts w:ascii="Times New Roman" w:eastAsia="Times New Roman" w:hAnsi="Times New Roman" w:cs="Times New Roman"/>
          <w:szCs w:val="24"/>
        </w:rPr>
        <w:t xml:space="preserve">, </w:t>
      </w:r>
      <w:r w:rsidRPr="0023251F">
        <w:rPr>
          <w:rFonts w:ascii="Times New Roman" w:eastAsia="Times New Roman" w:hAnsi="Times New Roman" w:cs="Times New Roman"/>
          <w:b/>
          <w:bCs/>
          <w:szCs w:val="24"/>
        </w:rPr>
        <w:t>base</w:t>
      </w:r>
      <w:r w:rsidRPr="00C00B6D">
        <w:rPr>
          <w:rFonts w:ascii="Times New Roman" w:eastAsia="Times New Roman" w:hAnsi="Times New Roman" w:cs="Times New Roman"/>
          <w:szCs w:val="24"/>
        </w:rPr>
        <w:t xml:space="preserve">, and </w:t>
      </w:r>
      <w:r w:rsidRPr="0023251F">
        <w:rPr>
          <w:rFonts w:ascii="Times New Roman" w:eastAsia="Times New Roman" w:hAnsi="Times New Roman" w:cs="Times New Roman"/>
          <w:b/>
          <w:bCs/>
          <w:szCs w:val="24"/>
        </w:rPr>
        <w:t>bear</w:t>
      </w:r>
      <w:r w:rsidRPr="00C00B6D">
        <w:rPr>
          <w:rFonts w:ascii="Times New Roman" w:eastAsia="Times New Roman" w:hAnsi="Times New Roman" w:cs="Times New Roman"/>
          <w:szCs w:val="24"/>
        </w:rPr>
        <w:t xml:space="preserve"> — and exactly </w:t>
      </w:r>
      <w:r w:rsidR="0023251F">
        <w:rPr>
          <w:rFonts w:ascii="Times New Roman" w:eastAsia="Times New Roman" w:hAnsi="Times New Roman" w:cs="Times New Roman"/>
          <w:szCs w:val="24"/>
        </w:rPr>
        <w:t xml:space="preserve">only </w:t>
      </w:r>
      <w:r w:rsidRPr="00C00B6D">
        <w:rPr>
          <w:rFonts w:ascii="Times New Roman" w:eastAsia="Times New Roman" w:hAnsi="Times New Roman" w:cs="Times New Roman"/>
          <w:szCs w:val="24"/>
        </w:rPr>
        <w:t>one may be tagged “</w:t>
      </w:r>
      <w:r w:rsidRPr="0023251F">
        <w:rPr>
          <w:rFonts w:ascii="Times New Roman" w:eastAsia="Times New Roman" w:hAnsi="Times New Roman" w:cs="Times New Roman"/>
          <w:b/>
          <w:bCs/>
          <w:szCs w:val="24"/>
        </w:rPr>
        <w:t>likely</w:t>
      </w:r>
      <w:r w:rsidRPr="00C00B6D">
        <w:rPr>
          <w:rFonts w:ascii="Times New Roman" w:eastAsia="Times New Roman" w:hAnsi="Times New Roman" w:cs="Times New Roman"/>
          <w:szCs w:val="24"/>
        </w:rPr>
        <w:t>.” No numeric probabilities are permitted on these tags, on the reasoning that assigning a false precision like “sixty percent</w:t>
      </w:r>
      <w:r w:rsidR="00A0043D">
        <w:rPr>
          <w:rFonts w:ascii="Times New Roman" w:eastAsia="Times New Roman" w:hAnsi="Times New Roman" w:cs="Times New Roman"/>
          <w:szCs w:val="24"/>
        </w:rPr>
        <w:t xml:space="preserve"> (60%)</w:t>
      </w:r>
      <w:r w:rsidRPr="00C00B6D">
        <w:rPr>
          <w:rFonts w:ascii="Times New Roman" w:eastAsia="Times New Roman" w:hAnsi="Times New Roman" w:cs="Times New Roman"/>
          <w:szCs w:val="24"/>
        </w:rPr>
        <w:t>” to a qualitative judgment about a moat’s durability manufactures confidence that does not actually exist.</w:t>
      </w:r>
    </w:p>
    <w:p w14:paraId="12183B44" w14:textId="77777777" w:rsidR="00C00B6D" w:rsidRPr="00C00B6D" w:rsidRDefault="00C00B6D" w:rsidP="00C00B6D">
      <w:pPr>
        <w:spacing w:after="0" w:line="240" w:lineRule="auto"/>
        <w:contextualSpacing w:val="0"/>
        <w:rPr>
          <w:rFonts w:ascii="Times New Roman" w:eastAsia="Times New Roman" w:hAnsi="Times New Roman" w:cs="Times New Roman"/>
          <w:i/>
          <w:iCs/>
          <w:color w:val="1E1C18"/>
          <w:szCs w:val="24"/>
        </w:rPr>
      </w:pPr>
      <w:r w:rsidRPr="00C00B6D">
        <w:rPr>
          <w:rFonts w:ascii="Times New Roman" w:eastAsia="Times New Roman" w:hAnsi="Times New Roman" w:cs="Times New Roman"/>
          <w:i/>
          <w:iCs/>
          <w:color w:val="1E1C18"/>
          <w:szCs w:val="24"/>
        </w:rPr>
        <w:t>A wonderful business at too high a price is not a good investment; this is the mechanism that keeps that distinction from being argued away by enthusiasm.</w:t>
      </w:r>
    </w:p>
    <w:p w14:paraId="46A64FA8" w14:textId="5A6A337D" w:rsidR="00C00B6D" w:rsidRPr="00C00B6D" w:rsidRDefault="00C00B6D" w:rsidP="00C00B6D">
      <w:pPr>
        <w:spacing w:before="100" w:beforeAutospacing="1" w:after="100" w:afterAutospacing="1" w:line="240" w:lineRule="auto"/>
        <w:contextualSpacing w:val="0"/>
        <w:rPr>
          <w:rFonts w:ascii="Times New Roman" w:eastAsia="Times New Roman" w:hAnsi="Times New Roman" w:cs="Times New Roman"/>
          <w:szCs w:val="24"/>
        </w:rPr>
      </w:pPr>
      <w:r w:rsidRPr="00C00B6D">
        <w:rPr>
          <w:rFonts w:ascii="Times New Roman" w:eastAsia="Times New Roman" w:hAnsi="Times New Roman" w:cs="Times New Roman"/>
          <w:szCs w:val="24"/>
        </w:rPr>
        <w:t xml:space="preserve">Two thresholds do the </w:t>
      </w:r>
      <w:r w:rsidR="009534D1" w:rsidRPr="00C00B6D">
        <w:rPr>
          <w:rFonts w:ascii="Times New Roman" w:eastAsia="Times New Roman" w:hAnsi="Times New Roman" w:cs="Times New Roman"/>
          <w:szCs w:val="24"/>
        </w:rPr>
        <w:t>quietest</w:t>
      </w:r>
      <w:r w:rsidRPr="00C00B6D">
        <w:rPr>
          <w:rFonts w:ascii="Times New Roman" w:eastAsia="Times New Roman" w:hAnsi="Times New Roman" w:cs="Times New Roman"/>
          <w:szCs w:val="24"/>
        </w:rPr>
        <w:t xml:space="preserve"> work here. The </w:t>
      </w:r>
      <w:r w:rsidRPr="00A0043D">
        <w:rPr>
          <w:rFonts w:ascii="Times New Roman" w:eastAsia="Times New Roman" w:hAnsi="Times New Roman" w:cs="Times New Roman"/>
          <w:b/>
          <w:bCs/>
          <w:szCs w:val="24"/>
        </w:rPr>
        <w:t>base-case projection</w:t>
      </w:r>
      <w:r w:rsidRPr="00C00B6D">
        <w:rPr>
          <w:rFonts w:ascii="Times New Roman" w:eastAsia="Times New Roman" w:hAnsi="Times New Roman" w:cs="Times New Roman"/>
          <w:szCs w:val="24"/>
        </w:rPr>
        <w:t xml:space="preserve"> must clear ten percent </w:t>
      </w:r>
      <w:r w:rsidR="00A0043D">
        <w:rPr>
          <w:rFonts w:ascii="Times New Roman" w:eastAsia="Times New Roman" w:hAnsi="Times New Roman" w:cs="Times New Roman"/>
          <w:szCs w:val="24"/>
        </w:rPr>
        <w:t xml:space="preserve">(10%) </w:t>
      </w:r>
      <w:r w:rsidRPr="00C00B6D">
        <w:rPr>
          <w:rFonts w:ascii="Times New Roman" w:eastAsia="Times New Roman" w:hAnsi="Times New Roman" w:cs="Times New Roman"/>
          <w:szCs w:val="24"/>
        </w:rPr>
        <w:t xml:space="preserve">annualized, or the idea does not qualify no matter how strong its score. The </w:t>
      </w:r>
      <w:r w:rsidRPr="00A0043D">
        <w:rPr>
          <w:rFonts w:ascii="Times New Roman" w:eastAsia="Times New Roman" w:hAnsi="Times New Roman" w:cs="Times New Roman"/>
          <w:b/>
          <w:bCs/>
          <w:szCs w:val="24"/>
        </w:rPr>
        <w:t>bear case</w:t>
      </w:r>
      <w:r w:rsidRPr="00C00B6D">
        <w:rPr>
          <w:rFonts w:ascii="Times New Roman" w:eastAsia="Times New Roman" w:hAnsi="Times New Roman" w:cs="Times New Roman"/>
          <w:szCs w:val="24"/>
        </w:rPr>
        <w:t xml:space="preserve"> — the same projection run on materially worse assumptions — must still clear zero percent</w:t>
      </w:r>
      <w:r w:rsidR="00A0043D">
        <w:rPr>
          <w:rFonts w:ascii="Times New Roman" w:eastAsia="Times New Roman" w:hAnsi="Times New Roman" w:cs="Times New Roman"/>
          <w:szCs w:val="24"/>
        </w:rPr>
        <w:t xml:space="preserve"> (0%)</w:t>
      </w:r>
      <w:r w:rsidRPr="00C00B6D">
        <w:rPr>
          <w:rFonts w:ascii="Times New Roman" w:eastAsia="Times New Roman" w:hAnsi="Times New Roman" w:cs="Times New Roman"/>
          <w:szCs w:val="24"/>
        </w:rPr>
        <w:t xml:space="preserve">, or the position is not entered regardless of how attractive the base case or the composite score looks. A separate, </w:t>
      </w:r>
      <w:r w:rsidRPr="00A0043D">
        <w:rPr>
          <w:rFonts w:ascii="Times New Roman" w:eastAsia="Times New Roman" w:hAnsi="Times New Roman" w:cs="Times New Roman"/>
          <w:b/>
          <w:bCs/>
          <w:szCs w:val="24"/>
        </w:rPr>
        <w:t>absolute valuation</w:t>
      </w:r>
      <w:r w:rsidRPr="00C00B6D">
        <w:rPr>
          <w:rFonts w:ascii="Times New Roman" w:eastAsia="Times New Roman" w:hAnsi="Times New Roman" w:cs="Times New Roman"/>
          <w:szCs w:val="24"/>
        </w:rPr>
        <w:t xml:space="preserve"> ceiling blocks new purchases above fifty times </w:t>
      </w:r>
      <w:r w:rsidR="00A0043D">
        <w:rPr>
          <w:rFonts w:ascii="Times New Roman" w:eastAsia="Times New Roman" w:hAnsi="Times New Roman" w:cs="Times New Roman"/>
          <w:szCs w:val="24"/>
        </w:rPr>
        <w:t xml:space="preserve">(50x) </w:t>
      </w:r>
      <w:r w:rsidRPr="00A0043D">
        <w:rPr>
          <w:rFonts w:ascii="Times New Roman" w:eastAsia="Times New Roman" w:hAnsi="Times New Roman" w:cs="Times New Roman"/>
          <w:b/>
          <w:bCs/>
          <w:szCs w:val="24"/>
        </w:rPr>
        <w:t>free cash flow</w:t>
      </w:r>
      <w:r w:rsidRPr="00C00B6D">
        <w:rPr>
          <w:rFonts w:ascii="Times New Roman" w:eastAsia="Times New Roman" w:hAnsi="Times New Roman" w:cs="Times New Roman"/>
          <w:szCs w:val="24"/>
        </w:rPr>
        <w:t xml:space="preserve"> — roughly, a business priced so richly that its own cash flow would need half a century to repay the purchase — unless both </w:t>
      </w:r>
      <w:r w:rsidR="009534D1" w:rsidRPr="00C00B6D">
        <w:rPr>
          <w:rFonts w:ascii="Times New Roman" w:eastAsia="Times New Roman" w:hAnsi="Times New Roman" w:cs="Times New Roman"/>
          <w:szCs w:val="24"/>
        </w:rPr>
        <w:t>extraordinary, documented</w:t>
      </w:r>
      <w:r w:rsidRPr="00C00B6D">
        <w:rPr>
          <w:rFonts w:ascii="Times New Roman" w:eastAsia="Times New Roman" w:hAnsi="Times New Roman" w:cs="Times New Roman"/>
          <w:szCs w:val="24"/>
        </w:rPr>
        <w:t xml:space="preserve"> growth and a passing bear case are present. No combination of otherwise-strong scores can override either threshold.</w:t>
      </w:r>
    </w:p>
    <w:p w14:paraId="754AC375" w14:textId="77777777" w:rsidR="00C00B6D" w:rsidRPr="00C00B6D" w:rsidRDefault="00C00B6D" w:rsidP="00C00B6D">
      <w:pPr>
        <w:spacing w:after="0" w:line="240" w:lineRule="auto"/>
        <w:contextualSpacing w:val="0"/>
        <w:rPr>
          <w:rFonts w:ascii="Times New Roman" w:eastAsia="Times New Roman" w:hAnsi="Times New Roman" w:cs="Times New Roman"/>
          <w:szCs w:val="24"/>
        </w:rPr>
      </w:pPr>
      <w:r w:rsidRPr="00C00B6D">
        <w:rPr>
          <w:rFonts w:ascii="Times New Roman" w:eastAsia="Times New Roman" w:hAnsi="Times New Roman" w:cs="Times New Roman"/>
          <w:szCs w:val="24"/>
        </w:rPr>
        <w:t>Even a cleared purchase is staged, not executed all at once. If a stock is trading below its long-term price trend, the initial purchase is automatically halved and a technical re-review is scheduled — not because the fundamental case is wrong, but because paying a known price for uncertain near-term timing is itself a risk worth managing explicitly.</w:t>
      </w:r>
    </w:p>
    <w:p w14:paraId="50396121" w14:textId="77777777" w:rsidR="00C00B6D" w:rsidRPr="00C00B6D" w:rsidRDefault="00C00B6D" w:rsidP="00DF1E5A">
      <w:pPr>
        <w:pStyle w:val="Heading1"/>
      </w:pPr>
      <w:r w:rsidRPr="00C00B6D">
        <w:t>Sizing conviction, capping regret</w:t>
      </w:r>
    </w:p>
    <w:p w14:paraId="445011F8" w14:textId="6707FA0E" w:rsidR="00C00B6D" w:rsidRPr="00C00B6D" w:rsidRDefault="00C00B6D" w:rsidP="00C00B6D">
      <w:pPr>
        <w:spacing w:before="100" w:beforeAutospacing="1" w:after="100" w:afterAutospacing="1" w:line="240" w:lineRule="auto"/>
        <w:contextualSpacing w:val="0"/>
        <w:rPr>
          <w:rFonts w:ascii="Times New Roman" w:eastAsia="Times New Roman" w:hAnsi="Times New Roman" w:cs="Times New Roman"/>
          <w:szCs w:val="24"/>
        </w:rPr>
      </w:pPr>
      <w:r w:rsidRPr="00C00B6D">
        <w:rPr>
          <w:rFonts w:ascii="Times New Roman" w:eastAsia="Times New Roman" w:hAnsi="Times New Roman" w:cs="Times New Roman"/>
          <w:szCs w:val="24"/>
        </w:rPr>
        <w:t xml:space="preserve">Position sizing follows directly from conviction, within hard limits: a </w:t>
      </w:r>
      <w:r w:rsidRPr="00824D1B">
        <w:rPr>
          <w:rFonts w:ascii="Times New Roman" w:eastAsia="Times New Roman" w:hAnsi="Times New Roman" w:cs="Times New Roman"/>
          <w:b/>
          <w:bCs/>
          <w:szCs w:val="24"/>
        </w:rPr>
        <w:t>Strong Buy</w:t>
      </w:r>
      <w:r w:rsidRPr="00C00B6D">
        <w:rPr>
          <w:rFonts w:ascii="Times New Roman" w:eastAsia="Times New Roman" w:hAnsi="Times New Roman" w:cs="Times New Roman"/>
          <w:szCs w:val="24"/>
        </w:rPr>
        <w:t xml:space="preserve"> can reach five </w:t>
      </w:r>
      <w:proofErr w:type="gramStart"/>
      <w:r w:rsidRPr="00C00B6D">
        <w:rPr>
          <w:rFonts w:ascii="Times New Roman" w:eastAsia="Times New Roman" w:hAnsi="Times New Roman" w:cs="Times New Roman"/>
          <w:szCs w:val="24"/>
        </w:rPr>
        <w:t xml:space="preserve">percent </w:t>
      </w:r>
      <w:r w:rsidR="00824D1B">
        <w:rPr>
          <w:rFonts w:ascii="Times New Roman" w:eastAsia="Times New Roman" w:hAnsi="Times New Roman" w:cs="Times New Roman"/>
          <w:szCs w:val="24"/>
        </w:rPr>
        <w:t xml:space="preserve"> (</w:t>
      </w:r>
      <w:proofErr w:type="gramEnd"/>
      <w:r w:rsidR="00824D1B">
        <w:rPr>
          <w:rFonts w:ascii="Times New Roman" w:eastAsia="Times New Roman" w:hAnsi="Times New Roman" w:cs="Times New Roman"/>
          <w:szCs w:val="24"/>
        </w:rPr>
        <w:t xml:space="preserve">5%) </w:t>
      </w:r>
      <w:r w:rsidRPr="00C00B6D">
        <w:rPr>
          <w:rFonts w:ascii="Times New Roman" w:eastAsia="Times New Roman" w:hAnsi="Times New Roman" w:cs="Times New Roman"/>
          <w:szCs w:val="24"/>
        </w:rPr>
        <w:t xml:space="preserve">of the portfolio initially and eight percent </w:t>
      </w:r>
      <w:r w:rsidR="00824D1B">
        <w:rPr>
          <w:rFonts w:ascii="Times New Roman" w:eastAsia="Times New Roman" w:hAnsi="Times New Roman" w:cs="Times New Roman"/>
          <w:szCs w:val="24"/>
        </w:rPr>
        <w:t xml:space="preserve">(8%) </w:t>
      </w:r>
      <w:r w:rsidRPr="00C00B6D">
        <w:rPr>
          <w:rFonts w:ascii="Times New Roman" w:eastAsia="Times New Roman" w:hAnsi="Times New Roman" w:cs="Times New Roman"/>
          <w:szCs w:val="24"/>
        </w:rPr>
        <w:t xml:space="preserve">fully invested; a </w:t>
      </w:r>
      <w:r w:rsidRPr="00824D1B">
        <w:rPr>
          <w:rFonts w:ascii="Times New Roman" w:eastAsia="Times New Roman" w:hAnsi="Times New Roman" w:cs="Times New Roman"/>
          <w:b/>
          <w:bCs/>
          <w:szCs w:val="24"/>
        </w:rPr>
        <w:t>Buy</w:t>
      </w:r>
      <w:r w:rsidRPr="00C00B6D">
        <w:rPr>
          <w:rFonts w:ascii="Times New Roman" w:eastAsia="Times New Roman" w:hAnsi="Times New Roman" w:cs="Times New Roman"/>
          <w:szCs w:val="24"/>
        </w:rPr>
        <w:t xml:space="preserve"> tops out at three and five percent</w:t>
      </w:r>
      <w:r w:rsidR="00824D1B">
        <w:rPr>
          <w:rFonts w:ascii="Times New Roman" w:eastAsia="Times New Roman" w:hAnsi="Times New Roman" w:cs="Times New Roman"/>
          <w:szCs w:val="24"/>
        </w:rPr>
        <w:t xml:space="preserve"> (3% and 5%)</w:t>
      </w:r>
      <w:r w:rsidRPr="00C00B6D">
        <w:rPr>
          <w:rFonts w:ascii="Times New Roman" w:eastAsia="Times New Roman" w:hAnsi="Times New Roman" w:cs="Times New Roman"/>
          <w:szCs w:val="24"/>
        </w:rPr>
        <w:t xml:space="preserve">. No single sector may exceed twenty-five percent </w:t>
      </w:r>
      <w:r w:rsidR="00824D1B">
        <w:rPr>
          <w:rFonts w:ascii="Times New Roman" w:eastAsia="Times New Roman" w:hAnsi="Times New Roman" w:cs="Times New Roman"/>
          <w:szCs w:val="24"/>
        </w:rPr>
        <w:t xml:space="preserve">(25%) </w:t>
      </w:r>
      <w:r w:rsidRPr="00C00B6D">
        <w:rPr>
          <w:rFonts w:ascii="Times New Roman" w:eastAsia="Times New Roman" w:hAnsi="Times New Roman" w:cs="Times New Roman"/>
          <w:szCs w:val="24"/>
        </w:rPr>
        <w:t xml:space="preserve">of the portfolio, and the System maintains a standing </w:t>
      </w:r>
      <w:r w:rsidRPr="009534D1">
        <w:rPr>
          <w:rFonts w:ascii="Times New Roman" w:eastAsia="Times New Roman" w:hAnsi="Times New Roman" w:cs="Times New Roman"/>
          <w:b/>
          <w:bCs/>
          <w:szCs w:val="24"/>
        </w:rPr>
        <w:t>cash reserve</w:t>
      </w:r>
      <w:r w:rsidRPr="00C00B6D">
        <w:rPr>
          <w:rFonts w:ascii="Times New Roman" w:eastAsia="Times New Roman" w:hAnsi="Times New Roman" w:cs="Times New Roman"/>
          <w:szCs w:val="24"/>
        </w:rPr>
        <w:t xml:space="preserve"> of five to fifteen percent </w:t>
      </w:r>
      <w:r w:rsidR="009534D1">
        <w:rPr>
          <w:rFonts w:ascii="Times New Roman" w:eastAsia="Times New Roman" w:hAnsi="Times New Roman" w:cs="Times New Roman"/>
          <w:szCs w:val="24"/>
        </w:rPr>
        <w:t xml:space="preserve">(5%-15%) </w:t>
      </w:r>
      <w:r w:rsidRPr="00C00B6D">
        <w:rPr>
          <w:rFonts w:ascii="Times New Roman" w:eastAsia="Times New Roman" w:hAnsi="Times New Roman" w:cs="Times New Roman"/>
          <w:szCs w:val="24"/>
        </w:rPr>
        <w:t xml:space="preserve">for both flexibility and downside </w:t>
      </w:r>
      <w:r w:rsidRPr="00C00B6D">
        <w:rPr>
          <w:rFonts w:ascii="Times New Roman" w:eastAsia="Times New Roman" w:hAnsi="Times New Roman" w:cs="Times New Roman"/>
          <w:szCs w:val="24"/>
        </w:rPr>
        <w:lastRenderedPageBreak/>
        <w:t xml:space="preserve">protection. A handful of modifiers adjust sizing further — </w:t>
      </w:r>
      <w:r w:rsidRPr="00824D1B">
        <w:rPr>
          <w:rFonts w:ascii="Times New Roman" w:eastAsia="Times New Roman" w:hAnsi="Times New Roman" w:cs="Times New Roman"/>
          <w:b/>
          <w:bCs/>
          <w:szCs w:val="24"/>
        </w:rPr>
        <w:t>insider buying</w:t>
      </w:r>
      <w:r w:rsidRPr="00C00B6D">
        <w:rPr>
          <w:rFonts w:ascii="Times New Roman" w:eastAsia="Times New Roman" w:hAnsi="Times New Roman" w:cs="Times New Roman"/>
          <w:szCs w:val="24"/>
        </w:rPr>
        <w:t xml:space="preserve"> nudges it up slightly, </w:t>
      </w:r>
      <w:r w:rsidRPr="00824D1B">
        <w:rPr>
          <w:rFonts w:ascii="Times New Roman" w:eastAsia="Times New Roman" w:hAnsi="Times New Roman" w:cs="Times New Roman"/>
          <w:b/>
          <w:bCs/>
          <w:szCs w:val="24"/>
        </w:rPr>
        <w:t xml:space="preserve">excessive leverage </w:t>
      </w:r>
      <w:r w:rsidRPr="00824D1B">
        <w:rPr>
          <w:rFonts w:ascii="Times New Roman" w:eastAsia="Times New Roman" w:hAnsi="Times New Roman" w:cs="Times New Roman"/>
          <w:szCs w:val="24"/>
        </w:rPr>
        <w:t xml:space="preserve">or </w:t>
      </w:r>
      <w:r w:rsidRPr="00824D1B">
        <w:rPr>
          <w:rFonts w:ascii="Times New Roman" w:eastAsia="Times New Roman" w:hAnsi="Times New Roman" w:cs="Times New Roman"/>
          <w:b/>
          <w:bCs/>
          <w:szCs w:val="24"/>
        </w:rPr>
        <w:t>customer concentration</w:t>
      </w:r>
      <w:r w:rsidRPr="00C00B6D">
        <w:rPr>
          <w:rFonts w:ascii="Times New Roman" w:eastAsia="Times New Roman" w:hAnsi="Times New Roman" w:cs="Times New Roman"/>
          <w:szCs w:val="24"/>
        </w:rPr>
        <w:t xml:space="preserve"> nudges it down — but none can breach the hard caps above them.</w:t>
      </w:r>
    </w:p>
    <w:p w14:paraId="392161C5" w14:textId="599C5E96" w:rsidR="00824D1B" w:rsidRDefault="00C00B6D" w:rsidP="00824D1B">
      <w:pPr>
        <w:spacing w:line="240" w:lineRule="auto"/>
        <w:contextualSpacing w:val="0"/>
        <w:rPr>
          <w:rFonts w:ascii="Times New Roman" w:eastAsia="Times New Roman" w:hAnsi="Times New Roman" w:cs="Times New Roman"/>
          <w:szCs w:val="24"/>
        </w:rPr>
      </w:pPr>
      <w:r w:rsidRPr="00C00B6D">
        <w:rPr>
          <w:rFonts w:ascii="Times New Roman" w:eastAsia="Times New Roman" w:hAnsi="Times New Roman" w:cs="Times New Roman"/>
          <w:szCs w:val="24"/>
        </w:rPr>
        <w:t xml:space="preserve">What is more interesting than the caps themselves is what the System refuses to do to satisfy them. A stated floor of twelve </w:t>
      </w:r>
      <w:r w:rsidR="009534D1">
        <w:rPr>
          <w:rFonts w:ascii="Times New Roman" w:eastAsia="Times New Roman" w:hAnsi="Times New Roman" w:cs="Times New Roman"/>
          <w:szCs w:val="24"/>
        </w:rPr>
        <w:t xml:space="preserve">(12) </w:t>
      </w:r>
      <w:r w:rsidRPr="00C00B6D">
        <w:rPr>
          <w:rFonts w:ascii="Times New Roman" w:eastAsia="Times New Roman" w:hAnsi="Times New Roman" w:cs="Times New Roman"/>
          <w:szCs w:val="24"/>
        </w:rPr>
        <w:t xml:space="preserve">portfolio positions exists to enforce diversification, but the rule </w:t>
      </w:r>
      <w:r w:rsidRPr="00824D1B">
        <w:rPr>
          <w:rFonts w:ascii="Times New Roman" w:eastAsia="Times New Roman" w:hAnsi="Times New Roman" w:cs="Times New Roman"/>
          <w:szCs w:val="24"/>
          <w:u w:val="single"/>
        </w:rPr>
        <w:t>explicitly forbids lowering the qualifying score threshold to hit that number</w:t>
      </w:r>
      <w:r w:rsidRPr="00C00B6D">
        <w:rPr>
          <w:rFonts w:ascii="Times New Roman" w:eastAsia="Times New Roman" w:hAnsi="Times New Roman" w:cs="Times New Roman"/>
          <w:szCs w:val="24"/>
        </w:rPr>
        <w:t xml:space="preserve">: if fewer than twelve </w:t>
      </w:r>
      <w:r w:rsidR="00824D1B">
        <w:rPr>
          <w:rFonts w:ascii="Times New Roman" w:eastAsia="Times New Roman" w:hAnsi="Times New Roman" w:cs="Times New Roman"/>
          <w:szCs w:val="24"/>
        </w:rPr>
        <w:t xml:space="preserve">(12) </w:t>
      </w:r>
      <w:r w:rsidRPr="00C00B6D">
        <w:rPr>
          <w:rFonts w:ascii="Times New Roman" w:eastAsia="Times New Roman" w:hAnsi="Times New Roman" w:cs="Times New Roman"/>
          <w:szCs w:val="24"/>
        </w:rPr>
        <w:t xml:space="preserve">businesses currently qualify, the difference sits in cash. This is a harder discipline to maintain than it sounds, because the pressure to be “fully invested” is constant and the appearance of idle cash is uncomfortable — precisely why it needed to be a written rule rather than a preference. </w:t>
      </w:r>
    </w:p>
    <w:p w14:paraId="4ECE2EE9" w14:textId="33009A04" w:rsidR="00C00B6D" w:rsidRPr="00C00B6D" w:rsidRDefault="00C00B6D" w:rsidP="00C00B6D">
      <w:pPr>
        <w:spacing w:after="0" w:line="240" w:lineRule="auto"/>
        <w:contextualSpacing w:val="0"/>
        <w:rPr>
          <w:rFonts w:ascii="Times New Roman" w:eastAsia="Times New Roman" w:hAnsi="Times New Roman" w:cs="Times New Roman"/>
          <w:szCs w:val="24"/>
        </w:rPr>
      </w:pPr>
      <w:r w:rsidRPr="00C00B6D">
        <w:rPr>
          <w:rFonts w:ascii="Times New Roman" w:eastAsia="Times New Roman" w:hAnsi="Times New Roman" w:cs="Times New Roman"/>
          <w:szCs w:val="24"/>
        </w:rPr>
        <w:t>Worth noting plainly: the arithmetic of twelve positions at an eight</w:t>
      </w:r>
      <w:r w:rsidR="00824D1B">
        <w:rPr>
          <w:rFonts w:ascii="Times New Roman" w:eastAsia="Times New Roman" w:hAnsi="Times New Roman" w:cs="Times New Roman"/>
          <w:szCs w:val="24"/>
        </w:rPr>
        <w:t xml:space="preserve"> </w:t>
      </w:r>
      <w:r w:rsidRPr="00C00B6D">
        <w:rPr>
          <w:rFonts w:ascii="Times New Roman" w:eastAsia="Times New Roman" w:hAnsi="Times New Roman" w:cs="Times New Roman"/>
          <w:szCs w:val="24"/>
        </w:rPr>
        <w:t xml:space="preserve">percent </w:t>
      </w:r>
      <w:r w:rsidR="009534D1">
        <w:rPr>
          <w:rFonts w:ascii="Times New Roman" w:eastAsia="Times New Roman" w:hAnsi="Times New Roman" w:cs="Times New Roman"/>
          <w:szCs w:val="24"/>
        </w:rPr>
        <w:t xml:space="preserve">(8%) </w:t>
      </w:r>
      <w:r w:rsidRPr="00C00B6D">
        <w:rPr>
          <w:rFonts w:ascii="Times New Roman" w:eastAsia="Times New Roman" w:hAnsi="Times New Roman" w:cs="Times New Roman"/>
          <w:szCs w:val="24"/>
        </w:rPr>
        <w:t xml:space="preserve">cap, with five to fifteen percent </w:t>
      </w:r>
      <w:r w:rsidR="009534D1">
        <w:rPr>
          <w:rFonts w:ascii="Times New Roman" w:eastAsia="Times New Roman" w:hAnsi="Times New Roman" w:cs="Times New Roman"/>
          <w:szCs w:val="24"/>
        </w:rPr>
        <w:t>(5%</w:t>
      </w:r>
      <w:r w:rsidR="00824D1B">
        <w:rPr>
          <w:rFonts w:ascii="Times New Roman" w:eastAsia="Times New Roman" w:hAnsi="Times New Roman" w:cs="Times New Roman"/>
          <w:szCs w:val="24"/>
        </w:rPr>
        <w:t xml:space="preserve"> to</w:t>
      </w:r>
      <w:r w:rsidR="009534D1">
        <w:rPr>
          <w:rFonts w:ascii="Times New Roman" w:eastAsia="Times New Roman" w:hAnsi="Times New Roman" w:cs="Times New Roman"/>
          <w:szCs w:val="24"/>
        </w:rPr>
        <w:t xml:space="preserve">15%) </w:t>
      </w:r>
      <w:r w:rsidRPr="00C00B6D">
        <w:rPr>
          <w:rFonts w:ascii="Times New Roman" w:eastAsia="Times New Roman" w:hAnsi="Times New Roman" w:cs="Times New Roman"/>
          <w:szCs w:val="24"/>
        </w:rPr>
        <w:t xml:space="preserve">held back in cash, cannot on its own reach full investment — in practice, staying within every rule at once usually calls for somewhat more than twelve </w:t>
      </w:r>
      <w:r w:rsidR="009534D1">
        <w:rPr>
          <w:rFonts w:ascii="Times New Roman" w:eastAsia="Times New Roman" w:hAnsi="Times New Roman" w:cs="Times New Roman"/>
          <w:szCs w:val="24"/>
        </w:rPr>
        <w:t xml:space="preserve">(12) </w:t>
      </w:r>
      <w:r w:rsidRPr="00C00B6D">
        <w:rPr>
          <w:rFonts w:ascii="Times New Roman" w:eastAsia="Times New Roman" w:hAnsi="Times New Roman" w:cs="Times New Roman"/>
          <w:szCs w:val="24"/>
        </w:rPr>
        <w:t>names, not exactly twelve.</w:t>
      </w:r>
    </w:p>
    <w:p w14:paraId="56EA75FD" w14:textId="77777777" w:rsidR="00C00B6D" w:rsidRPr="00C00B6D" w:rsidRDefault="00C00B6D" w:rsidP="00DF1E5A">
      <w:pPr>
        <w:pStyle w:val="Heading1"/>
      </w:pPr>
      <w:r w:rsidRPr="00C00B6D">
        <w:t>The harder half: knowing when not to sell</w:t>
      </w:r>
    </w:p>
    <w:p w14:paraId="7BBD407A" w14:textId="1242EDA0" w:rsidR="00C00B6D" w:rsidRPr="00C00B6D" w:rsidRDefault="00C00B6D" w:rsidP="00C00B6D">
      <w:pPr>
        <w:spacing w:before="100" w:beforeAutospacing="1" w:after="100" w:afterAutospacing="1" w:line="240" w:lineRule="auto"/>
        <w:contextualSpacing w:val="0"/>
        <w:rPr>
          <w:rFonts w:ascii="Times New Roman" w:eastAsia="Times New Roman" w:hAnsi="Times New Roman" w:cs="Times New Roman"/>
          <w:szCs w:val="24"/>
        </w:rPr>
      </w:pPr>
      <w:r w:rsidRPr="00C00B6D">
        <w:rPr>
          <w:rFonts w:ascii="Times New Roman" w:eastAsia="Times New Roman" w:hAnsi="Times New Roman" w:cs="Times New Roman"/>
          <w:szCs w:val="24"/>
        </w:rPr>
        <w:t>Most investment commentary describes buying at length and selling barely at all. The Landry System devotes comparable rigor to the opposite half of the discipline, and this is arguably where it earns its keep.</w:t>
      </w:r>
    </w:p>
    <w:p w14:paraId="70C9E894" w14:textId="5E85BFA5" w:rsidR="00824D1B" w:rsidRDefault="00C00B6D" w:rsidP="00C00B6D">
      <w:pPr>
        <w:spacing w:before="100" w:beforeAutospacing="1" w:after="100" w:afterAutospacing="1" w:line="240" w:lineRule="auto"/>
        <w:contextualSpacing w:val="0"/>
        <w:rPr>
          <w:rFonts w:ascii="Times New Roman" w:eastAsia="Times New Roman" w:hAnsi="Times New Roman" w:cs="Times New Roman"/>
          <w:szCs w:val="24"/>
        </w:rPr>
      </w:pPr>
      <w:r w:rsidRPr="00C00B6D">
        <w:rPr>
          <w:rFonts w:ascii="Times New Roman" w:eastAsia="Times New Roman" w:hAnsi="Times New Roman" w:cs="Times New Roman"/>
          <w:szCs w:val="24"/>
        </w:rPr>
        <w:t xml:space="preserve">Five </w:t>
      </w:r>
      <w:r w:rsidR="00824D1B">
        <w:rPr>
          <w:rFonts w:ascii="Times New Roman" w:eastAsia="Times New Roman" w:hAnsi="Times New Roman" w:cs="Times New Roman"/>
          <w:szCs w:val="24"/>
        </w:rPr>
        <w:t xml:space="preserve">(5) </w:t>
      </w:r>
      <w:r w:rsidRPr="00C00B6D">
        <w:rPr>
          <w:rFonts w:ascii="Times New Roman" w:eastAsia="Times New Roman" w:hAnsi="Times New Roman" w:cs="Times New Roman"/>
          <w:szCs w:val="24"/>
        </w:rPr>
        <w:t xml:space="preserve">fundamental triggers force action within thirty </w:t>
      </w:r>
      <w:r w:rsidR="009534D1">
        <w:rPr>
          <w:rFonts w:ascii="Times New Roman" w:eastAsia="Times New Roman" w:hAnsi="Times New Roman" w:cs="Times New Roman"/>
          <w:szCs w:val="24"/>
        </w:rPr>
        <w:t xml:space="preserve">(30) </w:t>
      </w:r>
      <w:r w:rsidRPr="00C00B6D">
        <w:rPr>
          <w:rFonts w:ascii="Times New Roman" w:eastAsia="Times New Roman" w:hAnsi="Times New Roman" w:cs="Times New Roman"/>
          <w:szCs w:val="24"/>
        </w:rPr>
        <w:t>days of confirmation</w:t>
      </w:r>
      <w:r w:rsidR="00824D1B">
        <w:rPr>
          <w:rFonts w:ascii="Times New Roman" w:eastAsia="Times New Roman" w:hAnsi="Times New Roman" w:cs="Times New Roman"/>
          <w:szCs w:val="24"/>
        </w:rPr>
        <w:t>:</w:t>
      </w:r>
    </w:p>
    <w:p w14:paraId="63FDA881" w14:textId="6911FEFE" w:rsidR="00824D1B" w:rsidRDefault="00C00B6D" w:rsidP="00824D1B">
      <w:pPr>
        <w:pStyle w:val="ListNumber"/>
        <w:numPr>
          <w:ilvl w:val="0"/>
          <w:numId w:val="9"/>
        </w:numPr>
        <w:rPr>
          <w:rFonts w:eastAsia="Times New Roman"/>
        </w:rPr>
      </w:pPr>
      <w:r w:rsidRPr="00824D1B">
        <w:rPr>
          <w:rFonts w:eastAsia="Times New Roman"/>
          <w:b/>
          <w:bCs/>
        </w:rPr>
        <w:t>Free cash flow yield</w:t>
      </w:r>
      <w:r w:rsidRPr="00824D1B">
        <w:rPr>
          <w:rFonts w:eastAsia="Times New Roman"/>
        </w:rPr>
        <w:t xml:space="preserve"> collapsing for two consecutive quarters</w:t>
      </w:r>
      <w:r w:rsidR="00824D1B">
        <w:rPr>
          <w:rFonts w:eastAsia="Times New Roman"/>
        </w:rPr>
        <w:t>;</w:t>
      </w:r>
    </w:p>
    <w:p w14:paraId="2B88AE8C" w14:textId="07786B41" w:rsidR="00824D1B" w:rsidRDefault="00824D1B" w:rsidP="00824D1B">
      <w:pPr>
        <w:pStyle w:val="ListNumber"/>
        <w:numPr>
          <w:ilvl w:val="0"/>
          <w:numId w:val="9"/>
        </w:numPr>
        <w:rPr>
          <w:rFonts w:eastAsia="Times New Roman"/>
        </w:rPr>
      </w:pPr>
      <w:r>
        <w:rPr>
          <w:rFonts w:eastAsia="Times New Roman"/>
          <w:b/>
          <w:bCs/>
        </w:rPr>
        <w:t>C</w:t>
      </w:r>
      <w:r w:rsidR="00C00B6D" w:rsidRPr="00824D1B">
        <w:rPr>
          <w:rFonts w:eastAsia="Times New Roman"/>
          <w:b/>
          <w:bCs/>
        </w:rPr>
        <w:t>ompetitive moat</w:t>
      </w:r>
      <w:r w:rsidR="00C00B6D" w:rsidRPr="00824D1B">
        <w:rPr>
          <w:rFonts w:eastAsia="Times New Roman"/>
        </w:rPr>
        <w:t xml:space="preserve"> degrading from durable to absent</w:t>
      </w:r>
      <w:r>
        <w:rPr>
          <w:rFonts w:eastAsia="Times New Roman"/>
        </w:rPr>
        <w:t>;</w:t>
      </w:r>
    </w:p>
    <w:p w14:paraId="765CA660" w14:textId="102CB16B" w:rsidR="00824D1B" w:rsidRDefault="00824D1B" w:rsidP="00824D1B">
      <w:pPr>
        <w:pStyle w:val="ListNumber"/>
        <w:numPr>
          <w:ilvl w:val="0"/>
          <w:numId w:val="9"/>
        </w:numPr>
        <w:rPr>
          <w:rFonts w:eastAsia="Times New Roman"/>
        </w:rPr>
      </w:pPr>
      <w:r>
        <w:rPr>
          <w:rFonts w:eastAsia="Times New Roman"/>
          <w:b/>
          <w:bCs/>
        </w:rPr>
        <w:t>Returns on</w:t>
      </w:r>
      <w:r w:rsidR="00C00B6D" w:rsidRPr="00824D1B">
        <w:rPr>
          <w:rFonts w:eastAsia="Times New Roman"/>
        </w:rPr>
        <w:t xml:space="preserve"> </w:t>
      </w:r>
      <w:r w:rsidR="00C00B6D" w:rsidRPr="00824D1B">
        <w:rPr>
          <w:rFonts w:eastAsia="Times New Roman"/>
          <w:b/>
          <w:bCs/>
        </w:rPr>
        <w:t>invested capital</w:t>
      </w:r>
      <w:r w:rsidR="00C00B6D" w:rsidRPr="00824D1B">
        <w:rPr>
          <w:rFonts w:eastAsia="Times New Roman"/>
        </w:rPr>
        <w:t xml:space="preserve"> falling below the </w:t>
      </w:r>
      <w:r w:rsidR="00C00B6D" w:rsidRPr="00824D1B">
        <w:rPr>
          <w:rFonts w:eastAsia="Times New Roman"/>
          <w:b/>
          <w:bCs/>
        </w:rPr>
        <w:t>cost of that capital</w:t>
      </w:r>
      <w:r w:rsidR="00C00B6D" w:rsidRPr="00824D1B">
        <w:rPr>
          <w:rFonts w:eastAsia="Times New Roman"/>
        </w:rPr>
        <w:t xml:space="preserve"> for two straight years</w:t>
      </w:r>
      <w:r>
        <w:rPr>
          <w:rFonts w:eastAsia="Times New Roman"/>
        </w:rPr>
        <w:t>;</w:t>
      </w:r>
    </w:p>
    <w:p w14:paraId="4A6FB21E" w14:textId="77777777" w:rsidR="00664EE6" w:rsidRDefault="00824D1B" w:rsidP="00824D1B">
      <w:pPr>
        <w:pStyle w:val="ListNumber"/>
        <w:numPr>
          <w:ilvl w:val="0"/>
          <w:numId w:val="9"/>
        </w:numPr>
        <w:rPr>
          <w:rFonts w:eastAsia="Times New Roman"/>
        </w:rPr>
      </w:pPr>
      <w:r>
        <w:rPr>
          <w:rFonts w:eastAsia="Times New Roman"/>
          <w:b/>
          <w:bCs/>
        </w:rPr>
        <w:t>C</w:t>
      </w:r>
      <w:r w:rsidR="00C00B6D" w:rsidRPr="00824D1B">
        <w:rPr>
          <w:rFonts w:eastAsia="Times New Roman"/>
          <w:b/>
          <w:bCs/>
        </w:rPr>
        <w:t>apital allocation</w:t>
      </w:r>
      <w:r w:rsidR="00C00B6D" w:rsidRPr="00824D1B">
        <w:rPr>
          <w:rFonts w:eastAsia="Times New Roman"/>
        </w:rPr>
        <w:t xml:space="preserve"> turning value-destructive</w:t>
      </w:r>
      <w:r>
        <w:rPr>
          <w:rFonts w:eastAsia="Times New Roman"/>
        </w:rPr>
        <w:t>;</w:t>
      </w:r>
    </w:p>
    <w:p w14:paraId="4C98900F" w14:textId="77777777" w:rsidR="00664EE6" w:rsidRDefault="00664EE6" w:rsidP="00824D1B">
      <w:pPr>
        <w:pStyle w:val="ListNumber"/>
        <w:numPr>
          <w:ilvl w:val="0"/>
          <w:numId w:val="9"/>
        </w:numPr>
        <w:rPr>
          <w:rFonts w:eastAsia="Times New Roman"/>
        </w:rPr>
      </w:pPr>
      <w:r>
        <w:rPr>
          <w:rFonts w:eastAsia="Times New Roman"/>
          <w:b/>
          <w:bCs/>
        </w:rPr>
        <w:t>R</w:t>
      </w:r>
      <w:r w:rsidR="00C00B6D" w:rsidRPr="00824D1B">
        <w:rPr>
          <w:rFonts w:eastAsia="Times New Roman"/>
          <w:b/>
          <w:bCs/>
        </w:rPr>
        <w:t>evenue growth</w:t>
      </w:r>
      <w:r w:rsidR="00C00B6D" w:rsidRPr="00824D1B">
        <w:rPr>
          <w:rFonts w:eastAsia="Times New Roman"/>
        </w:rPr>
        <w:t xml:space="preserve"> turning negative for two consecutive quarters without a credible cyclical explanation. </w:t>
      </w:r>
    </w:p>
    <w:p w14:paraId="265F72CC" w14:textId="1062D449" w:rsidR="00C00B6D" w:rsidRPr="00824D1B" w:rsidRDefault="00C00B6D" w:rsidP="00664EE6">
      <w:pPr>
        <w:pStyle w:val="ListNumber"/>
        <w:numPr>
          <w:ilvl w:val="0"/>
          <w:numId w:val="0"/>
        </w:numPr>
        <w:spacing w:before="240"/>
        <w:contextualSpacing w:val="0"/>
        <w:rPr>
          <w:rFonts w:eastAsia="Times New Roman"/>
        </w:rPr>
      </w:pPr>
      <w:r w:rsidRPr="00824D1B">
        <w:rPr>
          <w:rFonts w:eastAsia="Times New Roman"/>
        </w:rPr>
        <w:t xml:space="preserve">A </w:t>
      </w:r>
      <w:r w:rsidRPr="00824D1B">
        <w:rPr>
          <w:rFonts w:eastAsia="Times New Roman"/>
          <w:b/>
          <w:bCs/>
        </w:rPr>
        <w:t>composite score</w:t>
      </w:r>
      <w:r w:rsidRPr="00824D1B">
        <w:rPr>
          <w:rFonts w:eastAsia="Times New Roman"/>
        </w:rPr>
        <w:t xml:space="preserve"> sliding into the 35–49 range triggers a formal exit review with a dated ninety-day </w:t>
      </w:r>
      <w:r w:rsidR="00664EE6">
        <w:rPr>
          <w:rFonts w:eastAsia="Times New Roman"/>
        </w:rPr>
        <w:t xml:space="preserve">(90-day) </w:t>
      </w:r>
      <w:r w:rsidRPr="00824D1B">
        <w:rPr>
          <w:rFonts w:eastAsia="Times New Roman"/>
        </w:rPr>
        <w:t xml:space="preserve">path back to health, or a sale within thirty </w:t>
      </w:r>
      <w:r w:rsidR="00664EE6">
        <w:rPr>
          <w:rFonts w:eastAsia="Times New Roman"/>
        </w:rPr>
        <w:t xml:space="preserve">(30) </w:t>
      </w:r>
      <w:r w:rsidRPr="00824D1B">
        <w:rPr>
          <w:rFonts w:eastAsia="Times New Roman"/>
        </w:rPr>
        <w:t xml:space="preserve">days if no credible path exists. Below 35, the position is sold within thirty </w:t>
      </w:r>
      <w:r w:rsidR="0023251F" w:rsidRPr="00824D1B">
        <w:rPr>
          <w:rFonts w:eastAsia="Times New Roman"/>
        </w:rPr>
        <w:t xml:space="preserve">(30) </w:t>
      </w:r>
      <w:r w:rsidRPr="00824D1B">
        <w:rPr>
          <w:rFonts w:eastAsia="Times New Roman"/>
        </w:rPr>
        <w:t>days, full stop.</w:t>
      </w:r>
    </w:p>
    <w:p w14:paraId="7376E60F" w14:textId="77777777" w:rsidR="00664EE6" w:rsidRDefault="00C00B6D" w:rsidP="00C00B6D">
      <w:pPr>
        <w:spacing w:before="100" w:beforeAutospacing="1" w:after="100" w:afterAutospacing="1" w:line="240" w:lineRule="auto"/>
        <w:contextualSpacing w:val="0"/>
        <w:rPr>
          <w:rFonts w:ascii="Times New Roman" w:eastAsia="Times New Roman" w:hAnsi="Times New Roman" w:cs="Times New Roman"/>
          <w:szCs w:val="24"/>
        </w:rPr>
      </w:pPr>
      <w:r w:rsidRPr="00C00B6D">
        <w:rPr>
          <w:rFonts w:ascii="Times New Roman" w:eastAsia="Times New Roman" w:hAnsi="Times New Roman" w:cs="Times New Roman"/>
          <w:szCs w:val="24"/>
        </w:rPr>
        <w:t>Just as explicitly, the System names five conditions under which a position should </w:t>
      </w:r>
      <w:r w:rsidRPr="00C00B6D">
        <w:rPr>
          <w:rFonts w:ascii="Times New Roman" w:eastAsia="Times New Roman" w:hAnsi="Times New Roman" w:cs="Times New Roman"/>
          <w:i/>
          <w:iCs/>
          <w:szCs w:val="24"/>
        </w:rPr>
        <w:t>not</w:t>
      </w:r>
      <w:r w:rsidRPr="00C00B6D">
        <w:rPr>
          <w:rFonts w:ascii="Times New Roman" w:eastAsia="Times New Roman" w:hAnsi="Times New Roman" w:cs="Times New Roman"/>
          <w:szCs w:val="24"/>
        </w:rPr>
        <w:t xml:space="preserve"> be sold: </w:t>
      </w:r>
    </w:p>
    <w:p w14:paraId="5356088E" w14:textId="77777777" w:rsidR="00664EE6" w:rsidRDefault="00664EE6" w:rsidP="00664EE6">
      <w:pPr>
        <w:pStyle w:val="ListNumber"/>
        <w:rPr>
          <w:rFonts w:eastAsia="Times New Roman"/>
        </w:rPr>
      </w:pPr>
      <w:r>
        <w:rPr>
          <w:rFonts w:eastAsia="Times New Roman"/>
        </w:rPr>
        <w:t>S</w:t>
      </w:r>
      <w:r w:rsidR="00C00B6D" w:rsidRPr="00664EE6">
        <w:rPr>
          <w:rFonts w:eastAsia="Times New Roman"/>
        </w:rPr>
        <w:t xml:space="preserve">hort-term price decline of twenty to thirty percent </w:t>
      </w:r>
      <w:r>
        <w:rPr>
          <w:rFonts w:eastAsia="Times New Roman"/>
        </w:rPr>
        <w:t xml:space="preserve">(20% to (30%) </w:t>
      </w:r>
      <w:r w:rsidR="00C00B6D" w:rsidRPr="00664EE6">
        <w:rPr>
          <w:rFonts w:eastAsia="Times New Roman"/>
        </w:rPr>
        <w:t>with fundamentals unchanged</w:t>
      </w:r>
      <w:r>
        <w:rPr>
          <w:rFonts w:eastAsia="Times New Roman"/>
        </w:rPr>
        <w:t>;</w:t>
      </w:r>
    </w:p>
    <w:p w14:paraId="05037A15" w14:textId="77777777" w:rsidR="00664EE6" w:rsidRDefault="00664EE6" w:rsidP="00664EE6">
      <w:pPr>
        <w:pStyle w:val="ListNumber"/>
        <w:rPr>
          <w:rFonts w:eastAsia="Times New Roman"/>
        </w:rPr>
      </w:pPr>
      <w:r>
        <w:rPr>
          <w:rFonts w:eastAsia="Times New Roman"/>
        </w:rPr>
        <w:t>S</w:t>
      </w:r>
      <w:r w:rsidR="00C00B6D" w:rsidRPr="00664EE6">
        <w:rPr>
          <w:rFonts w:eastAsia="Times New Roman"/>
        </w:rPr>
        <w:t>ingle earnings miss</w:t>
      </w:r>
      <w:r>
        <w:rPr>
          <w:rFonts w:eastAsia="Times New Roman"/>
        </w:rPr>
        <w:t>;</w:t>
      </w:r>
    </w:p>
    <w:p w14:paraId="7E4CE588" w14:textId="77777777" w:rsidR="00664EE6" w:rsidRDefault="00664EE6" w:rsidP="00664EE6">
      <w:pPr>
        <w:pStyle w:val="ListNumber"/>
        <w:rPr>
          <w:rFonts w:eastAsia="Times New Roman"/>
        </w:rPr>
      </w:pPr>
      <w:r>
        <w:rPr>
          <w:rFonts w:eastAsia="Times New Roman"/>
        </w:rPr>
        <w:t>A</w:t>
      </w:r>
      <w:r w:rsidR="00C00B6D" w:rsidRPr="00664EE6">
        <w:rPr>
          <w:rFonts w:eastAsia="Times New Roman"/>
        </w:rPr>
        <w:t>nalyst downgrades (a lagging indicator, by the System’s own description)</w:t>
      </w:r>
      <w:r>
        <w:rPr>
          <w:rFonts w:eastAsia="Times New Roman"/>
        </w:rPr>
        <w:t>;</w:t>
      </w:r>
    </w:p>
    <w:p w14:paraId="5CB19BE4" w14:textId="77777777" w:rsidR="00664EE6" w:rsidRDefault="00664EE6" w:rsidP="00664EE6">
      <w:pPr>
        <w:pStyle w:val="ListNumber"/>
        <w:rPr>
          <w:rFonts w:eastAsia="Times New Roman"/>
        </w:rPr>
      </w:pPr>
      <w:r>
        <w:rPr>
          <w:rFonts w:eastAsia="Times New Roman"/>
        </w:rPr>
        <w:t>B</w:t>
      </w:r>
      <w:r w:rsidR="00C00B6D" w:rsidRPr="00664EE6">
        <w:rPr>
          <w:rFonts w:eastAsia="Times New Roman"/>
        </w:rPr>
        <w:t>road market sell-off</w:t>
      </w:r>
      <w:r>
        <w:rPr>
          <w:rFonts w:eastAsia="Times New Roman"/>
        </w:rPr>
        <w:t xml:space="preserve">; </w:t>
      </w:r>
      <w:r w:rsidR="00C00B6D" w:rsidRPr="00664EE6">
        <w:rPr>
          <w:rFonts w:eastAsia="Times New Roman"/>
        </w:rPr>
        <w:t xml:space="preserve">and </w:t>
      </w:r>
    </w:p>
    <w:p w14:paraId="36C3B3EF" w14:textId="02EB0AD4" w:rsidR="00C00B6D" w:rsidRPr="00664EE6" w:rsidRDefault="00664EE6" w:rsidP="00664EE6">
      <w:pPr>
        <w:pStyle w:val="ListNumber"/>
        <w:rPr>
          <w:rFonts w:eastAsia="Times New Roman"/>
        </w:rPr>
      </w:pPr>
      <w:r>
        <w:rPr>
          <w:rFonts w:eastAsia="Times New Roman"/>
        </w:rPr>
        <w:t>N</w:t>
      </w:r>
      <w:r w:rsidR="00C00B6D" w:rsidRPr="00664EE6">
        <w:rPr>
          <w:rFonts w:eastAsia="Times New Roman"/>
        </w:rPr>
        <w:t>egative press absent any change in the underlying facts.</w:t>
      </w:r>
    </w:p>
    <w:p w14:paraId="0CDA97AB" w14:textId="77777777" w:rsidR="00C00B6D" w:rsidRPr="00C00B6D" w:rsidRDefault="00C00B6D" w:rsidP="00C00B6D">
      <w:pPr>
        <w:spacing w:after="0" w:line="240" w:lineRule="auto"/>
        <w:contextualSpacing w:val="0"/>
        <w:rPr>
          <w:rFonts w:ascii="Times New Roman" w:eastAsia="Times New Roman" w:hAnsi="Times New Roman" w:cs="Times New Roman"/>
          <w:i/>
          <w:iCs/>
          <w:color w:val="1E1C18"/>
          <w:szCs w:val="24"/>
        </w:rPr>
      </w:pPr>
      <w:r w:rsidRPr="00C00B6D">
        <w:rPr>
          <w:rFonts w:ascii="Times New Roman" w:eastAsia="Times New Roman" w:hAnsi="Times New Roman" w:cs="Times New Roman"/>
          <w:i/>
          <w:iCs/>
          <w:color w:val="1E1C18"/>
          <w:szCs w:val="24"/>
        </w:rPr>
        <w:t>This is the codified answer to the single most expensive mistake in long-term investing — mistaking a painful price for new information.</w:t>
      </w:r>
    </w:p>
    <w:p w14:paraId="38F9254E" w14:textId="77777777" w:rsidR="00C00B6D" w:rsidRPr="00C00B6D" w:rsidRDefault="00C00B6D" w:rsidP="00C00B6D">
      <w:pPr>
        <w:spacing w:before="100" w:beforeAutospacing="1" w:after="100" w:afterAutospacing="1" w:line="240" w:lineRule="auto"/>
        <w:contextualSpacing w:val="0"/>
        <w:rPr>
          <w:rFonts w:ascii="Times New Roman" w:eastAsia="Times New Roman" w:hAnsi="Times New Roman" w:cs="Times New Roman"/>
          <w:szCs w:val="24"/>
        </w:rPr>
      </w:pPr>
      <w:r w:rsidRPr="00C00B6D">
        <w:rPr>
          <w:rFonts w:ascii="Times New Roman" w:eastAsia="Times New Roman" w:hAnsi="Times New Roman" w:cs="Times New Roman"/>
          <w:szCs w:val="24"/>
        </w:rPr>
        <w:t>Writing the exceptions down in advance, with the same authority as the sell triggers themselves, is what keeps this half of the discipline from collapsing under pressure exactly when it is needed most.</w:t>
      </w:r>
    </w:p>
    <w:p w14:paraId="7857F160" w14:textId="77777777" w:rsidR="00664EE6" w:rsidRDefault="00C00B6D" w:rsidP="00664EE6">
      <w:pPr>
        <w:spacing w:line="240" w:lineRule="auto"/>
        <w:contextualSpacing w:val="0"/>
        <w:rPr>
          <w:rFonts w:ascii="Times New Roman" w:eastAsia="Times New Roman" w:hAnsi="Times New Roman" w:cs="Times New Roman"/>
          <w:szCs w:val="24"/>
        </w:rPr>
      </w:pPr>
      <w:r w:rsidRPr="00C00B6D">
        <w:rPr>
          <w:rFonts w:ascii="Times New Roman" w:eastAsia="Times New Roman" w:hAnsi="Times New Roman" w:cs="Times New Roman"/>
          <w:szCs w:val="24"/>
        </w:rPr>
        <w:t xml:space="preserve">A narrower rule, tightly gated, allows a genuinely superior opportunity to displace a weaker holding. Four </w:t>
      </w:r>
      <w:r w:rsidR="00664EE6">
        <w:rPr>
          <w:rFonts w:ascii="Times New Roman" w:eastAsia="Times New Roman" w:hAnsi="Times New Roman" w:cs="Times New Roman"/>
          <w:szCs w:val="24"/>
        </w:rPr>
        <w:t xml:space="preserve">(4) </w:t>
      </w:r>
      <w:r w:rsidRPr="00C00B6D">
        <w:rPr>
          <w:rFonts w:ascii="Times New Roman" w:eastAsia="Times New Roman" w:hAnsi="Times New Roman" w:cs="Times New Roman"/>
          <w:szCs w:val="24"/>
        </w:rPr>
        <w:t xml:space="preserve">conditions must all hold: </w:t>
      </w:r>
    </w:p>
    <w:p w14:paraId="49AFE856" w14:textId="77777777" w:rsidR="00664EE6" w:rsidRDefault="00664EE6" w:rsidP="00664EE6">
      <w:pPr>
        <w:pStyle w:val="ListNumber"/>
        <w:numPr>
          <w:ilvl w:val="0"/>
          <w:numId w:val="11"/>
        </w:numPr>
        <w:rPr>
          <w:rFonts w:eastAsia="Times New Roman"/>
        </w:rPr>
      </w:pPr>
      <w:r>
        <w:rPr>
          <w:rFonts w:eastAsia="Times New Roman"/>
        </w:rPr>
        <w:t>N</w:t>
      </w:r>
      <w:r w:rsidR="00C00B6D" w:rsidRPr="00664EE6">
        <w:rPr>
          <w:rFonts w:eastAsia="Times New Roman"/>
        </w:rPr>
        <w:t xml:space="preserve">ew </w:t>
      </w:r>
      <w:r>
        <w:rPr>
          <w:rFonts w:eastAsia="Times New Roman"/>
        </w:rPr>
        <w:t>candidate business</w:t>
      </w:r>
      <w:r w:rsidR="00C00B6D" w:rsidRPr="00664EE6">
        <w:rPr>
          <w:rFonts w:eastAsia="Times New Roman"/>
        </w:rPr>
        <w:t xml:space="preserve"> has cleared the full entry process on its own merits; </w:t>
      </w:r>
    </w:p>
    <w:p w14:paraId="3D7A12EB" w14:textId="77777777" w:rsidR="00664EE6" w:rsidRDefault="00664EE6" w:rsidP="00664EE6">
      <w:pPr>
        <w:pStyle w:val="ListNumber"/>
        <w:numPr>
          <w:ilvl w:val="0"/>
          <w:numId w:val="11"/>
        </w:numPr>
        <w:rPr>
          <w:rFonts w:eastAsia="Times New Roman"/>
        </w:rPr>
      </w:pPr>
      <w:r>
        <w:rPr>
          <w:rFonts w:eastAsia="Times New Roman"/>
        </w:rPr>
        <w:lastRenderedPageBreak/>
        <w:t>C</w:t>
      </w:r>
      <w:r w:rsidR="00C00B6D" w:rsidRPr="00664EE6">
        <w:rPr>
          <w:rFonts w:eastAsia="Times New Roman"/>
        </w:rPr>
        <w:t xml:space="preserve">omposite-score gap is at least fifteen </w:t>
      </w:r>
      <w:r>
        <w:rPr>
          <w:rFonts w:eastAsia="Times New Roman"/>
        </w:rPr>
        <w:t xml:space="preserve">(15) </w:t>
      </w:r>
      <w:r w:rsidR="00C00B6D" w:rsidRPr="00664EE6">
        <w:rPr>
          <w:rFonts w:eastAsia="Times New Roman"/>
        </w:rPr>
        <w:t>points and has persisted across two consecutive quarterly re-scores</w:t>
      </w:r>
      <w:r>
        <w:rPr>
          <w:rFonts w:eastAsia="Times New Roman"/>
        </w:rPr>
        <w:t xml:space="preserve"> – n</w:t>
      </w:r>
      <w:r w:rsidR="00C00B6D" w:rsidRPr="00664EE6">
        <w:rPr>
          <w:rFonts w:eastAsia="Times New Roman"/>
        </w:rPr>
        <w:t xml:space="preserve">ot just one attractive moment; </w:t>
      </w:r>
    </w:p>
    <w:p w14:paraId="19F2B9B7" w14:textId="77777777" w:rsidR="00664EE6" w:rsidRDefault="00664EE6" w:rsidP="00664EE6">
      <w:pPr>
        <w:pStyle w:val="ListNumber"/>
        <w:numPr>
          <w:ilvl w:val="0"/>
          <w:numId w:val="11"/>
        </w:numPr>
        <w:rPr>
          <w:rFonts w:eastAsia="Times New Roman"/>
        </w:rPr>
      </w:pPr>
      <w:r>
        <w:rPr>
          <w:rFonts w:eastAsia="Times New Roman"/>
        </w:rPr>
        <w:t>E</w:t>
      </w:r>
      <w:r w:rsidR="00C00B6D" w:rsidRPr="00664EE6">
        <w:rPr>
          <w:rFonts w:eastAsia="Times New Roman"/>
        </w:rPr>
        <w:t xml:space="preserve">xisting holding is not protected by one of the hold-through conditions above; and </w:t>
      </w:r>
    </w:p>
    <w:p w14:paraId="6DAA6B2B" w14:textId="77777777" w:rsidR="00664EE6" w:rsidRDefault="00664EE6" w:rsidP="00664EE6">
      <w:pPr>
        <w:pStyle w:val="ListNumber"/>
        <w:numPr>
          <w:ilvl w:val="0"/>
          <w:numId w:val="11"/>
        </w:numPr>
        <w:contextualSpacing w:val="0"/>
        <w:rPr>
          <w:rFonts w:eastAsia="Times New Roman"/>
        </w:rPr>
      </w:pPr>
      <w:r>
        <w:rPr>
          <w:rFonts w:eastAsia="Times New Roman"/>
        </w:rPr>
        <w:t>A</w:t>
      </w:r>
      <w:r w:rsidR="00C00B6D" w:rsidRPr="00664EE6">
        <w:rPr>
          <w:rFonts w:eastAsia="Times New Roman"/>
        </w:rPr>
        <w:t xml:space="preserve">vailable cash is genuinely insufficient without a sale. </w:t>
      </w:r>
    </w:p>
    <w:p w14:paraId="4919054A" w14:textId="1CE98C4E" w:rsidR="00C00B6D" w:rsidRPr="00664EE6" w:rsidRDefault="00C00B6D" w:rsidP="00664EE6">
      <w:pPr>
        <w:pStyle w:val="ListNumber"/>
        <w:numPr>
          <w:ilvl w:val="0"/>
          <w:numId w:val="0"/>
        </w:numPr>
        <w:rPr>
          <w:rFonts w:eastAsia="Times New Roman"/>
        </w:rPr>
      </w:pPr>
      <w:r w:rsidRPr="00664EE6">
        <w:rPr>
          <w:rFonts w:eastAsia="Times New Roman"/>
        </w:rPr>
        <w:t>Even then, it may be invoked only once per holding per year. The System permits upgrading — but only slowly enough that upgrading cannot be mistaken for performance-chasing.</w:t>
      </w:r>
    </w:p>
    <w:p w14:paraId="5FECCD8F" w14:textId="77777777" w:rsidR="00C00B6D" w:rsidRPr="00C00B6D" w:rsidRDefault="00C00B6D" w:rsidP="00DF1E5A">
      <w:pPr>
        <w:pStyle w:val="Heading1"/>
      </w:pPr>
      <w:r w:rsidRPr="00C00B6D">
        <w:t>Seeing the portfolio, not just the positions</w:t>
      </w:r>
    </w:p>
    <w:p w14:paraId="1A96D373" w14:textId="3C0504AA" w:rsidR="00C00B6D" w:rsidRPr="00C00B6D" w:rsidRDefault="00C00B6D" w:rsidP="00C00B6D">
      <w:pPr>
        <w:spacing w:before="100" w:beforeAutospacing="1" w:after="100" w:afterAutospacing="1" w:line="240" w:lineRule="auto"/>
        <w:contextualSpacing w:val="0"/>
        <w:rPr>
          <w:rFonts w:ascii="Times New Roman" w:eastAsia="Times New Roman" w:hAnsi="Times New Roman" w:cs="Times New Roman"/>
          <w:szCs w:val="24"/>
        </w:rPr>
      </w:pPr>
      <w:r w:rsidRPr="00C00B6D">
        <w:rPr>
          <w:rFonts w:ascii="Times New Roman" w:eastAsia="Times New Roman" w:hAnsi="Times New Roman" w:cs="Times New Roman"/>
          <w:szCs w:val="24"/>
        </w:rPr>
        <w:t>A collection of individually excellent positions can still be a poorly constructed portfolio, and the System addresses this at the aggregate level</w:t>
      </w:r>
      <w:r w:rsidR="00664EE6">
        <w:rPr>
          <w:rFonts w:ascii="Times New Roman" w:eastAsia="Times New Roman" w:hAnsi="Times New Roman" w:cs="Times New Roman"/>
          <w:szCs w:val="24"/>
        </w:rPr>
        <w:t>,</w:t>
      </w:r>
      <w:r w:rsidRPr="00C00B6D">
        <w:rPr>
          <w:rFonts w:ascii="Times New Roman" w:eastAsia="Times New Roman" w:hAnsi="Times New Roman" w:cs="Times New Roman"/>
          <w:szCs w:val="24"/>
        </w:rPr>
        <w:t xml:space="preserve"> separately from anything a single stock’s score can capture. Every quarter, </w:t>
      </w:r>
      <w:r w:rsidRPr="00664EE6">
        <w:rPr>
          <w:rFonts w:ascii="Times New Roman" w:eastAsia="Times New Roman" w:hAnsi="Times New Roman" w:cs="Times New Roman"/>
          <w:b/>
          <w:bCs/>
          <w:szCs w:val="24"/>
        </w:rPr>
        <w:t>pairwise correlations</w:t>
      </w:r>
      <w:r w:rsidRPr="00C00B6D">
        <w:rPr>
          <w:rFonts w:ascii="Times New Roman" w:eastAsia="Times New Roman" w:hAnsi="Times New Roman" w:cs="Times New Roman"/>
          <w:szCs w:val="24"/>
        </w:rPr>
        <w:t xml:space="preserve"> across holdings are calculated on weekly returns over as much as three </w:t>
      </w:r>
      <w:r w:rsidR="00664EE6">
        <w:rPr>
          <w:rFonts w:ascii="Times New Roman" w:eastAsia="Times New Roman" w:hAnsi="Times New Roman" w:cs="Times New Roman"/>
          <w:szCs w:val="24"/>
        </w:rPr>
        <w:t xml:space="preserve">(3) </w:t>
      </w:r>
      <w:r w:rsidRPr="00C00B6D">
        <w:rPr>
          <w:rFonts w:ascii="Times New Roman" w:eastAsia="Times New Roman" w:hAnsi="Times New Roman" w:cs="Times New Roman"/>
          <w:szCs w:val="24"/>
        </w:rPr>
        <w:t xml:space="preserve">years of history — correlation being a simple measure, running from −1 to 1, of how closely two </w:t>
      </w:r>
      <w:r w:rsidR="00664EE6">
        <w:rPr>
          <w:rFonts w:ascii="Times New Roman" w:eastAsia="Times New Roman" w:hAnsi="Times New Roman" w:cs="Times New Roman"/>
          <w:szCs w:val="24"/>
        </w:rPr>
        <w:t xml:space="preserve">(2) </w:t>
      </w:r>
      <w:r w:rsidRPr="00C00B6D">
        <w:rPr>
          <w:rFonts w:ascii="Times New Roman" w:eastAsia="Times New Roman" w:hAnsi="Times New Roman" w:cs="Times New Roman"/>
          <w:szCs w:val="24"/>
        </w:rPr>
        <w:t xml:space="preserve">things move together. Any cluster of three </w:t>
      </w:r>
      <w:r w:rsidR="00664EE6">
        <w:rPr>
          <w:rFonts w:ascii="Times New Roman" w:eastAsia="Times New Roman" w:hAnsi="Times New Roman" w:cs="Times New Roman"/>
          <w:szCs w:val="24"/>
        </w:rPr>
        <w:t xml:space="preserve">(3) </w:t>
      </w:r>
      <w:r w:rsidRPr="00C00B6D">
        <w:rPr>
          <w:rFonts w:ascii="Times New Roman" w:eastAsia="Times New Roman" w:hAnsi="Times New Roman" w:cs="Times New Roman"/>
          <w:szCs w:val="24"/>
        </w:rPr>
        <w:t>or more positions correlating above 0.70</w:t>
      </w:r>
      <w:r w:rsidR="00664EE6">
        <w:rPr>
          <w:rFonts w:ascii="Times New Roman" w:eastAsia="Times New Roman" w:hAnsi="Times New Roman" w:cs="Times New Roman"/>
          <w:szCs w:val="24"/>
        </w:rPr>
        <w:t xml:space="preserve"> –</w:t>
      </w:r>
      <w:r w:rsidRPr="00C00B6D">
        <w:rPr>
          <w:rFonts w:ascii="Times New Roman" w:eastAsia="Times New Roman" w:hAnsi="Times New Roman" w:cs="Times New Roman"/>
          <w:szCs w:val="24"/>
        </w:rPr>
        <w:t xml:space="preserve"> meaning they nearly move in lockstep, is flagged as effectively one bet rather than several genuinely different ones: capped at twenty percent </w:t>
      </w:r>
      <w:r w:rsidR="00664EE6">
        <w:rPr>
          <w:rFonts w:ascii="Times New Roman" w:eastAsia="Times New Roman" w:hAnsi="Times New Roman" w:cs="Times New Roman"/>
          <w:szCs w:val="24"/>
        </w:rPr>
        <w:t xml:space="preserve">(20%) </w:t>
      </w:r>
      <w:r w:rsidRPr="00C00B6D">
        <w:rPr>
          <w:rFonts w:ascii="Times New Roman" w:eastAsia="Times New Roman" w:hAnsi="Times New Roman" w:cs="Times New Roman"/>
          <w:szCs w:val="24"/>
        </w:rPr>
        <w:t xml:space="preserve">of the portfolio in aggregate, with any new position that would expand the cluster automatically halved in size. This exists because sector labels are an imperfect proxy for what </w:t>
      </w:r>
      <w:proofErr w:type="gramStart"/>
      <w:r w:rsidRPr="00C00B6D">
        <w:rPr>
          <w:rFonts w:ascii="Times New Roman" w:eastAsia="Times New Roman" w:hAnsi="Times New Roman" w:cs="Times New Roman"/>
          <w:szCs w:val="24"/>
        </w:rPr>
        <w:t>actually moves</w:t>
      </w:r>
      <w:proofErr w:type="gramEnd"/>
      <w:r w:rsidRPr="00C00B6D">
        <w:rPr>
          <w:rFonts w:ascii="Times New Roman" w:eastAsia="Times New Roman" w:hAnsi="Times New Roman" w:cs="Times New Roman"/>
          <w:szCs w:val="24"/>
        </w:rPr>
        <w:t xml:space="preserve"> together — two </w:t>
      </w:r>
      <w:r w:rsidR="00664EE6">
        <w:rPr>
          <w:rFonts w:ascii="Times New Roman" w:eastAsia="Times New Roman" w:hAnsi="Times New Roman" w:cs="Times New Roman"/>
          <w:szCs w:val="24"/>
        </w:rPr>
        <w:t xml:space="preserve">(2) </w:t>
      </w:r>
      <w:r w:rsidRPr="00C00B6D">
        <w:rPr>
          <w:rFonts w:ascii="Times New Roman" w:eastAsia="Times New Roman" w:hAnsi="Times New Roman" w:cs="Times New Roman"/>
          <w:szCs w:val="24"/>
        </w:rPr>
        <w:t>businesses in entirely different industries can still share the same underlying driver, usually discovered only when both fall on the same day for the same reason.</w:t>
      </w:r>
    </w:p>
    <w:p w14:paraId="273A96DB" w14:textId="0A90EDDA" w:rsidR="00C00B6D" w:rsidRPr="00C00B6D" w:rsidRDefault="00C00B6D" w:rsidP="00C00B6D">
      <w:pPr>
        <w:spacing w:after="0" w:line="240" w:lineRule="auto"/>
        <w:contextualSpacing w:val="0"/>
        <w:rPr>
          <w:rFonts w:ascii="Times New Roman" w:eastAsia="Times New Roman" w:hAnsi="Times New Roman" w:cs="Times New Roman"/>
          <w:szCs w:val="24"/>
        </w:rPr>
      </w:pPr>
      <w:r w:rsidRPr="00C00B6D">
        <w:rPr>
          <w:rFonts w:ascii="Times New Roman" w:eastAsia="Times New Roman" w:hAnsi="Times New Roman" w:cs="Times New Roman"/>
          <w:szCs w:val="24"/>
        </w:rPr>
        <w:t xml:space="preserve">A parallel mechanism responds to realized portfolio-level losses directly, independent of cause — what the System calls </w:t>
      </w:r>
      <w:r w:rsidRPr="000A1B3C">
        <w:rPr>
          <w:rFonts w:ascii="Times New Roman" w:eastAsia="Times New Roman" w:hAnsi="Times New Roman" w:cs="Times New Roman"/>
          <w:b/>
          <w:bCs/>
          <w:szCs w:val="24"/>
        </w:rPr>
        <w:t>drawdown</w:t>
      </w:r>
      <w:r w:rsidRPr="00C00B6D">
        <w:rPr>
          <w:rFonts w:ascii="Times New Roman" w:eastAsia="Times New Roman" w:hAnsi="Times New Roman" w:cs="Times New Roman"/>
          <w:szCs w:val="24"/>
        </w:rPr>
        <w:t xml:space="preserve">, the decline from the portfolio’s highest-ever value. As that decline deepens, required cash reserves step up and new position sizing tightens or halts — with a five-day </w:t>
      </w:r>
      <w:r w:rsidR="000A1B3C">
        <w:rPr>
          <w:rFonts w:ascii="Times New Roman" w:eastAsia="Times New Roman" w:hAnsi="Times New Roman" w:cs="Times New Roman"/>
          <w:szCs w:val="24"/>
        </w:rPr>
        <w:t xml:space="preserve">(5-day) </w:t>
      </w:r>
      <w:r w:rsidRPr="00C00B6D">
        <w:rPr>
          <w:rFonts w:ascii="Times New Roman" w:eastAsia="Times New Roman" w:hAnsi="Times New Roman" w:cs="Times New Roman"/>
          <w:szCs w:val="24"/>
        </w:rPr>
        <w:t xml:space="preserve">confirmation before tightening and a ten-day </w:t>
      </w:r>
      <w:r w:rsidR="000A1B3C">
        <w:rPr>
          <w:rFonts w:ascii="Times New Roman" w:eastAsia="Times New Roman" w:hAnsi="Times New Roman" w:cs="Times New Roman"/>
          <w:szCs w:val="24"/>
        </w:rPr>
        <w:t xml:space="preserve">(10-day) </w:t>
      </w:r>
      <w:r w:rsidRPr="00C00B6D">
        <w:rPr>
          <w:rFonts w:ascii="Times New Roman" w:eastAsia="Times New Roman" w:hAnsi="Times New Roman" w:cs="Times New Roman"/>
          <w:szCs w:val="24"/>
        </w:rPr>
        <w:t>confirmation before easing back, specifically to prevent the response from whipsawing on ordinary volatility. Existing, fundamentally sound positions stay protected through most of this range by the hold-through rules above</w:t>
      </w:r>
      <w:r w:rsidR="000A1B3C">
        <w:rPr>
          <w:rFonts w:ascii="Times New Roman" w:eastAsia="Times New Roman" w:hAnsi="Times New Roman" w:cs="Times New Roman"/>
          <w:szCs w:val="24"/>
        </w:rPr>
        <w:t>. This</w:t>
      </w:r>
      <w:r w:rsidRPr="00C00B6D">
        <w:rPr>
          <w:rFonts w:ascii="Times New Roman" w:eastAsia="Times New Roman" w:hAnsi="Times New Roman" w:cs="Times New Roman"/>
          <w:szCs w:val="24"/>
        </w:rPr>
        <w:t xml:space="preserve"> mechanism mainly governs new deployment, not routine liquidation of what is already owned. Only at the most severe band</w:t>
      </w:r>
      <w:r w:rsidR="00150980">
        <w:rPr>
          <w:rFonts w:ascii="Times New Roman" w:eastAsia="Times New Roman" w:hAnsi="Times New Roman" w:cs="Times New Roman"/>
          <w:szCs w:val="24"/>
        </w:rPr>
        <w:t xml:space="preserve"> –</w:t>
      </w:r>
      <w:r w:rsidRPr="00C00B6D">
        <w:rPr>
          <w:rFonts w:ascii="Times New Roman" w:eastAsia="Times New Roman" w:hAnsi="Times New Roman" w:cs="Times New Roman"/>
          <w:szCs w:val="24"/>
        </w:rPr>
        <w:t xml:space="preserve"> if losses persist there for weeks with a documented review finding the portfolio’s risk still excessive</w:t>
      </w:r>
      <w:r w:rsidR="00150980">
        <w:rPr>
          <w:rFonts w:ascii="Times New Roman" w:eastAsia="Times New Roman" w:hAnsi="Times New Roman" w:cs="Times New Roman"/>
          <w:szCs w:val="24"/>
        </w:rPr>
        <w:t xml:space="preserve"> – </w:t>
      </w:r>
      <w:r w:rsidRPr="00C00B6D">
        <w:rPr>
          <w:rFonts w:ascii="Times New Roman" w:eastAsia="Times New Roman" w:hAnsi="Times New Roman" w:cs="Times New Roman"/>
          <w:szCs w:val="24"/>
        </w:rPr>
        <w:t>can it require trimming a position that would otherwise be left alone.</w:t>
      </w:r>
    </w:p>
    <w:p w14:paraId="0DBA0C41" w14:textId="77777777" w:rsidR="00C00B6D" w:rsidRPr="00C00B6D" w:rsidRDefault="00C00B6D" w:rsidP="00DF1E5A">
      <w:pPr>
        <w:pStyle w:val="Heading1"/>
      </w:pPr>
      <w:r w:rsidRPr="00C00B6D">
        <w:t>Taxes: how, not whether</w:t>
      </w:r>
    </w:p>
    <w:p w14:paraId="3574D209" w14:textId="3DCCDD3D" w:rsidR="00C00B6D" w:rsidRPr="00C00B6D" w:rsidRDefault="00C00B6D" w:rsidP="00C00B6D">
      <w:pPr>
        <w:spacing w:after="0" w:line="240" w:lineRule="auto"/>
        <w:contextualSpacing w:val="0"/>
        <w:rPr>
          <w:rFonts w:ascii="Times New Roman" w:eastAsia="Times New Roman" w:hAnsi="Times New Roman" w:cs="Times New Roman"/>
          <w:szCs w:val="24"/>
        </w:rPr>
      </w:pPr>
      <w:r w:rsidRPr="00C00B6D">
        <w:rPr>
          <w:rFonts w:ascii="Times New Roman" w:eastAsia="Times New Roman" w:hAnsi="Times New Roman" w:cs="Times New Roman"/>
          <w:szCs w:val="24"/>
        </w:rPr>
        <w:t xml:space="preserve">For taxable capital, the System treats </w:t>
      </w:r>
      <w:r w:rsidRPr="00150980">
        <w:rPr>
          <w:rFonts w:ascii="Times New Roman" w:eastAsia="Times New Roman" w:hAnsi="Times New Roman" w:cs="Times New Roman"/>
          <w:b/>
          <w:bCs/>
          <w:szCs w:val="24"/>
        </w:rPr>
        <w:t>tax efficiency</w:t>
      </w:r>
      <w:r w:rsidRPr="00C00B6D">
        <w:rPr>
          <w:rFonts w:ascii="Times New Roman" w:eastAsia="Times New Roman" w:hAnsi="Times New Roman" w:cs="Times New Roman"/>
          <w:szCs w:val="24"/>
        </w:rPr>
        <w:t xml:space="preserve"> as a genuine consideration — but a strictly secondary one. A discretionary trim may be delayed up to thirty </w:t>
      </w:r>
      <w:r w:rsidR="00150980">
        <w:rPr>
          <w:rFonts w:ascii="Times New Roman" w:eastAsia="Times New Roman" w:hAnsi="Times New Roman" w:cs="Times New Roman"/>
          <w:szCs w:val="24"/>
        </w:rPr>
        <w:t xml:space="preserve">(30) </w:t>
      </w:r>
      <w:r w:rsidRPr="00C00B6D">
        <w:rPr>
          <w:rFonts w:ascii="Times New Roman" w:eastAsia="Times New Roman" w:hAnsi="Times New Roman" w:cs="Times New Roman"/>
          <w:szCs w:val="24"/>
        </w:rPr>
        <w:t xml:space="preserve">days to let a position cross into long-term treatment, provided no hard rule is violated by waiting. Losses may be harvested opportunistically from underwater or probationary positions, replaced with something economically similar but not identical </w:t>
      </w:r>
      <w:r w:rsidR="00150980">
        <w:rPr>
          <w:rFonts w:ascii="Times New Roman" w:eastAsia="Times New Roman" w:hAnsi="Times New Roman" w:cs="Times New Roman"/>
          <w:szCs w:val="24"/>
        </w:rPr>
        <w:t xml:space="preserve">– a </w:t>
      </w:r>
      <w:r w:rsidRPr="00C00B6D">
        <w:rPr>
          <w:rFonts w:ascii="Times New Roman" w:eastAsia="Times New Roman" w:hAnsi="Times New Roman" w:cs="Times New Roman"/>
          <w:szCs w:val="24"/>
        </w:rPr>
        <w:t xml:space="preserve">close industry peer, say, rather than a repurchase of the same security </w:t>
      </w:r>
      <w:r w:rsidR="00150980">
        <w:rPr>
          <w:rFonts w:ascii="Times New Roman" w:eastAsia="Times New Roman" w:hAnsi="Times New Roman" w:cs="Times New Roman"/>
          <w:szCs w:val="24"/>
        </w:rPr>
        <w:t xml:space="preserve">– </w:t>
      </w:r>
      <w:r w:rsidRPr="00C00B6D">
        <w:rPr>
          <w:rFonts w:ascii="Times New Roman" w:eastAsia="Times New Roman" w:hAnsi="Times New Roman" w:cs="Times New Roman"/>
          <w:szCs w:val="24"/>
        </w:rPr>
        <w:t xml:space="preserve">and coordinated across a household’s full set of accounts. What the System will not do is let a tax consideration originate a trade on its </w:t>
      </w:r>
      <w:proofErr w:type="gramStart"/>
      <w:r w:rsidRPr="00C00B6D">
        <w:rPr>
          <w:rFonts w:ascii="Times New Roman" w:eastAsia="Times New Roman" w:hAnsi="Times New Roman" w:cs="Times New Roman"/>
          <w:szCs w:val="24"/>
        </w:rPr>
        <w:t>own, or</w:t>
      </w:r>
      <w:proofErr w:type="gramEnd"/>
      <w:r w:rsidRPr="00C00B6D">
        <w:rPr>
          <w:rFonts w:ascii="Times New Roman" w:eastAsia="Times New Roman" w:hAnsi="Times New Roman" w:cs="Times New Roman"/>
          <w:szCs w:val="24"/>
        </w:rPr>
        <w:t xml:space="preserve"> delay a sale that deteriorating fundamentals have already mandated. The framing throughout is how a trade is executed, never whether it happens </w:t>
      </w:r>
      <w:r w:rsidR="00150980">
        <w:rPr>
          <w:rFonts w:ascii="Times New Roman" w:eastAsia="Times New Roman" w:hAnsi="Times New Roman" w:cs="Times New Roman"/>
          <w:szCs w:val="24"/>
        </w:rPr>
        <w:t xml:space="preserve">– </w:t>
      </w:r>
      <w:r w:rsidRPr="00C00B6D">
        <w:rPr>
          <w:rFonts w:ascii="Times New Roman" w:eastAsia="Times New Roman" w:hAnsi="Times New Roman" w:cs="Times New Roman"/>
          <w:szCs w:val="24"/>
        </w:rPr>
        <w:t>a distinction that matters enormously to an affluent household and is easy to blur without a rule this explicit.</w:t>
      </w:r>
    </w:p>
    <w:p w14:paraId="5DAA747E" w14:textId="77777777" w:rsidR="00C00B6D" w:rsidRPr="00C00B6D" w:rsidRDefault="00C00B6D" w:rsidP="00DF1E5A">
      <w:pPr>
        <w:pStyle w:val="Heading1"/>
      </w:pPr>
      <w:r w:rsidRPr="00C00B6D">
        <w:t>A system built to correct itself slowly</w:t>
      </w:r>
    </w:p>
    <w:p w14:paraId="6F43DBB7" w14:textId="6D83BC82" w:rsidR="00C00B6D" w:rsidRPr="00C00B6D" w:rsidRDefault="00C00B6D" w:rsidP="00C00B6D">
      <w:pPr>
        <w:spacing w:before="100" w:beforeAutospacing="1" w:after="100" w:afterAutospacing="1" w:line="240" w:lineRule="auto"/>
        <w:contextualSpacing w:val="0"/>
        <w:rPr>
          <w:rFonts w:ascii="Times New Roman" w:eastAsia="Times New Roman" w:hAnsi="Times New Roman" w:cs="Times New Roman"/>
          <w:szCs w:val="24"/>
        </w:rPr>
      </w:pPr>
      <w:r w:rsidRPr="00C00B6D">
        <w:rPr>
          <w:rFonts w:ascii="Times New Roman" w:eastAsia="Times New Roman" w:hAnsi="Times New Roman" w:cs="Times New Roman"/>
          <w:szCs w:val="24"/>
        </w:rPr>
        <w:t xml:space="preserve">Perhaps the most telling section of the System is the one governing how it is allowed to change. Indicator weights may be revisited only once every two </w:t>
      </w:r>
      <w:r w:rsidR="00150980">
        <w:rPr>
          <w:rFonts w:ascii="Times New Roman" w:eastAsia="Times New Roman" w:hAnsi="Times New Roman" w:cs="Times New Roman"/>
          <w:szCs w:val="24"/>
        </w:rPr>
        <w:t xml:space="preserve">(2) </w:t>
      </w:r>
      <w:r w:rsidRPr="00C00B6D">
        <w:rPr>
          <w:rFonts w:ascii="Times New Roman" w:eastAsia="Times New Roman" w:hAnsi="Times New Roman" w:cs="Times New Roman"/>
          <w:szCs w:val="24"/>
        </w:rPr>
        <w:t xml:space="preserve">years, and only with documented evidence drawn from multiple positions over time </w:t>
      </w:r>
      <w:r w:rsidR="00150980">
        <w:rPr>
          <w:rFonts w:ascii="Times New Roman" w:eastAsia="Times New Roman" w:hAnsi="Times New Roman" w:cs="Times New Roman"/>
          <w:szCs w:val="24"/>
        </w:rPr>
        <w:t xml:space="preserve">– </w:t>
      </w:r>
      <w:r w:rsidRPr="00C00B6D">
        <w:rPr>
          <w:rFonts w:ascii="Times New Roman" w:eastAsia="Times New Roman" w:hAnsi="Times New Roman" w:cs="Times New Roman"/>
          <w:szCs w:val="24"/>
        </w:rPr>
        <w:t>a single painful loss or a single lucky win is explicitly disqualified as grounds for revision. Full portfolio re-scoring happens annually</w:t>
      </w:r>
      <w:r w:rsidR="00150980">
        <w:rPr>
          <w:rFonts w:ascii="Times New Roman" w:eastAsia="Times New Roman" w:hAnsi="Times New Roman" w:cs="Times New Roman"/>
          <w:szCs w:val="24"/>
        </w:rPr>
        <w:t>:</w:t>
      </w:r>
      <w:r w:rsidRPr="00C00B6D">
        <w:rPr>
          <w:rFonts w:ascii="Times New Roman" w:eastAsia="Times New Roman" w:hAnsi="Times New Roman" w:cs="Times New Roman"/>
          <w:szCs w:val="24"/>
        </w:rPr>
        <w:t xml:space="preserve"> any loss exceeding twenty percent </w:t>
      </w:r>
      <w:r w:rsidR="00150980">
        <w:rPr>
          <w:rFonts w:ascii="Times New Roman" w:eastAsia="Times New Roman" w:hAnsi="Times New Roman" w:cs="Times New Roman"/>
          <w:szCs w:val="24"/>
        </w:rPr>
        <w:t xml:space="preserve">(20%) </w:t>
      </w:r>
      <w:r w:rsidRPr="00C00B6D">
        <w:rPr>
          <w:rFonts w:ascii="Times New Roman" w:eastAsia="Times New Roman" w:hAnsi="Times New Roman" w:cs="Times New Roman"/>
          <w:szCs w:val="24"/>
        </w:rPr>
        <w:t xml:space="preserve">from cost triggers a mandatory post-mortem. Performance itself is judged in cohorts </w:t>
      </w:r>
      <w:r w:rsidR="00150980">
        <w:rPr>
          <w:rFonts w:ascii="Times New Roman" w:eastAsia="Times New Roman" w:hAnsi="Times New Roman" w:cs="Times New Roman"/>
          <w:szCs w:val="24"/>
        </w:rPr>
        <w:t xml:space="preserve">– </w:t>
      </w:r>
      <w:r w:rsidRPr="00C00B6D">
        <w:rPr>
          <w:rFonts w:ascii="Times New Roman" w:eastAsia="Times New Roman" w:hAnsi="Times New Roman" w:cs="Times New Roman"/>
          <w:szCs w:val="24"/>
        </w:rPr>
        <w:t xml:space="preserve">groups of positions that entered </w:t>
      </w:r>
      <w:r w:rsidRPr="00C00B6D">
        <w:rPr>
          <w:rFonts w:ascii="Times New Roman" w:eastAsia="Times New Roman" w:hAnsi="Times New Roman" w:cs="Times New Roman"/>
          <w:szCs w:val="24"/>
        </w:rPr>
        <w:lastRenderedPageBreak/>
        <w:t xml:space="preserve">at a similar score, tracked together </w:t>
      </w:r>
      <w:r w:rsidR="00150980">
        <w:rPr>
          <w:rFonts w:ascii="Times New Roman" w:eastAsia="Times New Roman" w:hAnsi="Times New Roman" w:cs="Times New Roman"/>
          <w:szCs w:val="24"/>
        </w:rPr>
        <w:t xml:space="preserve">– </w:t>
      </w:r>
      <w:r w:rsidRPr="00C00B6D">
        <w:rPr>
          <w:rFonts w:ascii="Times New Roman" w:eastAsia="Times New Roman" w:hAnsi="Times New Roman" w:cs="Times New Roman"/>
          <w:szCs w:val="24"/>
        </w:rPr>
        <w:t>not in anecdotes</w:t>
      </w:r>
      <w:r w:rsidR="00150980">
        <w:rPr>
          <w:rFonts w:ascii="Times New Roman" w:eastAsia="Times New Roman" w:hAnsi="Times New Roman" w:cs="Times New Roman"/>
          <w:szCs w:val="24"/>
        </w:rPr>
        <w:t>. A</w:t>
      </w:r>
      <w:r w:rsidRPr="00C00B6D">
        <w:rPr>
          <w:rFonts w:ascii="Times New Roman" w:eastAsia="Times New Roman" w:hAnsi="Times New Roman" w:cs="Times New Roman"/>
          <w:szCs w:val="24"/>
        </w:rPr>
        <w:t xml:space="preserve"> full evaluation of how a given score tier has performed requires at least ten </w:t>
      </w:r>
      <w:r w:rsidR="00150980">
        <w:rPr>
          <w:rFonts w:ascii="Times New Roman" w:eastAsia="Times New Roman" w:hAnsi="Times New Roman" w:cs="Times New Roman"/>
          <w:szCs w:val="24"/>
        </w:rPr>
        <w:t xml:space="preserve">(10) </w:t>
      </w:r>
      <w:r w:rsidRPr="00C00B6D">
        <w:rPr>
          <w:rFonts w:ascii="Times New Roman" w:eastAsia="Times New Roman" w:hAnsi="Times New Roman" w:cs="Times New Roman"/>
          <w:szCs w:val="24"/>
        </w:rPr>
        <w:t xml:space="preserve">completed five-year </w:t>
      </w:r>
      <w:r w:rsidR="00150980">
        <w:rPr>
          <w:rFonts w:ascii="Times New Roman" w:eastAsia="Times New Roman" w:hAnsi="Times New Roman" w:cs="Times New Roman"/>
          <w:szCs w:val="24"/>
        </w:rPr>
        <w:t xml:space="preserve">(5-year) </w:t>
      </w:r>
      <w:r w:rsidRPr="00C00B6D">
        <w:rPr>
          <w:rFonts w:ascii="Times New Roman" w:eastAsia="Times New Roman" w:hAnsi="Times New Roman" w:cs="Times New Roman"/>
          <w:szCs w:val="24"/>
        </w:rPr>
        <w:t>holding periods within that tier before any structural conclusion is drawn.</w:t>
      </w:r>
    </w:p>
    <w:p w14:paraId="1950E26F" w14:textId="43E52FD8" w:rsidR="00C00B6D" w:rsidRPr="00C00B6D" w:rsidRDefault="00C00B6D" w:rsidP="00C00B6D">
      <w:pPr>
        <w:spacing w:after="0" w:line="240" w:lineRule="auto"/>
        <w:contextualSpacing w:val="0"/>
        <w:rPr>
          <w:rFonts w:ascii="Times New Roman" w:eastAsia="Times New Roman" w:hAnsi="Times New Roman" w:cs="Times New Roman"/>
          <w:szCs w:val="24"/>
        </w:rPr>
      </w:pPr>
      <w:r w:rsidRPr="00C00B6D">
        <w:rPr>
          <w:rFonts w:ascii="Times New Roman" w:eastAsia="Times New Roman" w:hAnsi="Times New Roman" w:cs="Times New Roman"/>
          <w:szCs w:val="24"/>
        </w:rPr>
        <w:t xml:space="preserve">This is a demanding standard, and a deliberate one. It is the same statistical caution a disciplined research team applies before revising a live model: change should follow a pattern, not a moment. A framework willing to sit on its hands after a single bad quarter, waiting for real evidence before touching anything, is behaving exactly as its own principles demand </w:t>
      </w:r>
      <w:r w:rsidR="00150980">
        <w:rPr>
          <w:rFonts w:ascii="Times New Roman" w:eastAsia="Times New Roman" w:hAnsi="Times New Roman" w:cs="Times New Roman"/>
          <w:szCs w:val="24"/>
        </w:rPr>
        <w:t xml:space="preserve">– </w:t>
      </w:r>
      <w:r w:rsidRPr="00C00B6D">
        <w:rPr>
          <w:rFonts w:ascii="Times New Roman" w:eastAsia="Times New Roman" w:hAnsi="Times New Roman" w:cs="Times New Roman"/>
          <w:szCs w:val="24"/>
        </w:rPr>
        <w:t>even when doing so is uncomfortable.</w:t>
      </w:r>
    </w:p>
    <w:p w14:paraId="4F0B85D4" w14:textId="77777777" w:rsidR="00C00B6D" w:rsidRPr="00C00B6D" w:rsidRDefault="00C00B6D" w:rsidP="00DF1E5A">
      <w:pPr>
        <w:pStyle w:val="Heading1"/>
      </w:pPr>
      <w:r w:rsidRPr="00C00B6D">
        <w:t>The honest answer to “does it work?”</w:t>
      </w:r>
    </w:p>
    <w:p w14:paraId="0819F720" w14:textId="77777777" w:rsidR="00C00B6D" w:rsidRPr="00C00B6D" w:rsidRDefault="00C00B6D" w:rsidP="00C00B6D">
      <w:pPr>
        <w:spacing w:before="100" w:beforeAutospacing="1" w:after="100" w:afterAutospacing="1" w:line="240" w:lineRule="auto"/>
        <w:contextualSpacing w:val="0"/>
        <w:rPr>
          <w:rFonts w:ascii="Times New Roman" w:eastAsia="Times New Roman" w:hAnsi="Times New Roman" w:cs="Times New Roman"/>
          <w:szCs w:val="24"/>
        </w:rPr>
      </w:pPr>
      <w:r w:rsidRPr="00C00B6D">
        <w:rPr>
          <w:rFonts w:ascii="Times New Roman" w:eastAsia="Times New Roman" w:hAnsi="Times New Roman" w:cs="Times New Roman"/>
          <w:szCs w:val="24"/>
        </w:rPr>
        <w:t>This is the question every serious investor should ask, and it deserves a direct answer rather than a reassuring one.</w:t>
      </w:r>
    </w:p>
    <w:p w14:paraId="672A49AF" w14:textId="5A9BC155" w:rsidR="00C00B6D" w:rsidRPr="00C00B6D" w:rsidRDefault="00C00B6D" w:rsidP="00C00B6D">
      <w:pPr>
        <w:spacing w:before="100" w:beforeAutospacing="1" w:after="100" w:afterAutospacing="1" w:line="240" w:lineRule="auto"/>
        <w:contextualSpacing w:val="0"/>
        <w:rPr>
          <w:rFonts w:ascii="Times New Roman" w:eastAsia="Times New Roman" w:hAnsi="Times New Roman" w:cs="Times New Roman"/>
          <w:szCs w:val="24"/>
        </w:rPr>
      </w:pPr>
      <w:r w:rsidRPr="00C00B6D">
        <w:rPr>
          <w:rFonts w:ascii="Times New Roman" w:eastAsia="Times New Roman" w:hAnsi="Times New Roman" w:cs="Times New Roman"/>
          <w:szCs w:val="24"/>
        </w:rPr>
        <w:t xml:space="preserve">Every individual mechanism inside the Landry System rests on a well-tested foundation. The persistence of business quality, the long-run outperformance of disciplined valuation over narrative-driven buying, the danger of hidden correlation inside an apparently diversified portfolio, the value of after-tax rather than pre-tax return </w:t>
      </w:r>
      <w:r w:rsidR="00150980">
        <w:rPr>
          <w:rFonts w:ascii="Times New Roman" w:eastAsia="Times New Roman" w:hAnsi="Times New Roman" w:cs="Times New Roman"/>
          <w:szCs w:val="24"/>
        </w:rPr>
        <w:t xml:space="preserve">– </w:t>
      </w:r>
      <w:r w:rsidRPr="00C00B6D">
        <w:rPr>
          <w:rFonts w:ascii="Times New Roman" w:eastAsia="Times New Roman" w:hAnsi="Times New Roman" w:cs="Times New Roman"/>
          <w:szCs w:val="24"/>
        </w:rPr>
        <w:t xml:space="preserve">none of this is speculative. The cost of panic-selling and overtrading </w:t>
      </w:r>
      <w:proofErr w:type="gramStart"/>
      <w:r w:rsidRPr="00C00B6D">
        <w:rPr>
          <w:rFonts w:ascii="Times New Roman" w:eastAsia="Times New Roman" w:hAnsi="Times New Roman" w:cs="Times New Roman"/>
          <w:szCs w:val="24"/>
        </w:rPr>
        <w:t>in particular is</w:t>
      </w:r>
      <w:proofErr w:type="gramEnd"/>
      <w:r w:rsidRPr="00C00B6D">
        <w:rPr>
          <w:rFonts w:ascii="Times New Roman" w:eastAsia="Times New Roman" w:hAnsi="Times New Roman" w:cs="Times New Roman"/>
          <w:szCs w:val="24"/>
        </w:rPr>
        <w:t xml:space="preserve"> one of the more consistently observed patterns in individual-investor behavior: investors who trade the most, on average, tend to earn the least. None of this is unique to the Landry System; it is the shared inheritance of value investing, behavioral finance, and institutional portfolio construction, applied here with unusual consistency and very few silent exceptions.</w:t>
      </w:r>
    </w:p>
    <w:p w14:paraId="5C59AE37" w14:textId="1292DB34" w:rsidR="00C00B6D" w:rsidRPr="00C00B6D" w:rsidRDefault="00C00B6D" w:rsidP="00C00B6D">
      <w:pPr>
        <w:spacing w:before="100" w:beforeAutospacing="1" w:after="100" w:afterAutospacing="1" w:line="240" w:lineRule="auto"/>
        <w:contextualSpacing w:val="0"/>
        <w:rPr>
          <w:rFonts w:ascii="Times New Roman" w:eastAsia="Times New Roman" w:hAnsi="Times New Roman" w:cs="Times New Roman"/>
          <w:szCs w:val="24"/>
        </w:rPr>
      </w:pPr>
      <w:r w:rsidRPr="00C00B6D">
        <w:rPr>
          <w:rFonts w:ascii="Times New Roman" w:eastAsia="Times New Roman" w:hAnsi="Times New Roman" w:cs="Times New Roman"/>
          <w:szCs w:val="24"/>
        </w:rPr>
        <w:t xml:space="preserve">What cannot yet be claimed is a long, completed track record for the System as an integrated whole. Its own governing document is careful to say so: the twelve and ten percent </w:t>
      </w:r>
      <w:r w:rsidR="00150980">
        <w:rPr>
          <w:rFonts w:ascii="Times New Roman" w:eastAsia="Times New Roman" w:hAnsi="Times New Roman" w:cs="Times New Roman"/>
          <w:szCs w:val="24"/>
        </w:rPr>
        <w:t xml:space="preserve">(12% and (10%) </w:t>
      </w:r>
      <w:r w:rsidRPr="00C00B6D">
        <w:rPr>
          <w:rFonts w:ascii="Times New Roman" w:eastAsia="Times New Roman" w:hAnsi="Times New Roman" w:cs="Times New Roman"/>
          <w:szCs w:val="24"/>
        </w:rPr>
        <w:t xml:space="preserve">five-year return objectives attached to its top two decision bands are described in the text itself as </w:t>
      </w:r>
      <w:r w:rsidRPr="00150980">
        <w:rPr>
          <w:rFonts w:ascii="Times New Roman" w:eastAsia="Times New Roman" w:hAnsi="Times New Roman" w:cs="Times New Roman"/>
          <w:szCs w:val="24"/>
          <w:u w:val="single"/>
        </w:rPr>
        <w:t>planning objectives</w:t>
      </w:r>
      <w:r w:rsidRPr="00C00B6D">
        <w:rPr>
          <w:rFonts w:ascii="Times New Roman" w:eastAsia="Times New Roman" w:hAnsi="Times New Roman" w:cs="Times New Roman"/>
          <w:szCs w:val="24"/>
        </w:rPr>
        <w:t xml:space="preserve">, </w:t>
      </w:r>
      <w:r w:rsidRPr="00150980">
        <w:rPr>
          <w:rFonts w:ascii="Times New Roman" w:eastAsia="Times New Roman" w:hAnsi="Times New Roman" w:cs="Times New Roman"/>
          <w:szCs w:val="24"/>
          <w:u w:val="single"/>
        </w:rPr>
        <w:t>not guarantees</w:t>
      </w:r>
      <w:r w:rsidRPr="00C00B6D">
        <w:rPr>
          <w:rFonts w:ascii="Times New Roman" w:eastAsia="Times New Roman" w:hAnsi="Times New Roman" w:cs="Times New Roman"/>
          <w:szCs w:val="24"/>
        </w:rPr>
        <w:t xml:space="preserve">, and the cohort-based review the System relies on to judge its own performance requires five-year </w:t>
      </w:r>
      <w:r w:rsidR="00150980">
        <w:rPr>
          <w:rFonts w:ascii="Times New Roman" w:eastAsia="Times New Roman" w:hAnsi="Times New Roman" w:cs="Times New Roman"/>
          <w:szCs w:val="24"/>
        </w:rPr>
        <w:t xml:space="preserve">(5-year) </w:t>
      </w:r>
      <w:r w:rsidRPr="00C00B6D">
        <w:rPr>
          <w:rFonts w:ascii="Times New Roman" w:eastAsia="Times New Roman" w:hAnsi="Times New Roman" w:cs="Times New Roman"/>
          <w:szCs w:val="24"/>
        </w:rPr>
        <w:t>holding periods that, for a live system still in its early years, have not yet had time to mature in meaningful numbers. Several sector-specific thresholds are explicitly labeled in the source document as reasoned defaults pending confirmation, not figures derived from historical testing.</w:t>
      </w:r>
    </w:p>
    <w:p w14:paraId="777D668B" w14:textId="6A3B2717" w:rsidR="00C00B6D" w:rsidRPr="00C00B6D" w:rsidRDefault="00C00B6D" w:rsidP="00C00B6D">
      <w:pPr>
        <w:spacing w:after="0" w:line="240" w:lineRule="auto"/>
        <w:contextualSpacing w:val="0"/>
        <w:rPr>
          <w:rFonts w:ascii="Times New Roman" w:eastAsia="Times New Roman" w:hAnsi="Times New Roman" w:cs="Times New Roman"/>
          <w:i/>
          <w:iCs/>
          <w:color w:val="1E1C18"/>
          <w:szCs w:val="24"/>
        </w:rPr>
      </w:pPr>
      <w:r w:rsidRPr="00C00B6D">
        <w:rPr>
          <w:rFonts w:ascii="Times New Roman" w:eastAsia="Times New Roman" w:hAnsi="Times New Roman" w:cs="Times New Roman"/>
          <w:i/>
          <w:iCs/>
          <w:color w:val="1E1C18"/>
          <w:szCs w:val="24"/>
        </w:rPr>
        <w:t>That a governing document volunteers which of its own thresholds are unproven, rather than presenting every rule as equally settled, is unusual — and the caveat should be taken at face value, not read past.</w:t>
      </w:r>
    </w:p>
    <w:p w14:paraId="46D0F044" w14:textId="464004AB" w:rsidR="00150980" w:rsidRDefault="00C00B6D" w:rsidP="00150980">
      <w:pPr>
        <w:spacing w:before="100" w:beforeAutospacing="1" w:after="0" w:line="240" w:lineRule="auto"/>
        <w:contextualSpacing w:val="0"/>
        <w:rPr>
          <w:rFonts w:ascii="Times New Roman" w:eastAsia="Times New Roman" w:hAnsi="Times New Roman" w:cs="Times New Roman"/>
          <w:szCs w:val="24"/>
        </w:rPr>
      </w:pPr>
      <w:r w:rsidRPr="00C00B6D">
        <w:rPr>
          <w:rFonts w:ascii="Times New Roman" w:eastAsia="Times New Roman" w:hAnsi="Times New Roman" w:cs="Times New Roman"/>
          <w:szCs w:val="24"/>
        </w:rPr>
        <w:t xml:space="preserve">Two </w:t>
      </w:r>
      <w:r w:rsidR="00150980">
        <w:rPr>
          <w:rFonts w:ascii="Times New Roman" w:eastAsia="Times New Roman" w:hAnsi="Times New Roman" w:cs="Times New Roman"/>
          <w:szCs w:val="24"/>
        </w:rPr>
        <w:t xml:space="preserve">(2) </w:t>
      </w:r>
      <w:r w:rsidRPr="00C00B6D">
        <w:rPr>
          <w:rFonts w:ascii="Times New Roman" w:eastAsia="Times New Roman" w:hAnsi="Times New Roman" w:cs="Times New Roman"/>
          <w:szCs w:val="24"/>
        </w:rPr>
        <w:t>further dependencies are worth naming plainly</w:t>
      </w:r>
      <w:r w:rsidR="00150980">
        <w:rPr>
          <w:rFonts w:ascii="Times New Roman" w:eastAsia="Times New Roman" w:hAnsi="Times New Roman" w:cs="Times New Roman"/>
          <w:szCs w:val="24"/>
        </w:rPr>
        <w:t>:</w:t>
      </w:r>
      <w:r w:rsidRPr="00C00B6D">
        <w:rPr>
          <w:rFonts w:ascii="Times New Roman" w:eastAsia="Times New Roman" w:hAnsi="Times New Roman" w:cs="Times New Roman"/>
          <w:szCs w:val="24"/>
        </w:rPr>
        <w:t xml:space="preserve"> </w:t>
      </w:r>
    </w:p>
    <w:p w14:paraId="39750C6E" w14:textId="77777777" w:rsidR="00150980" w:rsidRDefault="00C00B6D" w:rsidP="00150980">
      <w:pPr>
        <w:spacing w:after="0" w:line="240" w:lineRule="auto"/>
        <w:contextualSpacing w:val="0"/>
        <w:rPr>
          <w:rFonts w:ascii="Times New Roman" w:eastAsia="Times New Roman" w:hAnsi="Times New Roman" w:cs="Times New Roman"/>
          <w:szCs w:val="24"/>
        </w:rPr>
      </w:pPr>
      <w:r w:rsidRPr="00C00B6D">
        <w:rPr>
          <w:rFonts w:ascii="Times New Roman" w:eastAsia="Times New Roman" w:hAnsi="Times New Roman" w:cs="Times New Roman"/>
          <w:szCs w:val="24"/>
        </w:rPr>
        <w:t xml:space="preserve">First, four of the twelve </w:t>
      </w:r>
      <w:r w:rsidR="00150980">
        <w:rPr>
          <w:rFonts w:ascii="Times New Roman" w:eastAsia="Times New Roman" w:hAnsi="Times New Roman" w:cs="Times New Roman"/>
          <w:szCs w:val="24"/>
        </w:rPr>
        <w:t xml:space="preserve">(4 of 12) </w:t>
      </w:r>
      <w:r w:rsidRPr="00C00B6D">
        <w:rPr>
          <w:rFonts w:ascii="Times New Roman" w:eastAsia="Times New Roman" w:hAnsi="Times New Roman" w:cs="Times New Roman"/>
          <w:szCs w:val="24"/>
        </w:rPr>
        <w:t xml:space="preserve">scoring indicators </w:t>
      </w:r>
      <w:r w:rsidR="00150980">
        <w:rPr>
          <w:rFonts w:ascii="Times New Roman" w:eastAsia="Times New Roman" w:hAnsi="Times New Roman" w:cs="Times New Roman"/>
          <w:szCs w:val="24"/>
        </w:rPr>
        <w:t>– c</w:t>
      </w:r>
      <w:r w:rsidRPr="00C00B6D">
        <w:rPr>
          <w:rFonts w:ascii="Times New Roman" w:eastAsia="Times New Roman" w:hAnsi="Times New Roman" w:cs="Times New Roman"/>
          <w:szCs w:val="24"/>
        </w:rPr>
        <w:t>ompetitive moat, management quality, revenue visibility, and the qualitative half of free cash flow trend</w:t>
      </w:r>
      <w:r w:rsidR="00150980">
        <w:rPr>
          <w:rFonts w:ascii="Times New Roman" w:eastAsia="Times New Roman" w:hAnsi="Times New Roman" w:cs="Times New Roman"/>
          <w:szCs w:val="24"/>
        </w:rPr>
        <w:t xml:space="preserve"> – </w:t>
      </w:r>
      <w:r w:rsidRPr="00C00B6D">
        <w:rPr>
          <w:rFonts w:ascii="Times New Roman" w:eastAsia="Times New Roman" w:hAnsi="Times New Roman" w:cs="Times New Roman"/>
          <w:szCs w:val="24"/>
        </w:rPr>
        <w:t xml:space="preserve">are deliberately never automated. They require a genuine, recurring act of human analytical judgment, which means the System’s quality is bounded by the quality of that judgment applied consistently, not by the arithmetic around it. </w:t>
      </w:r>
    </w:p>
    <w:p w14:paraId="20D3D849" w14:textId="1FCF0554" w:rsidR="00C00B6D" w:rsidRPr="00C00B6D" w:rsidRDefault="00C00B6D" w:rsidP="00C00B6D">
      <w:pPr>
        <w:spacing w:before="100" w:beforeAutospacing="1" w:after="100" w:afterAutospacing="1" w:line="240" w:lineRule="auto"/>
        <w:contextualSpacing w:val="0"/>
        <w:rPr>
          <w:rFonts w:ascii="Times New Roman" w:eastAsia="Times New Roman" w:hAnsi="Times New Roman" w:cs="Times New Roman"/>
          <w:szCs w:val="24"/>
        </w:rPr>
      </w:pPr>
      <w:r w:rsidRPr="00C00B6D">
        <w:rPr>
          <w:rFonts w:ascii="Times New Roman" w:eastAsia="Times New Roman" w:hAnsi="Times New Roman" w:cs="Times New Roman"/>
          <w:szCs w:val="24"/>
        </w:rPr>
        <w:t xml:space="preserve">Second, a portfolio built one qualifying business at a time can still end up concentrated in a shared theme without anyone intending it </w:t>
      </w:r>
      <w:r w:rsidR="008905C1">
        <w:rPr>
          <w:rFonts w:ascii="Times New Roman" w:eastAsia="Times New Roman" w:hAnsi="Times New Roman" w:cs="Times New Roman"/>
          <w:szCs w:val="24"/>
        </w:rPr>
        <w:t xml:space="preserve">– </w:t>
      </w:r>
      <w:r w:rsidRPr="00C00B6D">
        <w:rPr>
          <w:rFonts w:ascii="Times New Roman" w:eastAsia="Times New Roman" w:hAnsi="Times New Roman" w:cs="Times New Roman"/>
          <w:szCs w:val="24"/>
        </w:rPr>
        <w:t>as of this writing, a handful of current holdings sit inside a semiconductor and computing-infrastructure cluster that the System’s own correlation-cap machinery exists specifically to monitor. That the System watches for this risk in its own holdings, instead of assuming diversification because the sector labels differ, is worth noting. It does not make the underlying concentration disappear.</w:t>
      </w:r>
    </w:p>
    <w:p w14:paraId="7A1D30AC" w14:textId="2C1BDE43" w:rsidR="00C00B6D" w:rsidRPr="00C00B6D" w:rsidRDefault="00C00B6D" w:rsidP="00C00B6D">
      <w:pPr>
        <w:spacing w:after="0" w:line="240" w:lineRule="auto"/>
        <w:contextualSpacing w:val="0"/>
        <w:rPr>
          <w:rFonts w:ascii="Times New Roman" w:eastAsia="Times New Roman" w:hAnsi="Times New Roman" w:cs="Times New Roman"/>
          <w:szCs w:val="24"/>
        </w:rPr>
      </w:pPr>
      <w:r w:rsidRPr="00C00B6D">
        <w:rPr>
          <w:rFonts w:ascii="Times New Roman" w:eastAsia="Times New Roman" w:hAnsi="Times New Roman" w:cs="Times New Roman"/>
          <w:szCs w:val="24"/>
        </w:rPr>
        <w:t xml:space="preserve">The honest summary: this is a methodology built from well-established components, assembled with real discipline and, notably, real skepticism about its own unproven parts. It has not yet had the years required to prove itself in its own terms, and it says so. Nor does it claim to be the only reasonable choice </w:t>
      </w:r>
      <w:r w:rsidR="008905C1">
        <w:rPr>
          <w:rFonts w:ascii="Times New Roman" w:eastAsia="Times New Roman" w:hAnsi="Times New Roman" w:cs="Times New Roman"/>
          <w:szCs w:val="24"/>
        </w:rPr>
        <w:t xml:space="preserve">– </w:t>
      </w:r>
      <w:r w:rsidRPr="00C00B6D">
        <w:rPr>
          <w:rFonts w:ascii="Times New Roman" w:eastAsia="Times New Roman" w:hAnsi="Times New Roman" w:cs="Times New Roman"/>
          <w:szCs w:val="24"/>
        </w:rPr>
        <w:t xml:space="preserve">a family uninterested in this degree of process has the plain alternative of a low-cost index fund, and the System’s implicit bet is that the added structure is worth the complexity and the occasional idle cash, not that it is </w:t>
      </w:r>
      <w:r w:rsidRPr="00C00B6D">
        <w:rPr>
          <w:rFonts w:ascii="Times New Roman" w:eastAsia="Times New Roman" w:hAnsi="Times New Roman" w:cs="Times New Roman"/>
          <w:szCs w:val="24"/>
        </w:rPr>
        <w:lastRenderedPageBreak/>
        <w:t>guaranteed to beat a simple benchmark. What is verifiable today, for an investor or advisor deciding whether to trust it, is the architecture: real intellectual grounding, unusual structural discipline, and an honest accounting of what remains unproven. That is not a substitute for a completed track record. It is a reasonable basis for provisional confidence while the System’s own cohort-review process does its slower work.</w:t>
      </w:r>
    </w:p>
    <w:p w14:paraId="4CE1339D" w14:textId="77777777" w:rsidR="00C00B6D" w:rsidRPr="00C00B6D" w:rsidRDefault="00C00B6D" w:rsidP="00DF1E5A">
      <w:pPr>
        <w:pStyle w:val="Heading1"/>
      </w:pPr>
      <w:r w:rsidRPr="00C00B6D">
        <w:t>Who this serves</w:t>
      </w:r>
    </w:p>
    <w:p w14:paraId="7685F4E9" w14:textId="05C81417" w:rsidR="00C00B6D" w:rsidRPr="00C00B6D" w:rsidRDefault="00C00B6D" w:rsidP="00C00B6D">
      <w:pPr>
        <w:spacing w:before="100" w:beforeAutospacing="1" w:after="100" w:afterAutospacing="1" w:line="240" w:lineRule="auto"/>
        <w:contextualSpacing w:val="0"/>
        <w:rPr>
          <w:rFonts w:ascii="Times New Roman" w:eastAsia="Times New Roman" w:hAnsi="Times New Roman" w:cs="Times New Roman"/>
          <w:szCs w:val="24"/>
        </w:rPr>
      </w:pPr>
      <w:r w:rsidRPr="00C00B6D">
        <w:rPr>
          <w:rFonts w:ascii="Times New Roman" w:eastAsia="Times New Roman" w:hAnsi="Times New Roman" w:cs="Times New Roman"/>
          <w:szCs w:val="24"/>
        </w:rPr>
        <w:t>The Landry System will frustrate an investor who wants excitement, who reads a down quarter as a verdict, or who wants conviction expressed as certainty. It is built for the opposite temperament: an investor with a genuinely long horizon, a comfort with cash sitting idle when the alternative means lowering a standard, and a preference for a documented reason over a persuasive feeling. For an advisor, it offers a process that can be explained, defended, and audited line by line, rather than a track record asked to speak for itself.</w:t>
      </w:r>
    </w:p>
    <w:p w14:paraId="1523F4BA" w14:textId="515740F9" w:rsidR="00C00B6D" w:rsidRDefault="00C00B6D" w:rsidP="00C00B6D">
      <w:pPr>
        <w:spacing w:after="0" w:line="240" w:lineRule="auto"/>
        <w:contextualSpacing w:val="0"/>
        <w:rPr>
          <w:rFonts w:ascii="Times New Roman" w:eastAsia="Times New Roman" w:hAnsi="Times New Roman" w:cs="Times New Roman"/>
          <w:szCs w:val="24"/>
        </w:rPr>
      </w:pPr>
      <w:r w:rsidRPr="00C00B6D">
        <w:rPr>
          <w:rFonts w:ascii="Times New Roman" w:eastAsia="Times New Roman" w:hAnsi="Times New Roman" w:cs="Times New Roman"/>
          <w:szCs w:val="24"/>
        </w:rPr>
        <w:t>Its own founding language calls the objective </w:t>
      </w:r>
      <w:r w:rsidRPr="00C00B6D">
        <w:rPr>
          <w:rFonts w:ascii="Times New Roman" w:eastAsia="Times New Roman" w:hAnsi="Times New Roman" w:cs="Times New Roman"/>
          <w:i/>
          <w:iCs/>
          <w:szCs w:val="24"/>
        </w:rPr>
        <w:t>stewardship</w:t>
      </w:r>
      <w:r w:rsidRPr="00C00B6D">
        <w:rPr>
          <w:rFonts w:ascii="Times New Roman" w:eastAsia="Times New Roman" w:hAnsi="Times New Roman" w:cs="Times New Roman"/>
          <w:szCs w:val="24"/>
        </w:rPr>
        <w:t xml:space="preserve">: preserving, protecting, and compounding capital that represents years of work and deferred consumption, across more than one generation of decisions. Most of what has been described above is simply what that word requires once it is taken seriously </w:t>
      </w:r>
      <w:proofErr w:type="gramStart"/>
      <w:r w:rsidR="008905C1">
        <w:rPr>
          <w:rFonts w:ascii="Times New Roman" w:eastAsia="Times New Roman" w:hAnsi="Times New Roman" w:cs="Times New Roman"/>
          <w:szCs w:val="24"/>
        </w:rPr>
        <w:t xml:space="preserve">– </w:t>
      </w:r>
      <w:r w:rsidRPr="00C00B6D">
        <w:rPr>
          <w:rFonts w:ascii="Times New Roman" w:eastAsia="Times New Roman" w:hAnsi="Times New Roman" w:cs="Times New Roman"/>
          <w:szCs w:val="24"/>
        </w:rPr>
        <w:t xml:space="preserve"> not</w:t>
      </w:r>
      <w:proofErr w:type="gramEnd"/>
      <w:r w:rsidRPr="00C00B6D">
        <w:rPr>
          <w:rFonts w:ascii="Times New Roman" w:eastAsia="Times New Roman" w:hAnsi="Times New Roman" w:cs="Times New Roman"/>
          <w:szCs w:val="24"/>
        </w:rPr>
        <w:t xml:space="preserve"> prediction, but discipline</w:t>
      </w:r>
      <w:r w:rsidR="008905C1">
        <w:rPr>
          <w:rFonts w:ascii="Times New Roman" w:eastAsia="Times New Roman" w:hAnsi="Times New Roman" w:cs="Times New Roman"/>
          <w:szCs w:val="24"/>
        </w:rPr>
        <w:t xml:space="preserve"> –</w:t>
      </w:r>
      <w:r w:rsidRPr="00C00B6D">
        <w:rPr>
          <w:rFonts w:ascii="Times New Roman" w:eastAsia="Times New Roman" w:hAnsi="Times New Roman" w:cs="Times New Roman"/>
          <w:szCs w:val="24"/>
        </w:rPr>
        <w:t xml:space="preserve"> written down before it is needed and </w:t>
      </w:r>
      <w:proofErr w:type="gramStart"/>
      <w:r w:rsidRPr="00C00B6D">
        <w:rPr>
          <w:rFonts w:ascii="Times New Roman" w:eastAsia="Times New Roman" w:hAnsi="Times New Roman" w:cs="Times New Roman"/>
          <w:szCs w:val="24"/>
        </w:rPr>
        <w:t>followed after</w:t>
      </w:r>
      <w:proofErr w:type="gramEnd"/>
      <w:r w:rsidRPr="00C00B6D">
        <w:rPr>
          <w:rFonts w:ascii="Times New Roman" w:eastAsia="Times New Roman" w:hAnsi="Times New Roman" w:cs="Times New Roman"/>
          <w:szCs w:val="24"/>
        </w:rPr>
        <w:t xml:space="preserve"> it stops being comfortable.</w:t>
      </w:r>
      <w:r w:rsidR="008905C1">
        <w:rPr>
          <w:rFonts w:ascii="Times New Roman" w:eastAsia="Times New Roman" w:hAnsi="Times New Roman" w:cs="Times New Roman"/>
          <w:szCs w:val="24"/>
        </w:rPr>
        <w:t xml:space="preserve"> </w:t>
      </w:r>
      <w:r w:rsidRPr="00C00B6D">
        <w:rPr>
          <w:rFonts w:ascii="Times New Roman" w:eastAsia="Times New Roman" w:hAnsi="Times New Roman" w:cs="Times New Roman"/>
          <w:szCs w:val="24"/>
        </w:rPr>
        <w:t>This is a description of a decision process, not investment advice, an offer, or a guarantee of any outcome. All investing carries risk, including loss of principal; past discipline does not assure future results.</w:t>
      </w:r>
    </w:p>
    <w:p w14:paraId="19D177F3" w14:textId="77777777" w:rsidR="00BC204B" w:rsidRDefault="00BC204B" w:rsidP="00C00B6D">
      <w:pPr>
        <w:spacing w:after="0" w:line="240" w:lineRule="auto"/>
        <w:contextualSpacing w:val="0"/>
        <w:rPr>
          <w:rFonts w:ascii="Times New Roman" w:eastAsia="Times New Roman" w:hAnsi="Times New Roman" w:cs="Times New Roman"/>
          <w:szCs w:val="24"/>
        </w:rPr>
      </w:pPr>
    </w:p>
    <w:p w14:paraId="7CB73238" w14:textId="77777777" w:rsidR="00BC204B" w:rsidRPr="00C00B6D" w:rsidRDefault="00BC204B" w:rsidP="00C00B6D">
      <w:pPr>
        <w:spacing w:after="0" w:line="240" w:lineRule="auto"/>
        <w:contextualSpacing w:val="0"/>
        <w:rPr>
          <w:rFonts w:ascii="Times New Roman" w:eastAsia="Times New Roman" w:hAnsi="Times New Roman" w:cs="Times New Roman"/>
          <w:szCs w:val="24"/>
        </w:rPr>
      </w:pPr>
    </w:p>
    <w:p w14:paraId="00C99838" w14:textId="534B08CA" w:rsidR="00DF1E5A" w:rsidRPr="00F440D0" w:rsidRDefault="00DF1E5A" w:rsidP="00F440D0">
      <w:pPr>
        <w:spacing w:before="240" w:after="0" w:line="240" w:lineRule="auto"/>
        <w:contextualSpacing w:val="0"/>
        <w:rPr>
          <w:rFonts w:ascii="Times New Roman" w:eastAsia="Times New Roman" w:hAnsi="Times New Roman" w:cs="Times New Roman"/>
          <w:szCs w:val="24"/>
        </w:rPr>
      </w:pPr>
    </w:p>
    <w:sectPr w:rsidR="00DF1E5A" w:rsidRPr="00F440D0" w:rsidSect="00383E6F">
      <w:headerReference w:type="even" r:id="rId7"/>
      <w:headerReference w:type="default" r:id="rId8"/>
      <w:footerReference w:type="even" r:id="rId9"/>
      <w:footerReference w:type="default" r:id="rId10"/>
      <w:headerReference w:type="first" r:id="rId11"/>
      <w:footerReference w:type="first" r:id="rId12"/>
      <w:pgSz w:w="12240" w:h="15840"/>
      <w:pgMar w:top="720" w:right="720" w:bottom="806" w:left="1008" w:header="331" w:footer="30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22946FF" w14:textId="77777777" w:rsidR="00C90731" w:rsidRDefault="00C90731" w:rsidP="00E336C8">
      <w:pPr>
        <w:spacing w:after="0" w:line="240" w:lineRule="auto"/>
      </w:pPr>
      <w:r>
        <w:separator/>
      </w:r>
    </w:p>
  </w:endnote>
  <w:endnote w:type="continuationSeparator" w:id="0">
    <w:p w14:paraId="45D7235B" w14:textId="77777777" w:rsidR="00C90731" w:rsidRDefault="00C90731" w:rsidP="00E336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Roboto Mono">
    <w:panose1 w:val="00000009000000000000"/>
    <w:charset w:val="00"/>
    <w:family w:val="modern"/>
    <w:pitch w:val="fixed"/>
    <w:sig w:usb0="E00002FF" w:usb1="1000205B" w:usb2="00000020" w:usb3="00000000" w:csb0="0000019F" w:csb1="00000000"/>
  </w:font>
  <w:font w:name="Arial Narrow">
    <w:panose1 w:val="020B0606020202030204"/>
    <w:charset w:val="00"/>
    <w:family w:val="swiss"/>
    <w:pitch w:val="variable"/>
    <w:sig w:usb0="00000287" w:usb1="00000800" w:usb2="00000000" w:usb3="00000000" w:csb0="0000009F" w:csb1="00000000"/>
  </w:font>
  <w:font w:name="Times New Roman (Headings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Sitka Text">
    <w:panose1 w:val="00000000000000000000"/>
    <w:charset w:val="00"/>
    <w:family w:val="auto"/>
    <w:pitch w:val="variable"/>
    <w:sig w:usb0="A00002EF" w:usb1="40002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1FE053" w14:textId="77777777" w:rsidR="00697105" w:rsidRDefault="006971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A4A61A" w14:textId="1F0E29DE" w:rsidR="00E336C8" w:rsidRDefault="00E336C8">
    <w:pPr>
      <w:pStyle w:val="Footer"/>
    </w:pPr>
    <w:fldSimple w:instr=" FILENAME  \* MERGEFORMAT ">
      <w:r w:rsidR="00697105">
        <w:rPr>
          <w:noProof/>
        </w:rPr>
        <w:t>Landry_Family_Equity_Operating_System-Advisor_Briefing_v4.docx</w:t>
      </w:r>
    </w:fldSimple>
    <w:r>
      <w:tab/>
    </w:r>
    <w:r>
      <w:tab/>
    </w:r>
    <w:r>
      <w:fldChar w:fldCharType="begin"/>
    </w:r>
    <w:r>
      <w:instrText xml:space="preserve"> PAGE  \* MERGEFORMAT </w:instrText>
    </w:r>
    <w:r>
      <w:fldChar w:fldCharType="separate"/>
    </w:r>
    <w:r>
      <w:rPr>
        <w:noProof/>
      </w:rPr>
      <w:t>1</w:t>
    </w:r>
    <w:r>
      <w:fldChar w:fldCharType="end"/>
    </w:r>
    <w:r>
      <w:t xml:space="preserve"> / </w:t>
    </w:r>
    <w:fldSimple w:instr=" NUMPAGES  \* MERGEFORMAT ">
      <w:r>
        <w:rPr>
          <w:noProof/>
        </w:rPr>
        <w:t>1</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D31169D" w14:textId="77777777" w:rsidR="00697105" w:rsidRDefault="006971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A9977B8" w14:textId="77777777" w:rsidR="00C90731" w:rsidRDefault="00C90731" w:rsidP="00E336C8">
      <w:pPr>
        <w:spacing w:after="0" w:line="240" w:lineRule="auto"/>
      </w:pPr>
      <w:r>
        <w:separator/>
      </w:r>
    </w:p>
  </w:footnote>
  <w:footnote w:type="continuationSeparator" w:id="0">
    <w:p w14:paraId="6E6356D5" w14:textId="77777777" w:rsidR="00C90731" w:rsidRDefault="00C90731" w:rsidP="00E336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BEF0FD" w14:textId="77777777" w:rsidR="00697105" w:rsidRDefault="006971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1A5BC7" w14:textId="77777777" w:rsidR="00697105" w:rsidRDefault="0069710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9449FE" w14:textId="77777777" w:rsidR="00697105" w:rsidRDefault="006971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8"/>
    <w:multiLevelType w:val="singleLevel"/>
    <w:tmpl w:val="55A63A94"/>
    <w:lvl w:ilvl="0">
      <w:start w:val="1"/>
      <w:numFmt w:val="decimal"/>
      <w:lvlText w:val="%1."/>
      <w:lvlJc w:val="left"/>
      <w:pPr>
        <w:tabs>
          <w:tab w:val="num" w:pos="360"/>
        </w:tabs>
        <w:ind w:left="360" w:hanging="360"/>
      </w:pPr>
    </w:lvl>
  </w:abstractNum>
  <w:abstractNum w:abstractNumId="1"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2CC02CB"/>
    <w:multiLevelType w:val="hybridMultilevel"/>
    <w:tmpl w:val="C5A6F55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450EA6"/>
    <w:multiLevelType w:val="hybridMultilevel"/>
    <w:tmpl w:val="CC8EEF36"/>
    <w:lvl w:ilvl="0" w:tplc="D4DA63B4">
      <w:start w:val="1"/>
      <w:numFmt w:val="decimal"/>
      <w:pStyle w:val="ListNumber"/>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32F1CCB"/>
    <w:multiLevelType w:val="hybridMultilevel"/>
    <w:tmpl w:val="F1E226F4"/>
    <w:lvl w:ilvl="0" w:tplc="A07EA5DA">
      <w:start w:val="1"/>
      <w:numFmt w:val="bullet"/>
      <w:pStyle w:val="List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7F647BB5"/>
    <w:multiLevelType w:val="multilevel"/>
    <w:tmpl w:val="67665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2483379">
    <w:abstractNumId w:val="1"/>
  </w:num>
  <w:num w:numId="2" w16cid:durableId="1855805580">
    <w:abstractNumId w:val="1"/>
  </w:num>
  <w:num w:numId="3" w16cid:durableId="1912226634">
    <w:abstractNumId w:val="4"/>
  </w:num>
  <w:num w:numId="4" w16cid:durableId="2101677059">
    <w:abstractNumId w:val="2"/>
  </w:num>
  <w:num w:numId="5" w16cid:durableId="728259820">
    <w:abstractNumId w:val="0"/>
  </w:num>
  <w:num w:numId="6" w16cid:durableId="637997361">
    <w:abstractNumId w:val="3"/>
  </w:num>
  <w:num w:numId="7" w16cid:durableId="356201675">
    <w:abstractNumId w:val="5"/>
  </w:num>
  <w:num w:numId="8" w16cid:durableId="380522876">
    <w:abstractNumId w:val="3"/>
    <w:lvlOverride w:ilvl="0">
      <w:startOverride w:val="1"/>
    </w:lvlOverride>
  </w:num>
  <w:num w:numId="9" w16cid:durableId="1370179032">
    <w:abstractNumId w:val="3"/>
  </w:num>
  <w:num w:numId="10" w16cid:durableId="1155225040">
    <w:abstractNumId w:val="3"/>
  </w:num>
  <w:num w:numId="11" w16cid:durableId="747844944">
    <w:abstractNumId w:val="3"/>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B6D"/>
    <w:rsid w:val="00010701"/>
    <w:rsid w:val="00020A80"/>
    <w:rsid w:val="00034F58"/>
    <w:rsid w:val="00071A9D"/>
    <w:rsid w:val="000A1B3C"/>
    <w:rsid w:val="000B447F"/>
    <w:rsid w:val="00142A4A"/>
    <w:rsid w:val="00150980"/>
    <w:rsid w:val="001A3F18"/>
    <w:rsid w:val="001A776D"/>
    <w:rsid w:val="0023251F"/>
    <w:rsid w:val="002F3890"/>
    <w:rsid w:val="00333BA4"/>
    <w:rsid w:val="00383E6F"/>
    <w:rsid w:val="003939FA"/>
    <w:rsid w:val="00411A37"/>
    <w:rsid w:val="00453A03"/>
    <w:rsid w:val="00457198"/>
    <w:rsid w:val="005032C6"/>
    <w:rsid w:val="00504E2C"/>
    <w:rsid w:val="005377EA"/>
    <w:rsid w:val="005B1356"/>
    <w:rsid w:val="005B722A"/>
    <w:rsid w:val="005E7B1D"/>
    <w:rsid w:val="00637279"/>
    <w:rsid w:val="00662C51"/>
    <w:rsid w:val="00664EE6"/>
    <w:rsid w:val="00697105"/>
    <w:rsid w:val="006C5766"/>
    <w:rsid w:val="006D0D3D"/>
    <w:rsid w:val="00767460"/>
    <w:rsid w:val="007E2861"/>
    <w:rsid w:val="00824D1B"/>
    <w:rsid w:val="008303A4"/>
    <w:rsid w:val="00873711"/>
    <w:rsid w:val="00880C18"/>
    <w:rsid w:val="008905C1"/>
    <w:rsid w:val="008B06CD"/>
    <w:rsid w:val="0093606B"/>
    <w:rsid w:val="009447F0"/>
    <w:rsid w:val="00947F3A"/>
    <w:rsid w:val="009534D1"/>
    <w:rsid w:val="009A4485"/>
    <w:rsid w:val="00A0043D"/>
    <w:rsid w:val="00AB691F"/>
    <w:rsid w:val="00AB69F2"/>
    <w:rsid w:val="00B77F7B"/>
    <w:rsid w:val="00BA545E"/>
    <w:rsid w:val="00BC204B"/>
    <w:rsid w:val="00C00B6D"/>
    <w:rsid w:val="00C408F9"/>
    <w:rsid w:val="00C90731"/>
    <w:rsid w:val="00DF1E5A"/>
    <w:rsid w:val="00E336C8"/>
    <w:rsid w:val="00E54D04"/>
    <w:rsid w:val="00E66A1D"/>
    <w:rsid w:val="00E95429"/>
    <w:rsid w:val="00F440D0"/>
    <w:rsid w:val="00F5702B"/>
    <w:rsid w:val="00F70237"/>
    <w:rsid w:val="00FB0B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B7605A9"/>
  <w15:chartTrackingRefBased/>
  <w15:docId w15:val="{55325D76-ABA4-C04E-B07C-61D94D217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3E6F"/>
    <w:pPr>
      <w:spacing w:before="0" w:after="80" w:line="259" w:lineRule="auto"/>
      <w:contextualSpacing/>
    </w:pPr>
    <w:rPr>
      <w:rFonts w:ascii="Calibri" w:eastAsiaTheme="minorEastAsia" w:hAnsi="Calibri"/>
      <w:kern w:val="0"/>
      <w:szCs w:val="22"/>
      <w14:ligatures w14:val="none"/>
    </w:rPr>
  </w:style>
  <w:style w:type="paragraph" w:styleId="Heading1">
    <w:name w:val="heading 1"/>
    <w:basedOn w:val="Normal"/>
    <w:next w:val="Normal"/>
    <w:link w:val="Heading1Char"/>
    <w:uiPriority w:val="9"/>
    <w:qFormat/>
    <w:rsid w:val="00DF1E5A"/>
    <w:pPr>
      <w:spacing w:before="100" w:beforeAutospacing="1" w:line="240" w:lineRule="auto"/>
      <w:contextualSpacing w:val="0"/>
      <w:outlineLvl w:val="0"/>
    </w:pPr>
    <w:rPr>
      <w:rFonts w:ascii="Roboto Mono" w:eastAsia="Times New Roman" w:hAnsi="Roboto Mono" w:cs="Times New Roman"/>
      <w:caps/>
      <w:color w:val="8A8577"/>
      <w:spacing w:val="34"/>
      <w:sz w:val="32"/>
      <w:szCs w:val="32"/>
    </w:rPr>
  </w:style>
  <w:style w:type="paragraph" w:styleId="Heading2">
    <w:name w:val="heading 2"/>
    <w:basedOn w:val="Normal"/>
    <w:next w:val="Normal"/>
    <w:link w:val="Heading2Char"/>
    <w:uiPriority w:val="9"/>
    <w:unhideWhenUsed/>
    <w:qFormat/>
    <w:rsid w:val="009447F0"/>
    <w:pPr>
      <w:keepNext/>
      <w:keepLines/>
      <w:spacing w:before="60" w:after="0"/>
      <w:outlineLvl w:val="1"/>
    </w:pPr>
    <w:rPr>
      <w:rFonts w:eastAsiaTheme="majorEastAsia" w:cstheme="majorBidi"/>
      <w:b/>
      <w:bCs/>
      <w:color w:val="156082" w:themeColor="accent1"/>
      <w:kern w:val="2"/>
      <w:sz w:val="26"/>
      <w:szCs w:val="26"/>
      <w14:ligatures w14:val="standardContextual"/>
    </w:rPr>
  </w:style>
  <w:style w:type="paragraph" w:styleId="Heading3">
    <w:name w:val="heading 3"/>
    <w:basedOn w:val="Normal"/>
    <w:next w:val="Normal"/>
    <w:link w:val="Heading3Char"/>
    <w:uiPriority w:val="9"/>
    <w:semiHidden/>
    <w:unhideWhenUsed/>
    <w:qFormat/>
    <w:rsid w:val="005032C6"/>
    <w:pPr>
      <w:keepNext/>
      <w:keepLines/>
      <w:spacing w:before="80" w:after="0"/>
      <w:outlineLvl w:val="2"/>
    </w:pPr>
    <w:rPr>
      <w:rFonts w:asciiTheme="minorHAnsi" w:eastAsiaTheme="majorEastAsia" w:hAnsiTheme="minorHAnsi" w:cstheme="majorBidi"/>
      <w:b/>
      <w:color w:val="0F4761" w:themeColor="accent1" w:themeShade="BF"/>
      <w:szCs w:val="28"/>
    </w:rPr>
  </w:style>
  <w:style w:type="paragraph" w:styleId="Heading4">
    <w:name w:val="heading 4"/>
    <w:basedOn w:val="Normal"/>
    <w:next w:val="Normal"/>
    <w:link w:val="Heading4Char"/>
    <w:uiPriority w:val="9"/>
    <w:semiHidden/>
    <w:unhideWhenUsed/>
    <w:qFormat/>
    <w:rsid w:val="00E336C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36C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36C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36C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36C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36C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447F0"/>
    <w:pPr>
      <w:keepLines/>
      <w:spacing w:after="120"/>
      <w:jc w:val="center"/>
    </w:pPr>
    <w:rPr>
      <w:rFonts w:ascii="Arial Narrow" w:eastAsiaTheme="majorEastAsia" w:hAnsi="Arial Narrow" w:cs="Times New Roman (Headings CS)"/>
      <w:b/>
      <w:kern w:val="28"/>
      <w:sz w:val="40"/>
      <w:szCs w:val="56"/>
    </w:rPr>
  </w:style>
  <w:style w:type="character" w:customStyle="1" w:styleId="TitleChar">
    <w:name w:val="Title Char"/>
    <w:basedOn w:val="DefaultParagraphFont"/>
    <w:link w:val="Title"/>
    <w:uiPriority w:val="10"/>
    <w:rsid w:val="009447F0"/>
    <w:rPr>
      <w:rFonts w:ascii="Arial Narrow" w:eastAsiaTheme="majorEastAsia" w:hAnsi="Arial Narrow" w:cs="Times New Roman (Headings CS)"/>
      <w:b/>
      <w:kern w:val="28"/>
      <w:sz w:val="40"/>
      <w:szCs w:val="56"/>
      <w14:ligatures w14:val="none"/>
    </w:rPr>
  </w:style>
  <w:style w:type="character" w:customStyle="1" w:styleId="Heading2Char">
    <w:name w:val="Heading 2 Char"/>
    <w:basedOn w:val="DefaultParagraphFont"/>
    <w:link w:val="Heading2"/>
    <w:uiPriority w:val="9"/>
    <w:rsid w:val="009447F0"/>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semiHidden/>
    <w:rsid w:val="005032C6"/>
    <w:rPr>
      <w:rFonts w:eastAsiaTheme="majorEastAsia" w:cstheme="majorBidi"/>
      <w:b/>
      <w:color w:val="0F4761" w:themeColor="accent1" w:themeShade="BF"/>
      <w:kern w:val="0"/>
      <w:szCs w:val="28"/>
      <w14:ligatures w14:val="none"/>
    </w:rPr>
  </w:style>
  <w:style w:type="paragraph" w:styleId="ListBullet">
    <w:name w:val="List Bullet"/>
    <w:basedOn w:val="Normal"/>
    <w:uiPriority w:val="99"/>
    <w:unhideWhenUsed/>
    <w:qFormat/>
    <w:rsid w:val="00DF1E5A"/>
    <w:pPr>
      <w:numPr>
        <w:numId w:val="3"/>
      </w:numPr>
    </w:pPr>
  </w:style>
  <w:style w:type="paragraph" w:styleId="Subtitle">
    <w:name w:val="Subtitle"/>
    <w:basedOn w:val="Normal"/>
    <w:next w:val="Normal"/>
    <w:link w:val="SubtitleChar"/>
    <w:uiPriority w:val="11"/>
    <w:qFormat/>
    <w:rsid w:val="009447F0"/>
    <w:pPr>
      <w:numPr>
        <w:ilvl w:val="1"/>
      </w:numPr>
      <w:spacing w:after="160"/>
      <w:jc w:val="center"/>
    </w:pPr>
    <w:rPr>
      <w:rFonts w:eastAsiaTheme="majorEastAsia" w:cs="Times New Roman (Headings CS)"/>
      <w:color w:val="595959" w:themeColor="text1" w:themeTint="A6"/>
      <w:spacing w:val="5"/>
      <w:sz w:val="28"/>
      <w:szCs w:val="28"/>
    </w:rPr>
  </w:style>
  <w:style w:type="character" w:customStyle="1" w:styleId="SubtitleChar">
    <w:name w:val="Subtitle Char"/>
    <w:basedOn w:val="DefaultParagraphFont"/>
    <w:link w:val="Subtitle"/>
    <w:uiPriority w:val="11"/>
    <w:rsid w:val="009447F0"/>
    <w:rPr>
      <w:rFonts w:ascii="Calibri" w:eastAsiaTheme="majorEastAsia" w:hAnsi="Calibri" w:cs="Times New Roman (Headings CS)"/>
      <w:color w:val="595959" w:themeColor="text1" w:themeTint="A6"/>
      <w:spacing w:val="5"/>
      <w:kern w:val="0"/>
      <w:sz w:val="28"/>
      <w:szCs w:val="28"/>
      <w14:ligatures w14:val="none"/>
    </w:rPr>
  </w:style>
  <w:style w:type="paragraph" w:styleId="Footer">
    <w:name w:val="footer"/>
    <w:basedOn w:val="Normal"/>
    <w:link w:val="FooterChar"/>
    <w:uiPriority w:val="99"/>
    <w:unhideWhenUsed/>
    <w:qFormat/>
    <w:rsid w:val="009447F0"/>
    <w:pPr>
      <w:tabs>
        <w:tab w:val="center" w:pos="4680"/>
        <w:tab w:val="right" w:pos="9360"/>
      </w:tabs>
      <w:spacing w:after="0" w:line="240" w:lineRule="auto"/>
      <w:contextualSpacing w:val="0"/>
    </w:pPr>
    <w:rPr>
      <w:sz w:val="18"/>
    </w:rPr>
  </w:style>
  <w:style w:type="character" w:customStyle="1" w:styleId="FooterChar">
    <w:name w:val="Footer Char"/>
    <w:basedOn w:val="DefaultParagraphFont"/>
    <w:link w:val="Footer"/>
    <w:uiPriority w:val="99"/>
    <w:rsid w:val="009447F0"/>
    <w:rPr>
      <w:rFonts w:ascii="Calibri" w:eastAsiaTheme="minorEastAsia" w:hAnsi="Calibri"/>
      <w:kern w:val="0"/>
      <w:sz w:val="18"/>
      <w:szCs w:val="22"/>
      <w14:ligatures w14:val="none"/>
    </w:rPr>
  </w:style>
  <w:style w:type="character" w:customStyle="1" w:styleId="Heading1Char">
    <w:name w:val="Heading 1 Char"/>
    <w:basedOn w:val="DefaultParagraphFont"/>
    <w:link w:val="Heading1"/>
    <w:uiPriority w:val="9"/>
    <w:rsid w:val="00DF1E5A"/>
    <w:rPr>
      <w:rFonts w:ascii="Roboto Mono" w:eastAsia="Times New Roman" w:hAnsi="Roboto Mono" w:cs="Times New Roman"/>
      <w:caps/>
      <w:color w:val="8A8577"/>
      <w:spacing w:val="34"/>
      <w:kern w:val="0"/>
      <w:sz w:val="32"/>
      <w:szCs w:val="32"/>
      <w14:ligatures w14:val="none"/>
    </w:rPr>
  </w:style>
  <w:style w:type="character" w:customStyle="1" w:styleId="Heading4Char">
    <w:name w:val="Heading 4 Char"/>
    <w:basedOn w:val="DefaultParagraphFont"/>
    <w:link w:val="Heading4"/>
    <w:uiPriority w:val="9"/>
    <w:semiHidden/>
    <w:rsid w:val="00E336C8"/>
    <w:rPr>
      <w:rFonts w:eastAsiaTheme="majorEastAsia" w:cstheme="majorBidi"/>
      <w:i/>
      <w:iCs/>
      <w:color w:val="0F4761" w:themeColor="accent1" w:themeShade="BF"/>
      <w:kern w:val="0"/>
      <w:sz w:val="22"/>
      <w:szCs w:val="22"/>
      <w14:ligatures w14:val="none"/>
    </w:rPr>
  </w:style>
  <w:style w:type="character" w:customStyle="1" w:styleId="Heading5Char">
    <w:name w:val="Heading 5 Char"/>
    <w:basedOn w:val="DefaultParagraphFont"/>
    <w:link w:val="Heading5"/>
    <w:uiPriority w:val="9"/>
    <w:semiHidden/>
    <w:rsid w:val="00E336C8"/>
    <w:rPr>
      <w:rFonts w:eastAsiaTheme="majorEastAsia"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E336C8"/>
    <w:rPr>
      <w:rFonts w:eastAsiaTheme="majorEastAsia" w:cstheme="majorBidi"/>
      <w:i/>
      <w:iCs/>
      <w:color w:val="595959" w:themeColor="text1" w:themeTint="A6"/>
      <w:kern w:val="0"/>
      <w:sz w:val="22"/>
      <w:szCs w:val="22"/>
      <w14:ligatures w14:val="none"/>
    </w:rPr>
  </w:style>
  <w:style w:type="character" w:customStyle="1" w:styleId="Heading7Char">
    <w:name w:val="Heading 7 Char"/>
    <w:basedOn w:val="DefaultParagraphFont"/>
    <w:link w:val="Heading7"/>
    <w:uiPriority w:val="9"/>
    <w:semiHidden/>
    <w:rsid w:val="00E336C8"/>
    <w:rPr>
      <w:rFonts w:eastAsiaTheme="majorEastAsia" w:cstheme="majorBidi"/>
      <w:color w:val="595959" w:themeColor="text1" w:themeTint="A6"/>
      <w:kern w:val="0"/>
      <w:sz w:val="22"/>
      <w:szCs w:val="22"/>
      <w14:ligatures w14:val="none"/>
    </w:rPr>
  </w:style>
  <w:style w:type="character" w:customStyle="1" w:styleId="Heading8Char">
    <w:name w:val="Heading 8 Char"/>
    <w:basedOn w:val="DefaultParagraphFont"/>
    <w:link w:val="Heading8"/>
    <w:uiPriority w:val="9"/>
    <w:semiHidden/>
    <w:rsid w:val="00E336C8"/>
    <w:rPr>
      <w:rFonts w:eastAsiaTheme="majorEastAsia" w:cstheme="majorBidi"/>
      <w:i/>
      <w:iCs/>
      <w:color w:val="272727" w:themeColor="text1" w:themeTint="D8"/>
      <w:kern w:val="0"/>
      <w:sz w:val="22"/>
      <w:szCs w:val="22"/>
      <w14:ligatures w14:val="none"/>
    </w:rPr>
  </w:style>
  <w:style w:type="character" w:customStyle="1" w:styleId="Heading9Char">
    <w:name w:val="Heading 9 Char"/>
    <w:basedOn w:val="DefaultParagraphFont"/>
    <w:link w:val="Heading9"/>
    <w:uiPriority w:val="9"/>
    <w:semiHidden/>
    <w:rsid w:val="00E336C8"/>
    <w:rPr>
      <w:rFonts w:eastAsiaTheme="majorEastAsia" w:cstheme="majorBidi"/>
      <w:color w:val="272727" w:themeColor="text1" w:themeTint="D8"/>
      <w:kern w:val="0"/>
      <w:sz w:val="22"/>
      <w:szCs w:val="22"/>
      <w14:ligatures w14:val="none"/>
    </w:rPr>
  </w:style>
  <w:style w:type="paragraph" w:styleId="Quote">
    <w:name w:val="Quote"/>
    <w:basedOn w:val="Normal"/>
    <w:next w:val="Normal"/>
    <w:link w:val="QuoteChar"/>
    <w:uiPriority w:val="29"/>
    <w:qFormat/>
    <w:rsid w:val="00E336C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336C8"/>
    <w:rPr>
      <w:rFonts w:ascii="Calibri" w:eastAsiaTheme="minorEastAsia" w:hAnsi="Calibri"/>
      <w:i/>
      <w:iCs/>
      <w:color w:val="404040" w:themeColor="text1" w:themeTint="BF"/>
      <w:kern w:val="0"/>
      <w:sz w:val="22"/>
      <w:szCs w:val="22"/>
      <w14:ligatures w14:val="none"/>
    </w:rPr>
  </w:style>
  <w:style w:type="paragraph" w:styleId="ListParagraph">
    <w:name w:val="List Paragraph"/>
    <w:basedOn w:val="Normal"/>
    <w:uiPriority w:val="34"/>
    <w:qFormat/>
    <w:rsid w:val="00E336C8"/>
    <w:pPr>
      <w:ind w:left="720"/>
    </w:pPr>
  </w:style>
  <w:style w:type="character" w:styleId="IntenseEmphasis">
    <w:name w:val="Intense Emphasis"/>
    <w:basedOn w:val="DefaultParagraphFont"/>
    <w:uiPriority w:val="21"/>
    <w:qFormat/>
    <w:rsid w:val="00E336C8"/>
    <w:rPr>
      <w:i/>
      <w:iCs/>
      <w:color w:val="0F4761" w:themeColor="accent1" w:themeShade="BF"/>
    </w:rPr>
  </w:style>
  <w:style w:type="paragraph" w:styleId="IntenseQuote">
    <w:name w:val="Intense Quote"/>
    <w:basedOn w:val="Normal"/>
    <w:next w:val="Normal"/>
    <w:link w:val="IntenseQuoteChar"/>
    <w:uiPriority w:val="30"/>
    <w:qFormat/>
    <w:rsid w:val="00E336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36C8"/>
    <w:rPr>
      <w:rFonts w:ascii="Calibri" w:eastAsiaTheme="minorEastAsia" w:hAnsi="Calibri"/>
      <w:i/>
      <w:iCs/>
      <w:color w:val="0F4761" w:themeColor="accent1" w:themeShade="BF"/>
      <w:kern w:val="0"/>
      <w:sz w:val="22"/>
      <w:szCs w:val="22"/>
      <w14:ligatures w14:val="none"/>
    </w:rPr>
  </w:style>
  <w:style w:type="character" w:styleId="IntenseReference">
    <w:name w:val="Intense Reference"/>
    <w:basedOn w:val="DefaultParagraphFont"/>
    <w:uiPriority w:val="32"/>
    <w:qFormat/>
    <w:rsid w:val="00E336C8"/>
    <w:rPr>
      <w:b/>
      <w:bCs/>
      <w:smallCaps/>
      <w:color w:val="0F4761" w:themeColor="accent1" w:themeShade="BF"/>
      <w:spacing w:val="5"/>
    </w:rPr>
  </w:style>
  <w:style w:type="paragraph" w:styleId="Header">
    <w:name w:val="header"/>
    <w:basedOn w:val="Normal"/>
    <w:link w:val="HeaderChar"/>
    <w:uiPriority w:val="99"/>
    <w:unhideWhenUsed/>
    <w:rsid w:val="00E336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36C8"/>
    <w:rPr>
      <w:rFonts w:ascii="Calibri" w:eastAsiaTheme="minorEastAsia" w:hAnsi="Calibri"/>
      <w:kern w:val="0"/>
      <w:sz w:val="22"/>
      <w:szCs w:val="22"/>
      <w14:ligatures w14:val="none"/>
    </w:rPr>
  </w:style>
  <w:style w:type="paragraph" w:customStyle="1" w:styleId="Subtitle1">
    <w:name w:val="Subtitle1"/>
    <w:basedOn w:val="Normal"/>
    <w:rsid w:val="00C00B6D"/>
    <w:pPr>
      <w:spacing w:before="100" w:beforeAutospacing="1" w:after="100" w:afterAutospacing="1" w:line="240" w:lineRule="auto"/>
      <w:contextualSpacing w:val="0"/>
    </w:pPr>
    <w:rPr>
      <w:rFonts w:ascii="Times New Roman" w:eastAsia="Times New Roman" w:hAnsi="Times New Roman" w:cs="Times New Roman"/>
      <w:szCs w:val="24"/>
    </w:rPr>
  </w:style>
  <w:style w:type="paragraph" w:customStyle="1" w:styleId="standfirst">
    <w:name w:val="standfirst"/>
    <w:basedOn w:val="Normal"/>
    <w:rsid w:val="00C00B6D"/>
    <w:pPr>
      <w:spacing w:before="100" w:beforeAutospacing="1" w:after="100" w:afterAutospacing="1" w:line="240" w:lineRule="auto"/>
      <w:contextualSpacing w:val="0"/>
    </w:pPr>
    <w:rPr>
      <w:rFonts w:ascii="Times New Roman" w:eastAsia="Times New Roman" w:hAnsi="Times New Roman" w:cs="Times New Roman"/>
      <w:szCs w:val="24"/>
    </w:rPr>
  </w:style>
  <w:style w:type="character" w:styleId="Emphasis">
    <w:name w:val="Emphasis"/>
    <w:basedOn w:val="DefaultParagraphFont"/>
    <w:uiPriority w:val="20"/>
    <w:qFormat/>
    <w:rsid w:val="00C00B6D"/>
    <w:rPr>
      <w:i/>
      <w:iCs/>
    </w:rPr>
  </w:style>
  <w:style w:type="paragraph" w:styleId="NormalWeb">
    <w:name w:val="Normal (Web)"/>
    <w:basedOn w:val="Normal"/>
    <w:uiPriority w:val="99"/>
    <w:semiHidden/>
    <w:unhideWhenUsed/>
    <w:rsid w:val="00C00B6D"/>
    <w:pPr>
      <w:spacing w:before="100" w:beforeAutospacing="1" w:after="100" w:afterAutospacing="1" w:line="240" w:lineRule="auto"/>
      <w:contextualSpacing w:val="0"/>
    </w:pPr>
    <w:rPr>
      <w:rFonts w:ascii="Times New Roman" w:eastAsia="Times New Roman" w:hAnsi="Times New Roman" w:cs="Times New Roman"/>
      <w:szCs w:val="24"/>
    </w:rPr>
  </w:style>
  <w:style w:type="character" w:styleId="Strong">
    <w:name w:val="Strong"/>
    <w:basedOn w:val="DefaultParagraphFont"/>
    <w:uiPriority w:val="22"/>
    <w:qFormat/>
    <w:rsid w:val="00C00B6D"/>
    <w:rPr>
      <w:b/>
      <w:bCs/>
    </w:rPr>
  </w:style>
  <w:style w:type="paragraph" w:customStyle="1" w:styleId="disclosure">
    <w:name w:val="disclosure"/>
    <w:basedOn w:val="Normal"/>
    <w:rsid w:val="00C00B6D"/>
    <w:pPr>
      <w:spacing w:before="100" w:beforeAutospacing="1" w:after="100" w:afterAutospacing="1" w:line="240" w:lineRule="auto"/>
      <w:contextualSpacing w:val="0"/>
    </w:pPr>
    <w:rPr>
      <w:rFonts w:ascii="Times New Roman" w:eastAsia="Times New Roman" w:hAnsi="Times New Roman" w:cs="Times New Roman"/>
      <w:szCs w:val="24"/>
    </w:rPr>
  </w:style>
  <w:style w:type="character" w:styleId="Hyperlink">
    <w:name w:val="Hyperlink"/>
    <w:basedOn w:val="DefaultParagraphFont"/>
    <w:uiPriority w:val="99"/>
    <w:unhideWhenUsed/>
    <w:rsid w:val="00DF1E5A"/>
    <w:rPr>
      <w:color w:val="467886" w:themeColor="hyperlink"/>
      <w:u w:val="single"/>
    </w:rPr>
  </w:style>
  <w:style w:type="character" w:styleId="UnresolvedMention">
    <w:name w:val="Unresolved Mention"/>
    <w:basedOn w:val="DefaultParagraphFont"/>
    <w:uiPriority w:val="99"/>
    <w:semiHidden/>
    <w:unhideWhenUsed/>
    <w:rsid w:val="00DF1E5A"/>
    <w:rPr>
      <w:color w:val="605E5C"/>
      <w:shd w:val="clear" w:color="auto" w:fill="E1DFDD"/>
    </w:rPr>
  </w:style>
  <w:style w:type="character" w:styleId="HTMLCode">
    <w:name w:val="HTML Code"/>
    <w:basedOn w:val="DefaultParagraphFont"/>
    <w:uiPriority w:val="99"/>
    <w:semiHidden/>
    <w:unhideWhenUsed/>
    <w:rsid w:val="00DF1E5A"/>
    <w:rPr>
      <w:rFonts w:ascii="Courier New" w:eastAsia="Times New Roman" w:hAnsi="Courier New" w:cs="Courier New"/>
      <w:sz w:val="20"/>
      <w:szCs w:val="20"/>
    </w:rPr>
  </w:style>
  <w:style w:type="paragraph" w:styleId="ListNumber">
    <w:name w:val="List Number"/>
    <w:basedOn w:val="Normal"/>
    <w:uiPriority w:val="99"/>
    <w:unhideWhenUsed/>
    <w:rsid w:val="00DF1E5A"/>
    <w:pPr>
      <w:numPr>
        <w:numId w:val="1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3475</Words>
  <Characters>18400</Characters>
  <Application>Microsoft Office Word</Application>
  <DocSecurity>0</DocSecurity>
  <Lines>273</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Landry</dc:creator>
  <cp:keywords/>
  <dc:description/>
  <cp:lastModifiedBy>Alan Landry</cp:lastModifiedBy>
  <cp:revision>2</cp:revision>
  <dcterms:created xsi:type="dcterms:W3CDTF">2026-08-19T17:33:00Z</dcterms:created>
  <dcterms:modified xsi:type="dcterms:W3CDTF">2026-08-19T17:33:00Z</dcterms:modified>
</cp:coreProperties>
</file>