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87F4EE" w14:textId="77777777" w:rsidR="00C00B6D" w:rsidRPr="0023251F" w:rsidRDefault="00C00B6D" w:rsidP="0023251F">
      <w:pPr>
        <w:shd w:val="clear" w:color="auto" w:fill="EAE7DD"/>
        <w:spacing w:after="0" w:line="240" w:lineRule="auto"/>
        <w:ind w:right="-108"/>
        <w:contextualSpacing w:val="0"/>
        <w:rPr>
          <w:rFonts w:ascii="Roboto Mono" w:hAnsi="Roboto Mono"/>
          <w:caps/>
          <w:color w:val="8A3A2F"/>
          <w:spacing w:val="38"/>
          <w:sz w:val="23"/>
          <w:szCs w:val="23"/>
        </w:rPr>
      </w:pPr>
      <w:r>
        <w:rPr>
          <w:rFonts w:ascii="Roboto Mono" w:hAnsi="Roboto Mono"/>
          <w:caps/>
          <w:color w:val="8A3A2F"/>
          <w:spacing w:val="38"/>
          <w:sz w:val="23"/>
          <w:szCs w:val="23"/>
        </w:rPr>
        <w:t>Advisor Briefing · The Landry Family Equity Operating System</w:t>
      </w:r>
    </w:p>
    <w:p w14:paraId="0DCC260E" w14:textId="77777777" w:rsidR="00C00B6D" w:rsidRPr="00C00B6D" w:rsidRDefault="00C00B6D" w:rsidP="0023251F">
      <w:pPr>
        <w:shd w:val="clear" w:color="auto" w:fill="EAE7DD"/>
        <w:spacing w:after="0" w:line="240" w:lineRule="auto"/>
        <w:ind w:right="-108"/>
        <w:contextualSpacing w:val="0"/>
        <w:outlineLvl w:val="0"/>
        <w:rPr>
          <w:rFonts w:ascii="Sitka Text" w:eastAsia="Times New Roman" w:hAnsi="Sitka Text" w:cs="Times New Roman"/>
          <w:color w:val="1E1C18"/>
          <w:spacing w:val="-2"/>
          <w:kern w:val="36"/>
          <w:sz w:val="48"/>
          <w:szCs w:val="48"/>
        </w:rPr>
      </w:pPr>
      <w:r>
        <w:rPr>
          <w:rFonts w:ascii="Sitka Text" w:eastAsia="Times New Roman" w:hAnsi="Sitka Text" w:cs="Times New Roman"/>
          <w:color w:val="1E1C18"/>
          <w:spacing w:val="-2"/>
          <w:kern w:val="36"/>
          <w:sz w:val="48"/>
          <w:szCs w:val="48"/>
        </w:rPr>
        <w:t>The Landry System</w:t>
      </w:r>
    </w:p>
    <w:p w14:paraId="6BDCA786" w14:textId="77777777" w:rsidR="00C00B6D" w:rsidRPr="00DF1E5A" w:rsidRDefault="00C00B6D" w:rsidP="0023251F">
      <w:pPr>
        <w:shd w:val="clear" w:color="auto" w:fill="EAE7DD"/>
        <w:spacing w:after="0" w:line="240" w:lineRule="auto"/>
        <w:ind w:right="-108"/>
        <w:contextualSpacing w:val="0"/>
        <w:rPr>
          <w:rFonts w:ascii="Sitka Text" w:hAnsi="Sitka Text"/>
          <w:i/>
          <w:color w:val="5B574C"/>
          <w:sz w:val="27"/>
        </w:rPr>
      </w:pPr>
      <w:r>
        <w:rPr>
          <w:rFonts w:ascii="Sitka Text" w:hAnsi="Sitka Text"/>
          <w:i/>
          <w:color w:val="5B574C"/>
          <w:sz w:val="27"/>
        </w:rPr>
        <w:t>An introduction to how it works, and why — written for advisors evaluating the architecture and investors asking the one question that matters.</w:t>
      </w:r>
    </w:p>
    <w:p w14:paraId="0B13A19D" w14:textId="77777777" w:rsidR="00C00B6D" w:rsidRPr="00DF1E5A" w:rsidRDefault="00C00B6D" w:rsidP="0023251F">
      <w:pPr>
        <w:shd w:val="clear" w:color="auto" w:fill="EAE7DD"/>
        <w:spacing w:before="100" w:beforeAutospacing="1" w:after="100" w:afterAutospacing="1" w:line="240" w:lineRule="auto"/>
        <w:ind w:right="-108"/>
        <w:contextualSpacing w:val="0"/>
        <w:rPr>
          <w:rFonts w:ascii="Sitka Text" w:hAnsi="Sitka Text"/>
          <w:color w:val="5B574C"/>
          <w:sz w:val="27"/>
        </w:rPr>
      </w:pPr>
      <w:r>
        <w:rPr>
          <w:rFonts w:ascii="Sitka Text" w:hAnsi="Sitka Text"/>
          <w:color w:val="5B574C"/>
          <w:sz w:val="27"/>
        </w:rPr>
        <w:t>Every experienced advisor has watched a client — or, if being honest, has watched themselves — sell a wonderful business during a bad week and buy a mediocre one during a good headline. </w:t>
      </w:r>
      <w:r>
        <w:rPr>
          <w:rFonts w:ascii="Sitka Text" w:hAnsi="Sitka Text"/>
          <w:color w:val="1E1C18"/>
          <w:sz w:val="27"/>
        </w:rPr>
        <w:t xml:space="preserve">The Landry System exists to </w:t>
      </w:r>
      <w:r>
        <w:rPr>
          <w:rFonts w:ascii="Sitka Text" w:eastAsia="Times New Roman" w:hAnsi="Sitka Text" w:cs="Times New Roman"/>
          <w:color w:val="1E1C18"/>
          <w:sz w:val="27"/>
          <w:szCs w:val="27"/>
        </w:rPr>
        <w:t>guard against</w:t>
      </w:r>
      <w:r>
        <w:rPr>
          <w:rFonts w:ascii="Sitka Text" w:hAnsi="Sitka Text"/>
          <w:color w:val="1E1C18"/>
          <w:sz w:val="27"/>
        </w:rPr>
        <w:t xml:space="preserve"> that specific mistake</w:t>
      </w:r>
      <w:r>
        <w:rPr>
          <w:rFonts w:ascii="Sitka Text" w:hAnsi="Sitka Text"/>
          <w:color w:val="5B574C"/>
          <w:sz w:val="27"/>
        </w:rPr>
        <w:t>: a written, pre-committed description of the decisions a rational long-term owner of businesses would make, so those decisions get made even on the day they are hardest to make.</w:t>
      </w:r>
    </w:p>
    <w:p w14:paraId="0B2BC719" w14:textId="77777777" w:rsidR="00C00B6D" w:rsidRPr="00DF1E5A" w:rsidRDefault="00C00B6D" w:rsidP="00DF1E5A">
      <w:pPr>
        <w:pStyle w:val="Heading1"/>
      </w:pPr>
      <w:r>
        <w:t>What kind of system this is</w:t>
      </w:r>
    </w:p>
    <w:p w14:paraId="2981D35D" w14:textId="77777777" w:rsidR="00C00B6D" w:rsidRPr="00C00B6D" w:rsidRDefault="00C00B6D" w:rsidP="00DF1E5A">
      <w:pPr>
        <w:spacing w:after="100" w:afterAutospacing="1"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The Landry System governs long-term equity ownership over a three-to-ten-year horizon. It is bottom-up: the starting question is always “is this a good business at a fair price,” not “where is the market going.” It belongs to a lineage sometimes called quality-at-a-reasonable-price investing: the working premise is that a good business bought carelessly can still be a bad investment, and a mediocre one bought cheaply rarely becomes a good one. What distinguishes the Landry System within that tradition is not the philosophy, which is well established, but the insistence on making the philosophy mechanical: every judgment that can be converted into an explicit, auditable rule has been. Every judgment that cannot — and there are several, honestly labeled as such — is flagged for human analysis rather than quietly automated away.</w:t>
      </w:r>
    </w:p>
    <w:p w14:paraId="749662FC" w14:textId="77777777" w:rsidR="00C00B6D" w:rsidRPr="00C00B6D" w:rsidRDefault="00C00B6D" w:rsidP="00C00B6D">
      <w:pPr>
        <w:spacing w:after="0"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The stated objective is not to beat the market every year. It is to compound capital for a family across decades while keeping maximum drawdown — the decline from a portfolio’s highest-ever value — under roughly thirty percent. That is a planning target, not a promise; realized losses depend on conditions no process fully controls, but the target still shapes nearly every rule that follows. A system built only to maximize return would look different from this one. This one is built to survive being run across generations, which is a different and harder design problem.</w:t>
      </w:r>
    </w:p>
    <w:p w14:paraId="48605355" w14:textId="77777777" w:rsidR="00C00B6D" w:rsidRPr="00C00B6D" w:rsidRDefault="00C00B6D" w:rsidP="009534D1">
      <w:pPr>
        <w:pStyle w:val="Heading1"/>
        <w:ind w:right="-198"/>
      </w:pPr>
      <w:r>
        <w:t>The behavioral problem this is actually solving</w:t>
      </w:r>
    </w:p>
    <w:p w14:paraId="3269D266" w14:textId="77777777" w:rsidR="00AB691F" w:rsidRDefault="00C00B6D" w:rsidP="00AB691F">
      <w:pPr>
        <w:spacing w:before="100" w:beforeAutospacing="1" w:after="100" w:afterAutospacing="1"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 xml:space="preserve">It is worth being explicit about what the System is defending against, because the defense explains most of its structure. Decades of research on investor behavior point to a small number of recurring, expensive mistakes: </w:t>
      </w:r>
    </w:p>
    <w:p w14:paraId="20B969D3" w14:textId="77777777" w:rsidR="00AB691F" w:rsidRDefault="00C00B6D" w:rsidP="00AB691F">
      <w:pPr>
        <w:pStyle w:val="ListParagraph"/>
        <w:numPr>
          <w:ilvl w:val="0"/>
          <w:numId w:val="4"/>
        </w:numPr>
        <w:spacing w:before="100" w:beforeAutospacing="1" w:after="100" w:afterAutospacing="1"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 xml:space="preserve">selling sound businesses during ordinary volatility because a decline feels like new information; </w:t>
      </w:r>
    </w:p>
    <w:p w14:paraId="041D842B" w14:textId="77777777" w:rsidR="00AB691F" w:rsidRDefault="00C00B6D" w:rsidP="00AB691F">
      <w:pPr>
        <w:pStyle w:val="ListParagraph"/>
        <w:numPr>
          <w:ilvl w:val="0"/>
          <w:numId w:val="4"/>
        </w:numPr>
        <w:spacing w:before="100" w:beforeAutospacing="1" w:after="100" w:afterAutospacing="1"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 xml:space="preserve">holding deteriorating businesses because selling would mean admitting a mistake; </w:t>
      </w:r>
    </w:p>
    <w:p w14:paraId="7B642827" w14:textId="77777777" w:rsidR="00AB691F" w:rsidRDefault="00C00B6D" w:rsidP="00AB691F">
      <w:pPr>
        <w:pStyle w:val="ListParagraph"/>
        <w:numPr>
          <w:ilvl w:val="0"/>
          <w:numId w:val="4"/>
        </w:numPr>
        <w:spacing w:before="100" w:beforeAutospacing="1" w:after="100" w:afterAutospacing="1"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 xml:space="preserve">chasing whatever narrative currently dominates headlines; </w:t>
      </w:r>
    </w:p>
    <w:p w14:paraId="4C656BC2" w14:textId="77777777" w:rsidR="00AB691F" w:rsidRDefault="00C00B6D" w:rsidP="00AB691F">
      <w:pPr>
        <w:pStyle w:val="ListParagraph"/>
        <w:numPr>
          <w:ilvl w:val="0"/>
          <w:numId w:val="4"/>
        </w:numPr>
        <w:spacing w:before="100" w:beforeAutospacing="1" w:after="100" w:afterAutospacing="1"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 xml:space="preserve">mistaking a falling price for a falling probability of being right. </w:t>
      </w:r>
    </w:p>
    <w:p w14:paraId="69E3DA99" w14:textId="77777777"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None of these are failures of intelligence. They are what happens when a capable person makes a real-time decision under stress without a pre-agreed rule to fall back on.</w:t>
      </w:r>
    </w:p>
    <w:p w14:paraId="654619B7" w14:textId="77777777" w:rsidR="00C00B6D" w:rsidRPr="00C00B6D" w:rsidRDefault="00C00B6D" w:rsidP="00C00B6D">
      <w:pPr>
        <w:spacing w:after="0"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 xml:space="preserve">The System’s central design choice is to move as many of these decisions as possible out of the moment of stress and into a calmer moment — before the position is even purchased. A rule decided in advance, in writing, without a specific dollar amount on the line that day, is a fundamentally different decision than the same rule improvised under pressure. This is why the document governing the System reads less like </w:t>
      </w:r>
      <w:r>
        <w:rPr>
          <w:rFonts w:ascii="Times New Roman" w:eastAsia="Times New Roman" w:hAnsi="Times New Roman" w:cs="Times New Roman"/>
          <w:szCs w:val="24"/>
        </w:rPr>
        <w:lastRenderedPageBreak/>
        <w:t>investment commentary and more like an operating manual: it is deliberately written to be followed, not merely consulted.</w:t>
      </w:r>
    </w:p>
    <w:p w14:paraId="4D555E2B" w14:textId="77777777" w:rsidR="00C00B6D" w:rsidRPr="00C00B6D" w:rsidRDefault="00C00B6D" w:rsidP="00DF1E5A">
      <w:pPr>
        <w:pStyle w:val="Heading1"/>
      </w:pPr>
      <w:r>
        <w:t>How a business earns its score</w:t>
      </w:r>
    </w:p>
    <w:p w14:paraId="5F0A658C" w14:textId="77777777"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Every candidate is scored across twelve indicators, organized into three tiers by how directly they bear on long-term value creation.</w:t>
      </w:r>
    </w:p>
    <w:p w14:paraId="2CE6821A" w14:textId="77777777" w:rsidR="008303A4" w:rsidRDefault="00C00B6D" w:rsidP="00AB691F">
      <w:pPr>
        <w:spacing w:before="100" w:beforeAutospacing="1" w:after="100" w:afterAutospacing="1" w:line="240" w:lineRule="auto"/>
        <w:contextualSpacing w:val="0"/>
        <w:rPr>
          <w:rFonts w:ascii="Times New Roman" w:eastAsia="Times New Roman" w:hAnsi="Times New Roman" w:cs="Times New Roman"/>
          <w:szCs w:val="24"/>
        </w:rPr>
      </w:pPr>
      <w:r>
        <w:rPr>
          <w:rFonts w:ascii="Times New Roman" w:eastAsia="Times New Roman" w:hAnsi="Times New Roman" w:cs="Times New Roman"/>
          <w:b/>
          <w:bCs/>
          <w:szCs w:val="24"/>
        </w:rPr>
        <w:t>Tier 1 — seventy percent (70%) of the decision.</w:t>
      </w:r>
      <w:r>
        <w:rPr>
          <w:rFonts w:ascii="Times New Roman" w:eastAsia="Times New Roman" w:hAnsi="Times New Roman" w:cs="Times New Roman"/>
          <w:szCs w:val="24"/>
        </w:rPr>
        <w:t xml:space="preserve"> Five indicators measure the core economics of the business: </w:t>
      </w:r>
    </w:p>
    <w:p w14:paraId="2219FBE9" w14:textId="77777777" w:rsidR="008303A4" w:rsidRDefault="008303A4" w:rsidP="008303A4">
      <w:pPr>
        <w:pStyle w:val="ListNumber"/>
        <w:rPr>
          <w:rFonts w:eastAsia="Times New Roman"/>
        </w:rPr>
      </w:pPr>
      <w:r>
        <w:rPr>
          <w:rFonts w:eastAsia="Times New Roman"/>
        </w:rPr>
        <w:t>Level</w:t>
      </w:r>
      <w:r>
        <w:rPr>
          <w:sz w:val="22"/>
        </w:rPr>
        <w:t xml:space="preserve"> and trend of </w:t>
      </w:r>
      <w:r>
        <w:rPr>
          <w:b/>
          <w:sz w:val="22"/>
        </w:rPr>
        <w:t>free cash flow yield</w:t>
      </w:r>
      <w:r>
        <w:rPr>
          <w:sz w:val="22"/>
        </w:rPr>
        <w:t xml:space="preserve">, </w:t>
      </w:r>
    </w:p>
    <w:p w14:paraId="59E1D2AA" w14:textId="77777777" w:rsidR="008303A4" w:rsidRDefault="008303A4" w:rsidP="008303A4">
      <w:pPr>
        <w:pStyle w:val="ListNumber"/>
        <w:rPr>
          <w:rFonts w:eastAsia="Times New Roman"/>
        </w:rPr>
      </w:pPr>
      <w:r>
        <w:rPr>
          <w:rFonts w:eastAsia="Times New Roman"/>
        </w:rPr>
        <w:t>Consistency</w:t>
      </w:r>
      <w:r>
        <w:rPr>
          <w:sz w:val="22"/>
        </w:rPr>
        <w:t xml:space="preserve"> of </w:t>
      </w:r>
      <w:r>
        <w:rPr>
          <w:b/>
          <w:sz w:val="22"/>
        </w:rPr>
        <w:t>revenue growth</w:t>
      </w:r>
      <w:r>
        <w:rPr>
          <w:sz w:val="22"/>
        </w:rPr>
        <w:t xml:space="preserve">, </w:t>
      </w:r>
    </w:p>
    <w:p w14:paraId="475BA65D" w14:textId="77777777" w:rsidR="008303A4" w:rsidRDefault="008303A4" w:rsidP="008303A4">
      <w:pPr>
        <w:pStyle w:val="ListNumber"/>
        <w:rPr>
          <w:rFonts w:eastAsia="Times New Roman"/>
        </w:rPr>
      </w:pPr>
      <w:r>
        <w:rPr>
          <w:rFonts w:eastAsia="Times New Roman"/>
        </w:rPr>
        <w:t>Durability</w:t>
      </w:r>
      <w:r>
        <w:rPr>
          <w:sz w:val="22"/>
        </w:rPr>
        <w:t xml:space="preserve"> of competitive advantage, </w:t>
      </w:r>
    </w:p>
    <w:p w14:paraId="220A1920" w14:textId="77777777" w:rsidR="008303A4" w:rsidRDefault="008303A4" w:rsidP="008303A4">
      <w:pPr>
        <w:pStyle w:val="ListNumber"/>
        <w:rPr>
          <w:rFonts w:eastAsia="Times New Roman"/>
        </w:rPr>
      </w:pPr>
      <w:r>
        <w:rPr>
          <w:rFonts w:eastAsia="Times New Roman"/>
        </w:rPr>
        <w:t>Visibility</w:t>
      </w:r>
      <w:r>
        <w:rPr>
          <w:sz w:val="22"/>
        </w:rPr>
        <w:t xml:space="preserve"> of </w:t>
      </w:r>
      <w:r>
        <w:rPr>
          <w:b/>
          <w:sz w:val="22"/>
        </w:rPr>
        <w:t>next year’s revenue</w:t>
      </w:r>
      <w:r>
        <w:rPr>
          <w:sz w:val="22"/>
        </w:rPr>
        <w:t xml:space="preserve"> under contract or subscription, </w:t>
      </w:r>
    </w:p>
    <w:p w14:paraId="7872A435" w14:textId="77777777" w:rsidR="008303A4" w:rsidRDefault="008303A4" w:rsidP="008303A4">
      <w:pPr>
        <w:pStyle w:val="ListNumber"/>
        <w:rPr>
          <w:rFonts w:eastAsia="Times New Roman"/>
        </w:rPr>
      </w:pPr>
      <w:r>
        <w:rPr>
          <w:rFonts w:eastAsia="Times New Roman"/>
        </w:rPr>
        <w:t>Trend</w:t>
      </w:r>
      <w:r>
        <w:rPr>
          <w:sz w:val="22"/>
        </w:rPr>
        <w:t xml:space="preserve"> in </w:t>
      </w:r>
      <w:r>
        <w:rPr>
          <w:b/>
          <w:sz w:val="22"/>
        </w:rPr>
        <w:t>free cash flow margin</w:t>
      </w:r>
      <w:r>
        <w:rPr>
          <w:sz w:val="22"/>
        </w:rPr>
        <w:t xml:space="preserve">. </w:t>
      </w:r>
    </w:p>
    <w:p w14:paraId="61127F4F" w14:textId="77777777" w:rsidR="00C00B6D" w:rsidRPr="00DF1E5A" w:rsidRDefault="00C00B6D" w:rsidP="00383E6F">
      <w:pPr>
        <w:pStyle w:val="ListNumber"/>
        <w:numPr>
          <w:ilvl w:val="0"/>
          <w:numId w:val="0"/>
        </w:numPr>
        <w:spacing w:before="240"/>
        <w:contextualSpacing w:val="0"/>
        <w:rPr>
          <w:sz w:val="22"/>
        </w:rPr>
      </w:pPr>
      <w:r>
        <w:rPr>
          <w:sz w:val="22"/>
        </w:rPr>
        <w:t>A business must clear a minimum average score here before anything else is considered — a weak Tier 1 profile cannot be rescued by an attractive valuation or a promising chart.</w:t>
      </w:r>
    </w:p>
    <w:p w14:paraId="1DAAF5DC" w14:textId="77777777" w:rsidR="008303A4" w:rsidRDefault="00C00B6D" w:rsidP="00AB691F">
      <w:pPr>
        <w:spacing w:before="100" w:beforeAutospacing="1" w:after="100" w:afterAutospacing="1" w:line="240" w:lineRule="auto"/>
        <w:contextualSpacing w:val="0"/>
        <w:rPr>
          <w:rFonts w:ascii="Times New Roman" w:eastAsia="Times New Roman" w:hAnsi="Times New Roman" w:cs="Times New Roman"/>
          <w:szCs w:val="24"/>
        </w:rPr>
      </w:pPr>
      <w:r>
        <w:rPr>
          <w:rFonts w:ascii="Times New Roman" w:eastAsia="Times New Roman" w:hAnsi="Times New Roman" w:cs="Times New Roman"/>
          <w:b/>
          <w:bCs/>
          <w:szCs w:val="24"/>
        </w:rPr>
        <w:t>Tier 2 — twenty-five (25%) percent.</w:t>
      </w:r>
      <w:r>
        <w:rPr>
          <w:rFonts w:ascii="Times New Roman" w:eastAsia="Times New Roman" w:hAnsi="Times New Roman" w:cs="Times New Roman"/>
          <w:szCs w:val="24"/>
        </w:rPr>
        <w:t xml:space="preserve"> Four indicators confirm quality and execution: </w:t>
      </w:r>
    </w:p>
    <w:p w14:paraId="42A6AB93" w14:textId="77777777" w:rsidR="008303A4" w:rsidRDefault="008303A4" w:rsidP="008303A4">
      <w:pPr>
        <w:pStyle w:val="ListNumber"/>
        <w:rPr>
          <w:rFonts w:eastAsia="Times New Roman"/>
        </w:rPr>
      </w:pPr>
      <w:r>
        <w:rPr>
          <w:rFonts w:eastAsia="Times New Roman"/>
        </w:rPr>
        <w:t>How</w:t>
      </w:r>
      <w:r>
        <w:rPr>
          <w:sz w:val="22"/>
        </w:rPr>
        <w:t xml:space="preserve"> well </w:t>
      </w:r>
      <w:r w:rsidRPr="007930BA">
        <w:rPr>
          <w:sz w:val="22"/>
        </w:rPr>
        <w:t>management</w:t>
      </w:r>
      <w:r>
        <w:rPr>
          <w:sz w:val="22"/>
        </w:rPr>
        <w:t xml:space="preserve"> has </w:t>
      </w:r>
      <w:r>
        <w:rPr>
          <w:rFonts w:eastAsia="Times New Roman"/>
        </w:rPr>
        <w:t xml:space="preserve">historically </w:t>
      </w:r>
      <w:r>
        <w:rPr>
          <w:b/>
          <w:sz w:val="22"/>
        </w:rPr>
        <w:t>allocated capital</w:t>
      </w:r>
    </w:p>
    <w:p w14:paraId="0F10F827" w14:textId="77777777" w:rsidR="008303A4" w:rsidRDefault="008303A4" w:rsidP="008303A4">
      <w:pPr>
        <w:pStyle w:val="ListNumber"/>
        <w:rPr>
          <w:rFonts w:eastAsia="Times New Roman"/>
        </w:rPr>
      </w:pPr>
      <w:r>
        <w:rPr>
          <w:rFonts w:eastAsia="Times New Roman"/>
        </w:rPr>
        <w:t>Whether</w:t>
      </w:r>
      <w:r>
        <w:rPr>
          <w:sz w:val="22"/>
        </w:rPr>
        <w:t xml:space="preserve"> </w:t>
      </w:r>
      <w:r w:rsidRPr="007930BA">
        <w:rPr>
          <w:sz w:val="22"/>
        </w:rPr>
        <w:t xml:space="preserve">returns </w:t>
      </w:r>
      <w:r>
        <w:rPr>
          <w:sz w:val="22"/>
        </w:rPr>
        <w:t xml:space="preserve">on </w:t>
      </w:r>
      <w:r>
        <w:rPr>
          <w:b/>
          <w:sz w:val="22"/>
        </w:rPr>
        <w:t>invested capital exceed the cost of that capital</w:t>
      </w:r>
      <w:r>
        <w:rPr>
          <w:sz w:val="22"/>
        </w:rPr>
        <w:t xml:space="preserve">, </w:t>
      </w:r>
    </w:p>
    <w:p w14:paraId="190CAA2A" w14:textId="77777777" w:rsidR="008303A4" w:rsidRDefault="008303A4" w:rsidP="008303A4">
      <w:pPr>
        <w:pStyle w:val="ListNumber"/>
        <w:rPr>
          <w:rFonts w:eastAsia="Times New Roman"/>
        </w:rPr>
      </w:pPr>
      <w:r w:rsidRPr="007930BA">
        <w:t>Stock performance</w:t>
      </w:r>
      <w:r>
        <w:rPr>
          <w:sz w:val="22"/>
        </w:rPr>
        <w:t xml:space="preserve"> </w:t>
      </w:r>
      <w:r>
        <w:rPr>
          <w:b/>
          <w:sz w:val="22"/>
        </w:rPr>
        <w:t>relative to the broader market</w:t>
      </w:r>
      <w:r>
        <w:rPr>
          <w:sz w:val="22"/>
        </w:rPr>
        <w:t xml:space="preserve">, and </w:t>
      </w:r>
    </w:p>
    <w:p w14:paraId="15E8D75D" w14:textId="77777777" w:rsidR="00C00B6D" w:rsidRPr="00DF1E5A" w:rsidRDefault="008303A4" w:rsidP="00DF1E5A">
      <w:pPr>
        <w:pStyle w:val="ListNumber"/>
        <w:rPr>
          <w:sz w:val="22"/>
        </w:rPr>
      </w:pPr>
      <w:r w:rsidRPr="007930BA">
        <w:t>H</w:t>
      </w:r>
      <w:r>
        <w:rPr>
          <w:rFonts w:eastAsia="Times New Roman"/>
        </w:rPr>
        <w:t>ow</w:t>
      </w:r>
      <w:r>
        <w:rPr>
          <w:sz w:val="22"/>
        </w:rPr>
        <w:t xml:space="preserve"> its </w:t>
      </w:r>
      <w:r w:rsidRPr="007930BA">
        <w:rPr>
          <w:sz w:val="22"/>
        </w:rPr>
        <w:t>valuation</w:t>
      </w:r>
      <w:r>
        <w:rPr>
          <w:sz w:val="22"/>
        </w:rPr>
        <w:t xml:space="preserve"> compares with its own </w:t>
      </w:r>
      <w:r>
        <w:rPr>
          <w:b/>
          <w:sz w:val="22"/>
        </w:rPr>
        <w:t>history</w:t>
      </w:r>
      <w:r>
        <w:rPr>
          <w:sz w:val="22"/>
        </w:rPr>
        <w:t xml:space="preserve"> and its peers.</w:t>
      </w:r>
    </w:p>
    <w:p w14:paraId="209AD6EA" w14:textId="68368A33" w:rsidR="00383E6F"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Pr>
          <w:rFonts w:ascii="Times New Roman" w:eastAsia="Times New Roman" w:hAnsi="Times New Roman" w:cs="Times New Roman"/>
          <w:b/>
          <w:bCs/>
          <w:szCs w:val="24"/>
        </w:rPr>
        <w:t>Tier 3 — five percent (5%).</w:t>
      </w:r>
      <w:r>
        <w:rPr>
          <w:rFonts w:ascii="Times New Roman" w:eastAsia="Times New Roman" w:hAnsi="Times New Roman" w:cs="Times New Roman"/>
          <w:szCs w:val="24"/>
        </w:rPr>
        <w:t> Three indicators refine timing and confidence at the margin:</w:t>
      </w:r>
    </w:p>
    <w:p w14:paraId="6F339776" w14:textId="77777777" w:rsidR="00383E6F" w:rsidRDefault="00383E6F" w:rsidP="00383E6F">
      <w:pPr>
        <w:pStyle w:val="ListNumber"/>
        <w:rPr>
          <w:rFonts w:eastAsia="Times New Roman"/>
        </w:rPr>
      </w:pPr>
      <w:r>
        <w:rPr>
          <w:rFonts w:eastAsia="Times New Roman"/>
        </w:rPr>
        <w:t xml:space="preserve">Price trend, </w:t>
      </w:r>
    </w:p>
    <w:p w14:paraId="29467C82" w14:textId="77777777" w:rsidR="00383E6F" w:rsidRDefault="00383E6F" w:rsidP="00383E6F">
      <w:pPr>
        <w:pStyle w:val="ListNumber"/>
        <w:rPr>
          <w:rFonts w:eastAsia="Times New Roman"/>
        </w:rPr>
      </w:pPr>
      <w:r>
        <w:rPr>
          <w:rFonts w:eastAsia="Times New Roman"/>
        </w:rPr>
        <w:t xml:space="preserve">Analyst sentiment, and </w:t>
      </w:r>
    </w:p>
    <w:p w14:paraId="10235D9F" w14:textId="77777777" w:rsidR="00383E6F" w:rsidRDefault="00383E6F" w:rsidP="00383E6F">
      <w:pPr>
        <w:pStyle w:val="ListNumber"/>
        <w:rPr>
          <w:rFonts w:eastAsia="Times New Roman"/>
        </w:rPr>
      </w:pPr>
      <w:r>
        <w:rPr>
          <w:rFonts w:eastAsia="Times New Roman"/>
        </w:rPr>
        <w:t xml:space="preserve">Trading volume </w:t>
      </w:r>
    </w:p>
    <w:p w14:paraId="37CB60CC" w14:textId="77777777" w:rsidR="00C00B6D" w:rsidRPr="00383E6F" w:rsidRDefault="00C00B6D" w:rsidP="00383E6F">
      <w:pPr>
        <w:pStyle w:val="ListNumber"/>
        <w:numPr>
          <w:ilvl w:val="0"/>
          <w:numId w:val="0"/>
        </w:numPr>
        <w:spacing w:before="240"/>
        <w:contextualSpacing w:val="0"/>
        <w:rPr>
          <w:rFonts w:eastAsia="Times New Roman"/>
        </w:rPr>
      </w:pPr>
      <w:r>
        <w:rPr>
          <w:rFonts w:eastAsia="Times New Roman"/>
        </w:rPr>
        <w:t>They can nudge a decision but, by design, cannot rescue a weak fundamental case.</w:t>
      </w:r>
    </w:p>
    <w:p w14:paraId="104D4941" w14:textId="77777777" w:rsidR="00383E6F"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 xml:space="preserve">Each indicator receives a score from one to five and a confidence tag — high, medium, or low — reflecting how well-supported that judgment is. The weighted scores sum to a </w:t>
      </w:r>
      <w:r>
        <w:rPr>
          <w:rFonts w:ascii="Times New Roman" w:hAnsi="Times New Roman"/>
          <w:b/>
        </w:rPr>
        <w:t>Composite Score</w:t>
      </w:r>
      <w:r>
        <w:rPr>
          <w:rFonts w:ascii="Times New Roman" w:eastAsia="Times New Roman" w:hAnsi="Times New Roman" w:cs="Times New Roman"/>
          <w:szCs w:val="24"/>
        </w:rPr>
        <w:t xml:space="preserve"> out of one hundred, which maps to five decisions:</w:t>
      </w:r>
    </w:p>
    <w:tbl>
      <w:tblPr>
        <w:tblW w:w="9270" w:type="dxa"/>
        <w:tblCellMar>
          <w:top w:w="15" w:type="dxa"/>
          <w:left w:w="15" w:type="dxa"/>
          <w:bottom w:w="15" w:type="dxa"/>
          <w:right w:w="15" w:type="dxa"/>
        </w:tblCellMar>
        <w:tblLook w:val="04A0" w:firstRow="1" w:lastRow="0" w:firstColumn="1" w:lastColumn="0" w:noHBand="0" w:noVBand="1"/>
      </w:tblPr>
      <w:tblGrid>
        <w:gridCol w:w="1175"/>
        <w:gridCol w:w="1853"/>
        <w:gridCol w:w="3169"/>
        <w:gridCol w:w="3073"/>
      </w:tblGrid>
      <w:tr w:rsidR="00C00B6D" w:rsidRPr="00C00B6D" w14:paraId="4AC0BA3A" w14:textId="77777777" w:rsidTr="00383E6F">
        <w:trPr>
          <w:cantSplit/>
          <w:tblHeader/>
        </w:trPr>
        <w:tc>
          <w:tcPr>
            <w:tcW w:w="0" w:type="auto"/>
            <w:shd w:val="clear" w:color="auto" w:fill="E8E8E8" w:themeFill="background2"/>
            <w:noWrap/>
            <w:vAlign w:val="center"/>
            <w:hideMark/>
          </w:tcPr>
          <w:p w14:paraId="7FFFFF9A" w14:textId="77777777" w:rsidR="00C00B6D" w:rsidRPr="00DF1E5A" w:rsidRDefault="00C00B6D" w:rsidP="00DF1E5A">
            <w:pPr>
              <w:spacing w:after="0" w:line="240" w:lineRule="auto"/>
              <w:contextualSpacing w:val="0"/>
              <w:jc w:val="center"/>
              <w:rPr>
                <w:rFonts w:ascii="Roboto Mono" w:hAnsi="Roboto Mono"/>
                <w:b/>
                <w:caps/>
                <w:color w:val="5B574C"/>
                <w:spacing w:val="19"/>
              </w:rPr>
            </w:pPr>
            <w:r>
              <w:rPr>
                <w:rFonts w:ascii="Roboto Mono" w:hAnsi="Roboto Mono"/>
                <w:b/>
                <w:caps/>
                <w:color w:val="5B574C"/>
                <w:spacing w:val="19"/>
              </w:rPr>
              <w:t>Score</w:t>
            </w:r>
          </w:p>
        </w:tc>
        <w:tc>
          <w:tcPr>
            <w:tcW w:w="0" w:type="auto"/>
            <w:shd w:val="clear" w:color="auto" w:fill="E8E8E8" w:themeFill="background2"/>
            <w:noWrap/>
            <w:vAlign w:val="center"/>
            <w:hideMark/>
          </w:tcPr>
          <w:p w14:paraId="1AFDB19B" w14:textId="77777777" w:rsidR="00C00B6D" w:rsidRPr="00DF1E5A" w:rsidRDefault="00C00B6D" w:rsidP="00DF1E5A">
            <w:pPr>
              <w:spacing w:after="0" w:line="240" w:lineRule="auto"/>
              <w:contextualSpacing w:val="0"/>
              <w:jc w:val="center"/>
              <w:rPr>
                <w:rFonts w:ascii="Roboto Mono" w:hAnsi="Roboto Mono"/>
                <w:b/>
                <w:caps/>
                <w:color w:val="8A8577"/>
                <w:spacing w:val="19"/>
              </w:rPr>
            </w:pPr>
            <w:r>
              <w:rPr>
                <w:rFonts w:ascii="Roboto Mono" w:hAnsi="Roboto Mono"/>
                <w:b/>
                <w:caps/>
                <w:color w:val="8A8577"/>
                <w:spacing w:val="19"/>
              </w:rPr>
              <w:t>Decision</w:t>
            </w:r>
          </w:p>
        </w:tc>
        <w:tc>
          <w:tcPr>
            <w:tcW w:w="0" w:type="auto"/>
            <w:shd w:val="clear" w:color="auto" w:fill="E8E8E8" w:themeFill="background2"/>
            <w:noWrap/>
            <w:vAlign w:val="center"/>
            <w:hideMark/>
          </w:tcPr>
          <w:p w14:paraId="11934820" w14:textId="77777777" w:rsidR="00C00B6D" w:rsidRPr="00DF1E5A" w:rsidRDefault="00C00B6D" w:rsidP="00DF1E5A">
            <w:pPr>
              <w:spacing w:after="0" w:line="240" w:lineRule="auto"/>
              <w:contextualSpacing w:val="0"/>
              <w:jc w:val="center"/>
              <w:rPr>
                <w:rFonts w:ascii="Roboto Mono" w:hAnsi="Roboto Mono"/>
                <w:b/>
                <w:caps/>
                <w:color w:val="8A8577"/>
                <w:spacing w:val="19"/>
              </w:rPr>
            </w:pPr>
            <w:r>
              <w:rPr>
                <w:rFonts w:ascii="Roboto Mono" w:hAnsi="Roboto Mono"/>
                <w:b/>
                <w:caps/>
                <w:color w:val="8A8577"/>
                <w:spacing w:val="19"/>
              </w:rPr>
              <w:t>New candidate</w:t>
            </w:r>
          </w:p>
        </w:tc>
        <w:tc>
          <w:tcPr>
            <w:tcW w:w="3073" w:type="dxa"/>
            <w:shd w:val="clear" w:color="auto" w:fill="E8E8E8" w:themeFill="background2"/>
            <w:noWrap/>
            <w:vAlign w:val="center"/>
            <w:hideMark/>
          </w:tcPr>
          <w:p w14:paraId="5A42ABAC" w14:textId="77777777" w:rsidR="00C00B6D" w:rsidRPr="00DF1E5A" w:rsidRDefault="00C00B6D" w:rsidP="00DF1E5A">
            <w:pPr>
              <w:spacing w:after="0" w:line="240" w:lineRule="auto"/>
              <w:contextualSpacing w:val="0"/>
              <w:jc w:val="center"/>
              <w:rPr>
                <w:rFonts w:ascii="Roboto Mono" w:hAnsi="Roboto Mono"/>
                <w:b/>
                <w:caps/>
                <w:color w:val="8A8577"/>
                <w:spacing w:val="19"/>
              </w:rPr>
            </w:pPr>
            <w:r>
              <w:rPr>
                <w:rFonts w:ascii="Roboto Mono" w:hAnsi="Roboto Mono"/>
                <w:b/>
                <w:caps/>
                <w:color w:val="8A8577"/>
                <w:spacing w:val="19"/>
              </w:rPr>
              <w:t>Existing holding</w:t>
            </w:r>
          </w:p>
        </w:tc>
      </w:tr>
      <w:tr w:rsidR="00C00B6D" w:rsidRPr="00C00B6D" w14:paraId="008E4336" w14:textId="77777777" w:rsidTr="00383E6F">
        <w:trPr>
          <w:cantSplit/>
        </w:trPr>
        <w:tc>
          <w:tcPr>
            <w:tcW w:w="0" w:type="auto"/>
            <w:noWrap/>
            <w:vAlign w:val="center"/>
            <w:hideMark/>
          </w:tcPr>
          <w:p w14:paraId="5EB52D9E" w14:textId="77777777" w:rsidR="00C00B6D" w:rsidRPr="00C00B6D" w:rsidRDefault="00C00B6D" w:rsidP="00DF1E5A">
            <w:pPr>
              <w:spacing w:after="0" w:line="240" w:lineRule="auto"/>
              <w:contextualSpacing w:val="0"/>
              <w:jc w:val="center"/>
              <w:rPr>
                <w:rFonts w:ascii="Times New Roman" w:eastAsia="Times New Roman" w:hAnsi="Times New Roman" w:cs="Times New Roman"/>
                <w:color w:val="5B574C"/>
                <w:szCs w:val="24"/>
              </w:rPr>
            </w:pPr>
            <w:r>
              <w:rPr>
                <w:rFonts w:ascii="Times New Roman" w:eastAsia="Times New Roman" w:hAnsi="Times New Roman" w:cs="Times New Roman"/>
                <w:color w:val="5B574C"/>
                <w:szCs w:val="24"/>
              </w:rPr>
              <w:t>80–100</w:t>
            </w:r>
          </w:p>
        </w:tc>
        <w:tc>
          <w:tcPr>
            <w:tcW w:w="0" w:type="auto"/>
            <w:noWrap/>
            <w:vAlign w:val="center"/>
            <w:hideMark/>
          </w:tcPr>
          <w:p w14:paraId="67A3EB79" w14:textId="77777777" w:rsidR="00C00B6D" w:rsidRPr="00383E6F" w:rsidRDefault="00C00B6D" w:rsidP="00DF1E5A">
            <w:pPr>
              <w:spacing w:after="0" w:line="240" w:lineRule="auto"/>
              <w:contextualSpacing w:val="0"/>
              <w:jc w:val="center"/>
              <w:rPr>
                <w:rFonts w:ascii="Times New Roman" w:eastAsia="Times New Roman" w:hAnsi="Times New Roman" w:cs="Times New Roman"/>
                <w:b/>
                <w:bCs/>
                <w:color w:val="000000" w:themeColor="text1"/>
                <w:szCs w:val="24"/>
              </w:rPr>
            </w:pPr>
            <w:r>
              <w:rPr>
                <w:rFonts w:ascii="Times New Roman" w:hAnsi="Times New Roman"/>
                <w:b/>
                <w:color w:val="000000" w:themeColor="text1"/>
              </w:rPr>
              <w:t>Strong Buy</w:t>
            </w:r>
          </w:p>
        </w:tc>
        <w:tc>
          <w:tcPr>
            <w:tcW w:w="0" w:type="auto"/>
            <w:noWrap/>
            <w:vAlign w:val="center"/>
            <w:hideMark/>
          </w:tcPr>
          <w:p w14:paraId="168D8270" w14:textId="0F60B221" w:rsidR="00C00B6D" w:rsidRPr="00C00B6D" w:rsidRDefault="00C00B6D" w:rsidP="00DF1E5A">
            <w:pPr>
              <w:spacing w:after="0" w:line="240" w:lineRule="auto"/>
              <w:contextualSpacing w:val="0"/>
              <w:jc w:val="center"/>
              <w:rPr>
                <w:rFonts w:ascii="Times New Roman" w:eastAsia="Times New Roman" w:hAnsi="Times New Roman" w:cs="Times New Roman"/>
                <w:szCs w:val="24"/>
              </w:rPr>
            </w:pPr>
            <w:r>
              <w:rPr>
                <w:rFonts w:ascii="Times New Roman" w:eastAsia="Times New Roman" w:hAnsi="Times New Roman" w:cs="Times New Roman"/>
                <w:szCs w:val="24"/>
              </w:rPr>
              <w:t>Initiate</w:t>
            </w:r>
            <w:r>
              <w:rPr>
                <w:rFonts w:ascii="Times New Roman" w:eastAsia="Times New Roman" w:hAnsi="Times New Roman" w:cs="Times New Roman"/>
                <w:szCs w:val="24"/>
              </w:rPr>
              <w:t>, staged</w:t>
            </w:r>
          </w:p>
        </w:tc>
        <w:tc>
          <w:tcPr>
            <w:tcW w:w="3073" w:type="dxa"/>
            <w:noWrap/>
            <w:vAlign w:val="center"/>
            <w:hideMark/>
          </w:tcPr>
          <w:p w14:paraId="4DD1B15E" w14:textId="77777777" w:rsidR="00C00B6D" w:rsidRPr="00C00B6D" w:rsidRDefault="00C00B6D" w:rsidP="00DF1E5A">
            <w:pPr>
              <w:spacing w:after="0" w:line="240" w:lineRule="auto"/>
              <w:contextualSpacing w:val="0"/>
              <w:jc w:val="center"/>
              <w:rPr>
                <w:rFonts w:ascii="Times New Roman" w:eastAsia="Times New Roman" w:hAnsi="Times New Roman" w:cs="Times New Roman"/>
                <w:szCs w:val="24"/>
              </w:rPr>
            </w:pPr>
            <w:r>
              <w:rPr>
                <w:rFonts w:ascii="Times New Roman" w:eastAsia="Times New Roman" w:hAnsi="Times New Roman" w:cs="Times New Roman"/>
                <w:szCs w:val="24"/>
              </w:rPr>
              <w:t>Core hold / add</w:t>
            </w:r>
          </w:p>
        </w:tc>
      </w:tr>
      <w:tr w:rsidR="00C00B6D" w:rsidRPr="00C00B6D" w14:paraId="56507B7E" w14:textId="77777777" w:rsidTr="00383E6F">
        <w:trPr>
          <w:cantSplit/>
        </w:trPr>
        <w:tc>
          <w:tcPr>
            <w:tcW w:w="0" w:type="auto"/>
            <w:noWrap/>
            <w:vAlign w:val="center"/>
            <w:hideMark/>
          </w:tcPr>
          <w:p w14:paraId="6CB51CD8" w14:textId="77777777" w:rsidR="00C00B6D" w:rsidRPr="00C00B6D" w:rsidRDefault="00C00B6D" w:rsidP="00DF1E5A">
            <w:pPr>
              <w:spacing w:after="0" w:line="240" w:lineRule="auto"/>
              <w:contextualSpacing w:val="0"/>
              <w:jc w:val="center"/>
              <w:rPr>
                <w:rFonts w:ascii="Times New Roman" w:eastAsia="Times New Roman" w:hAnsi="Times New Roman" w:cs="Times New Roman"/>
                <w:color w:val="5B574C"/>
                <w:szCs w:val="24"/>
              </w:rPr>
            </w:pPr>
            <w:r>
              <w:rPr>
                <w:rFonts w:ascii="Times New Roman" w:eastAsia="Times New Roman" w:hAnsi="Times New Roman" w:cs="Times New Roman"/>
                <w:color w:val="5B574C"/>
                <w:szCs w:val="24"/>
              </w:rPr>
              <w:t>65–79</w:t>
            </w:r>
          </w:p>
        </w:tc>
        <w:tc>
          <w:tcPr>
            <w:tcW w:w="0" w:type="auto"/>
            <w:noWrap/>
            <w:vAlign w:val="center"/>
            <w:hideMark/>
          </w:tcPr>
          <w:p w14:paraId="7B208D71" w14:textId="77777777" w:rsidR="00C00B6D" w:rsidRPr="00383E6F" w:rsidRDefault="00C00B6D" w:rsidP="00DF1E5A">
            <w:pPr>
              <w:spacing w:after="0" w:line="240" w:lineRule="auto"/>
              <w:contextualSpacing w:val="0"/>
              <w:jc w:val="center"/>
              <w:rPr>
                <w:rFonts w:ascii="Times New Roman" w:eastAsia="Times New Roman" w:hAnsi="Times New Roman" w:cs="Times New Roman"/>
                <w:b/>
                <w:bCs/>
                <w:color w:val="000000" w:themeColor="text1"/>
                <w:szCs w:val="24"/>
              </w:rPr>
            </w:pPr>
            <w:r>
              <w:rPr>
                <w:rFonts w:ascii="Times New Roman" w:hAnsi="Times New Roman"/>
                <w:b/>
                <w:color w:val="000000" w:themeColor="text1"/>
              </w:rPr>
              <w:t>Buy</w:t>
            </w:r>
          </w:p>
        </w:tc>
        <w:tc>
          <w:tcPr>
            <w:tcW w:w="0" w:type="auto"/>
            <w:noWrap/>
            <w:vAlign w:val="center"/>
            <w:hideMark/>
          </w:tcPr>
          <w:p w14:paraId="2ADF20E9" w14:textId="0B9E492C" w:rsidR="00C00B6D" w:rsidRPr="00C00B6D" w:rsidRDefault="00C00B6D" w:rsidP="00DF1E5A">
            <w:pPr>
              <w:spacing w:after="0" w:line="240" w:lineRule="auto"/>
              <w:contextualSpacing w:val="0"/>
              <w:jc w:val="center"/>
              <w:rPr>
                <w:rFonts w:ascii="Times New Roman" w:eastAsia="Times New Roman" w:hAnsi="Times New Roman" w:cs="Times New Roman"/>
                <w:szCs w:val="24"/>
              </w:rPr>
            </w:pPr>
            <w:r>
              <w:rPr>
                <w:rFonts w:ascii="Times New Roman" w:eastAsia="Times New Roman" w:hAnsi="Times New Roman" w:cs="Times New Roman"/>
                <w:szCs w:val="24"/>
              </w:rPr>
              <w:t>Initiate</w:t>
            </w:r>
            <w:r>
              <w:rPr>
                <w:rFonts w:ascii="Times New Roman" w:eastAsia="Times New Roman" w:hAnsi="Times New Roman" w:cs="Times New Roman"/>
                <w:szCs w:val="24"/>
              </w:rPr>
              <w:t>, staged</w:t>
            </w:r>
          </w:p>
        </w:tc>
        <w:tc>
          <w:tcPr>
            <w:tcW w:w="3073" w:type="dxa"/>
            <w:noWrap/>
            <w:vAlign w:val="center"/>
            <w:hideMark/>
          </w:tcPr>
          <w:p w14:paraId="4CFE6409" w14:textId="77777777" w:rsidR="00C00B6D" w:rsidRPr="00C00B6D" w:rsidRDefault="00C00B6D" w:rsidP="00DF1E5A">
            <w:pPr>
              <w:spacing w:after="0" w:line="240" w:lineRule="auto"/>
              <w:contextualSpacing w:val="0"/>
              <w:jc w:val="center"/>
              <w:rPr>
                <w:rFonts w:ascii="Times New Roman" w:eastAsia="Times New Roman" w:hAnsi="Times New Roman" w:cs="Times New Roman"/>
                <w:szCs w:val="24"/>
              </w:rPr>
            </w:pPr>
            <w:r>
              <w:rPr>
                <w:rFonts w:ascii="Times New Roman" w:eastAsia="Times New Roman" w:hAnsi="Times New Roman" w:cs="Times New Roman"/>
                <w:szCs w:val="24"/>
              </w:rPr>
              <w:t>Hold</w:t>
            </w:r>
          </w:p>
        </w:tc>
      </w:tr>
      <w:tr w:rsidR="00C00B6D" w:rsidRPr="00C00B6D" w14:paraId="043F176F" w14:textId="77777777" w:rsidTr="00383E6F">
        <w:trPr>
          <w:cantSplit/>
        </w:trPr>
        <w:tc>
          <w:tcPr>
            <w:tcW w:w="0" w:type="auto"/>
            <w:noWrap/>
            <w:vAlign w:val="center"/>
            <w:hideMark/>
          </w:tcPr>
          <w:p w14:paraId="689E82E3" w14:textId="77777777" w:rsidR="00C00B6D" w:rsidRPr="00C00B6D" w:rsidRDefault="00C00B6D" w:rsidP="00DF1E5A">
            <w:pPr>
              <w:spacing w:after="0" w:line="240" w:lineRule="auto"/>
              <w:contextualSpacing w:val="0"/>
              <w:jc w:val="center"/>
              <w:rPr>
                <w:rFonts w:ascii="Times New Roman" w:eastAsia="Times New Roman" w:hAnsi="Times New Roman" w:cs="Times New Roman"/>
                <w:color w:val="5B574C"/>
                <w:szCs w:val="24"/>
              </w:rPr>
            </w:pPr>
            <w:r>
              <w:rPr>
                <w:rFonts w:ascii="Times New Roman" w:eastAsia="Times New Roman" w:hAnsi="Times New Roman" w:cs="Times New Roman"/>
                <w:color w:val="5B574C"/>
                <w:szCs w:val="24"/>
              </w:rPr>
              <w:t>50–64</w:t>
            </w:r>
          </w:p>
        </w:tc>
        <w:tc>
          <w:tcPr>
            <w:tcW w:w="0" w:type="auto"/>
            <w:noWrap/>
            <w:vAlign w:val="center"/>
            <w:hideMark/>
          </w:tcPr>
          <w:p w14:paraId="241030CF" w14:textId="77777777" w:rsidR="00C00B6D" w:rsidRPr="00383E6F" w:rsidRDefault="00C00B6D" w:rsidP="00DF1E5A">
            <w:pPr>
              <w:spacing w:after="0" w:line="240" w:lineRule="auto"/>
              <w:contextualSpacing w:val="0"/>
              <w:jc w:val="center"/>
              <w:rPr>
                <w:rFonts w:ascii="Times New Roman" w:eastAsia="Times New Roman" w:hAnsi="Times New Roman" w:cs="Times New Roman"/>
                <w:b/>
                <w:bCs/>
                <w:color w:val="000000" w:themeColor="text1"/>
                <w:szCs w:val="24"/>
              </w:rPr>
            </w:pPr>
            <w:r>
              <w:rPr>
                <w:rFonts w:ascii="Times New Roman" w:eastAsia="Times New Roman" w:hAnsi="Times New Roman" w:cs="Times New Roman"/>
                <w:b/>
                <w:bCs/>
                <w:color w:val="000000" w:themeColor="text1"/>
                <w:szCs w:val="24"/>
              </w:rPr>
              <w:t>Watch List</w:t>
            </w:r>
          </w:p>
        </w:tc>
        <w:tc>
          <w:tcPr>
            <w:tcW w:w="0" w:type="auto"/>
            <w:noWrap/>
            <w:vAlign w:val="center"/>
            <w:hideMark/>
          </w:tcPr>
          <w:p w14:paraId="1C2D2FB9" w14:textId="77777777" w:rsidR="00C00B6D" w:rsidRPr="00C00B6D" w:rsidRDefault="00C00B6D" w:rsidP="00DF1E5A">
            <w:pPr>
              <w:spacing w:after="0" w:line="240" w:lineRule="auto"/>
              <w:contextualSpacing w:val="0"/>
              <w:jc w:val="center"/>
              <w:rPr>
                <w:rFonts w:ascii="Times New Roman" w:eastAsia="Times New Roman" w:hAnsi="Times New Roman" w:cs="Times New Roman"/>
                <w:szCs w:val="24"/>
              </w:rPr>
            </w:pPr>
            <w:r>
              <w:rPr>
                <w:rFonts w:ascii="Times New Roman" w:eastAsia="Times New Roman" w:hAnsi="Times New Roman" w:cs="Times New Roman"/>
                <w:szCs w:val="24"/>
              </w:rPr>
              <w:t>No new capital</w:t>
            </w:r>
          </w:p>
        </w:tc>
        <w:tc>
          <w:tcPr>
            <w:tcW w:w="3073" w:type="dxa"/>
            <w:noWrap/>
            <w:vAlign w:val="center"/>
            <w:hideMark/>
          </w:tcPr>
          <w:p w14:paraId="0C8C7A5E" w14:textId="77777777" w:rsidR="00C00B6D" w:rsidRPr="00C00B6D" w:rsidRDefault="00C00B6D" w:rsidP="00DF1E5A">
            <w:pPr>
              <w:spacing w:after="0" w:line="240" w:lineRule="auto"/>
              <w:contextualSpacing w:val="0"/>
              <w:jc w:val="center"/>
              <w:rPr>
                <w:rFonts w:ascii="Times New Roman" w:eastAsia="Times New Roman" w:hAnsi="Times New Roman" w:cs="Times New Roman"/>
                <w:szCs w:val="24"/>
              </w:rPr>
            </w:pPr>
            <w:r>
              <w:rPr>
                <w:rFonts w:ascii="Times New Roman" w:eastAsia="Times New Roman" w:hAnsi="Times New Roman" w:cs="Times New Roman"/>
                <w:szCs w:val="24"/>
              </w:rPr>
              <w:t>Probationary, 90-day review</w:t>
            </w:r>
          </w:p>
        </w:tc>
      </w:tr>
      <w:tr w:rsidR="00C00B6D" w:rsidRPr="00C00B6D" w14:paraId="3473655F" w14:textId="77777777" w:rsidTr="00383E6F">
        <w:trPr>
          <w:cantSplit/>
        </w:trPr>
        <w:tc>
          <w:tcPr>
            <w:tcW w:w="0" w:type="auto"/>
            <w:noWrap/>
            <w:vAlign w:val="center"/>
            <w:hideMark/>
          </w:tcPr>
          <w:p w14:paraId="0372A20B" w14:textId="77777777" w:rsidR="00C00B6D" w:rsidRPr="00C00B6D" w:rsidRDefault="00C00B6D" w:rsidP="00DF1E5A">
            <w:pPr>
              <w:spacing w:after="0" w:line="240" w:lineRule="auto"/>
              <w:contextualSpacing w:val="0"/>
              <w:jc w:val="center"/>
              <w:rPr>
                <w:rFonts w:ascii="Times New Roman" w:eastAsia="Times New Roman" w:hAnsi="Times New Roman" w:cs="Times New Roman"/>
                <w:color w:val="5B574C"/>
                <w:szCs w:val="24"/>
              </w:rPr>
            </w:pPr>
            <w:r>
              <w:rPr>
                <w:rFonts w:ascii="Times New Roman" w:eastAsia="Times New Roman" w:hAnsi="Times New Roman" w:cs="Times New Roman"/>
                <w:color w:val="5B574C"/>
                <w:szCs w:val="24"/>
              </w:rPr>
              <w:t>35–49</w:t>
            </w:r>
          </w:p>
        </w:tc>
        <w:tc>
          <w:tcPr>
            <w:tcW w:w="0" w:type="auto"/>
            <w:noWrap/>
            <w:vAlign w:val="center"/>
            <w:hideMark/>
          </w:tcPr>
          <w:p w14:paraId="5FBF339F" w14:textId="77777777" w:rsidR="00C00B6D" w:rsidRPr="00383E6F" w:rsidRDefault="00C00B6D" w:rsidP="00DF1E5A">
            <w:pPr>
              <w:spacing w:after="0" w:line="240" w:lineRule="auto"/>
              <w:contextualSpacing w:val="0"/>
              <w:jc w:val="center"/>
              <w:rPr>
                <w:rFonts w:ascii="Times New Roman" w:eastAsia="Times New Roman" w:hAnsi="Times New Roman" w:cs="Times New Roman"/>
                <w:b/>
                <w:bCs/>
                <w:color w:val="000000" w:themeColor="text1"/>
                <w:szCs w:val="24"/>
              </w:rPr>
            </w:pPr>
            <w:r>
              <w:rPr>
                <w:rFonts w:ascii="Times New Roman" w:hAnsi="Times New Roman"/>
                <w:b/>
                <w:color w:val="000000" w:themeColor="text1"/>
              </w:rPr>
              <w:t>Avoid</w:t>
            </w:r>
          </w:p>
        </w:tc>
        <w:tc>
          <w:tcPr>
            <w:tcW w:w="0" w:type="auto"/>
            <w:noWrap/>
            <w:vAlign w:val="center"/>
            <w:hideMark/>
          </w:tcPr>
          <w:p w14:paraId="452C3A5F" w14:textId="77777777" w:rsidR="00C00B6D" w:rsidRPr="00C00B6D" w:rsidRDefault="00C00B6D" w:rsidP="00DF1E5A">
            <w:pPr>
              <w:spacing w:after="0" w:line="240" w:lineRule="auto"/>
              <w:contextualSpacing w:val="0"/>
              <w:jc w:val="center"/>
              <w:rPr>
                <w:rFonts w:ascii="Times New Roman" w:eastAsia="Times New Roman" w:hAnsi="Times New Roman" w:cs="Times New Roman"/>
                <w:szCs w:val="24"/>
              </w:rPr>
            </w:pPr>
            <w:r>
              <w:rPr>
                <w:rFonts w:ascii="Times New Roman" w:eastAsia="Times New Roman" w:hAnsi="Times New Roman" w:cs="Times New Roman"/>
                <w:szCs w:val="24"/>
              </w:rPr>
              <w:t>Do not initiate</w:t>
            </w:r>
          </w:p>
        </w:tc>
        <w:tc>
          <w:tcPr>
            <w:tcW w:w="3073" w:type="dxa"/>
            <w:noWrap/>
            <w:vAlign w:val="center"/>
            <w:hideMark/>
          </w:tcPr>
          <w:p w14:paraId="4CC81FA9" w14:textId="77777777" w:rsidR="00C00B6D" w:rsidRPr="00C00B6D" w:rsidRDefault="00C00B6D" w:rsidP="00DF1E5A">
            <w:pPr>
              <w:spacing w:after="0" w:line="240" w:lineRule="auto"/>
              <w:contextualSpacing w:val="0"/>
              <w:jc w:val="center"/>
              <w:rPr>
                <w:rFonts w:ascii="Times New Roman" w:eastAsia="Times New Roman" w:hAnsi="Times New Roman" w:cs="Times New Roman"/>
                <w:szCs w:val="24"/>
              </w:rPr>
            </w:pPr>
            <w:r>
              <w:rPr>
                <w:rFonts w:ascii="Times New Roman" w:eastAsia="Times New Roman" w:hAnsi="Times New Roman" w:cs="Times New Roman"/>
                <w:szCs w:val="24"/>
              </w:rPr>
              <w:t>Exit review, 90-day plan or sell</w:t>
            </w:r>
          </w:p>
        </w:tc>
      </w:tr>
      <w:tr w:rsidR="00C00B6D" w:rsidRPr="00C00B6D" w14:paraId="3583071E" w14:textId="77777777" w:rsidTr="00383E6F">
        <w:trPr>
          <w:cantSplit/>
        </w:trPr>
        <w:tc>
          <w:tcPr>
            <w:tcW w:w="0" w:type="auto"/>
            <w:tcBorders>
              <w:bottom w:val="nil"/>
            </w:tcBorders>
            <w:noWrap/>
            <w:vAlign w:val="center"/>
            <w:hideMark/>
          </w:tcPr>
          <w:p w14:paraId="4A04B238" w14:textId="77777777" w:rsidR="00C00B6D" w:rsidRPr="00C00B6D" w:rsidRDefault="00C00B6D" w:rsidP="00DF1E5A">
            <w:pPr>
              <w:spacing w:after="0" w:line="240" w:lineRule="auto"/>
              <w:contextualSpacing w:val="0"/>
              <w:jc w:val="center"/>
              <w:rPr>
                <w:rFonts w:ascii="Times New Roman" w:eastAsia="Times New Roman" w:hAnsi="Times New Roman" w:cs="Times New Roman"/>
                <w:color w:val="5B574C"/>
                <w:szCs w:val="24"/>
              </w:rPr>
            </w:pPr>
            <w:r>
              <w:rPr>
                <w:rFonts w:ascii="Times New Roman" w:eastAsia="Times New Roman" w:hAnsi="Times New Roman" w:cs="Times New Roman"/>
                <w:color w:val="5B574C"/>
                <w:szCs w:val="24"/>
              </w:rPr>
              <w:t>&lt;35</w:t>
            </w:r>
          </w:p>
        </w:tc>
        <w:tc>
          <w:tcPr>
            <w:tcW w:w="0" w:type="auto"/>
            <w:tcBorders>
              <w:bottom w:val="nil"/>
            </w:tcBorders>
            <w:noWrap/>
            <w:vAlign w:val="center"/>
            <w:hideMark/>
          </w:tcPr>
          <w:p w14:paraId="3135FDD7" w14:textId="77777777" w:rsidR="00C00B6D" w:rsidRPr="00383E6F" w:rsidRDefault="00C00B6D" w:rsidP="00DF1E5A">
            <w:pPr>
              <w:spacing w:after="0" w:line="240" w:lineRule="auto"/>
              <w:contextualSpacing w:val="0"/>
              <w:jc w:val="center"/>
              <w:rPr>
                <w:rFonts w:ascii="Times New Roman" w:eastAsia="Times New Roman" w:hAnsi="Times New Roman" w:cs="Times New Roman"/>
                <w:b/>
                <w:bCs/>
                <w:color w:val="000000" w:themeColor="text1"/>
                <w:szCs w:val="24"/>
              </w:rPr>
            </w:pPr>
            <w:r>
              <w:rPr>
                <w:rFonts w:ascii="Times New Roman" w:hAnsi="Times New Roman"/>
                <w:b/>
                <w:color w:val="000000" w:themeColor="text1"/>
              </w:rPr>
              <w:t>Pass</w:t>
            </w:r>
          </w:p>
        </w:tc>
        <w:tc>
          <w:tcPr>
            <w:tcW w:w="0" w:type="auto"/>
            <w:tcBorders>
              <w:bottom w:val="nil"/>
            </w:tcBorders>
            <w:noWrap/>
            <w:vAlign w:val="center"/>
            <w:hideMark/>
          </w:tcPr>
          <w:p w14:paraId="7F57DF5E" w14:textId="77777777" w:rsidR="00C00B6D" w:rsidRPr="00C00B6D" w:rsidRDefault="00C00B6D" w:rsidP="00DF1E5A">
            <w:pPr>
              <w:spacing w:after="0" w:line="240" w:lineRule="auto"/>
              <w:contextualSpacing w:val="0"/>
              <w:jc w:val="center"/>
              <w:rPr>
                <w:rFonts w:ascii="Times New Roman" w:eastAsia="Times New Roman" w:hAnsi="Times New Roman" w:cs="Times New Roman"/>
                <w:szCs w:val="24"/>
              </w:rPr>
            </w:pPr>
            <w:r>
              <w:rPr>
                <w:rFonts w:ascii="Times New Roman" w:eastAsia="Times New Roman" w:hAnsi="Times New Roman" w:cs="Times New Roman"/>
                <w:szCs w:val="24"/>
              </w:rPr>
              <w:t>Remove from coverage</w:t>
            </w:r>
          </w:p>
        </w:tc>
        <w:tc>
          <w:tcPr>
            <w:tcW w:w="3073" w:type="dxa"/>
            <w:tcBorders>
              <w:bottom w:val="nil"/>
            </w:tcBorders>
            <w:noWrap/>
            <w:vAlign w:val="center"/>
            <w:hideMark/>
          </w:tcPr>
          <w:p w14:paraId="6921172D" w14:textId="77777777" w:rsidR="00C00B6D" w:rsidRPr="00C00B6D" w:rsidRDefault="00C00B6D" w:rsidP="00DF1E5A">
            <w:pPr>
              <w:spacing w:after="0" w:line="240" w:lineRule="auto"/>
              <w:contextualSpacing w:val="0"/>
              <w:jc w:val="center"/>
              <w:rPr>
                <w:rFonts w:ascii="Times New Roman" w:eastAsia="Times New Roman" w:hAnsi="Times New Roman" w:cs="Times New Roman"/>
                <w:szCs w:val="24"/>
              </w:rPr>
            </w:pPr>
            <w:r>
              <w:rPr>
                <w:rFonts w:ascii="Times New Roman" w:eastAsia="Times New Roman" w:hAnsi="Times New Roman" w:cs="Times New Roman"/>
                <w:szCs w:val="24"/>
              </w:rPr>
              <w:t>Sell within 30 days</w:t>
            </w:r>
          </w:p>
        </w:tc>
      </w:tr>
    </w:tbl>
    <w:p w14:paraId="7EB4E7B5" w14:textId="77777777"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 xml:space="preserve">Two of these bands carry explicit five-year performance objectives — twelve percent (12%) annualized for </w:t>
      </w:r>
      <w:r>
        <w:rPr>
          <w:rFonts w:ascii="Times New Roman" w:eastAsia="Times New Roman" w:hAnsi="Times New Roman" w:cs="Times New Roman"/>
          <w:b/>
          <w:bCs/>
          <w:szCs w:val="24"/>
        </w:rPr>
        <w:t>Strong Buy</w:t>
      </w:r>
      <w:r>
        <w:rPr>
          <w:rFonts w:ascii="Times New Roman" w:eastAsia="Times New Roman" w:hAnsi="Times New Roman" w:cs="Times New Roman"/>
          <w:szCs w:val="24"/>
        </w:rPr>
        <w:t xml:space="preserve">, ten percent (10%) for </w:t>
      </w:r>
      <w:r>
        <w:rPr>
          <w:rFonts w:ascii="Times New Roman" w:eastAsia="Times New Roman" w:hAnsi="Times New Roman" w:cs="Times New Roman"/>
          <w:b/>
          <w:bCs/>
          <w:szCs w:val="24"/>
        </w:rPr>
        <w:t>Buy</w:t>
      </w:r>
      <w:r>
        <w:rPr>
          <w:rFonts w:ascii="Times New Roman" w:eastAsia="Times New Roman" w:hAnsi="Times New Roman" w:cs="Times New Roman"/>
          <w:szCs w:val="24"/>
        </w:rPr>
        <w:t>. Both are treated throughout as planning targets, not promises, a distinction this piece returns to later.</w:t>
      </w:r>
    </w:p>
    <w:p w14:paraId="7D29F479" w14:textId="77777777"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lastRenderedPageBreak/>
        <w:t xml:space="preserve">A handful of override rules sit on top of this arithmetic and cannot be argued around — two (2) </w:t>
      </w:r>
      <w:r>
        <w:rPr>
          <w:rFonts w:ascii="Times New Roman" w:eastAsia="Times New Roman" w:hAnsi="Times New Roman" w:cs="Times New Roman"/>
          <w:b/>
          <w:bCs/>
          <w:szCs w:val="24"/>
        </w:rPr>
        <w:t>Tier 1</w:t>
      </w:r>
      <w:r>
        <w:rPr>
          <w:rFonts w:ascii="Times New Roman" w:eastAsia="Times New Roman" w:hAnsi="Times New Roman" w:cs="Times New Roman"/>
          <w:szCs w:val="24"/>
        </w:rPr>
        <w:t xml:space="preserve"> indicators scoring two (2.0) or below is an automatic </w:t>
      </w:r>
      <w:r>
        <w:rPr>
          <w:rFonts w:ascii="Times New Roman" w:eastAsia="Times New Roman" w:hAnsi="Times New Roman" w:cs="Times New Roman"/>
          <w:b/>
          <w:bCs/>
          <w:szCs w:val="24"/>
        </w:rPr>
        <w:t xml:space="preserve">Avoid </w:t>
      </w:r>
      <w:r>
        <w:rPr>
          <w:rFonts w:ascii="Times New Roman" w:eastAsia="Times New Roman" w:hAnsi="Times New Roman" w:cs="Times New Roman"/>
          <w:szCs w:val="24"/>
        </w:rPr>
        <w:t xml:space="preserve">regardless of the composite number, and two (2) or more </w:t>
      </w:r>
      <w:r>
        <w:rPr>
          <w:rFonts w:ascii="Times New Roman" w:eastAsia="Times New Roman" w:hAnsi="Times New Roman" w:cs="Times New Roman"/>
          <w:b/>
          <w:bCs/>
          <w:szCs w:val="24"/>
        </w:rPr>
        <w:t>Tier 1</w:t>
      </w:r>
      <w:r>
        <w:rPr>
          <w:rFonts w:ascii="Times New Roman" w:eastAsia="Times New Roman" w:hAnsi="Times New Roman" w:cs="Times New Roman"/>
          <w:szCs w:val="24"/>
        </w:rPr>
        <w:t xml:space="preserve"> indicators tagged </w:t>
      </w:r>
      <w:r>
        <w:rPr>
          <w:rFonts w:ascii="Times New Roman" w:eastAsia="Times New Roman" w:hAnsi="Times New Roman" w:cs="Times New Roman"/>
          <w:b/>
          <w:bCs/>
          <w:szCs w:val="24"/>
        </w:rPr>
        <w:t>low confidence</w:t>
      </w:r>
      <w:r>
        <w:rPr>
          <w:rFonts w:ascii="Times New Roman" w:eastAsia="Times New Roman" w:hAnsi="Times New Roman" w:cs="Times New Roman"/>
          <w:szCs w:val="24"/>
        </w:rPr>
        <w:t xml:space="preserve"> caps the classification at </w:t>
      </w:r>
      <w:r>
        <w:rPr>
          <w:rFonts w:ascii="Times New Roman" w:eastAsia="Times New Roman" w:hAnsi="Times New Roman" w:cs="Times New Roman"/>
          <w:b/>
          <w:bCs/>
          <w:szCs w:val="24"/>
        </w:rPr>
        <w:t xml:space="preserve">Buy – </w:t>
      </w:r>
      <w:r>
        <w:rPr>
          <w:rFonts w:ascii="Times New Roman" w:eastAsia="Times New Roman" w:hAnsi="Times New Roman" w:cs="Times New Roman"/>
          <w:szCs w:val="24"/>
        </w:rPr>
        <w:t>even if the math says higher. The System is, in this sense, less like a spreadsheet and more like a review board that can veto an application no matter how good its numbers look: figures matter, but a small set of disqualifying facts can override them outright.</w:t>
      </w:r>
    </w:p>
    <w:p w14:paraId="4D94D18C" w14:textId="77777777" w:rsidR="00C00B6D" w:rsidRPr="00C00B6D" w:rsidRDefault="00C00B6D" w:rsidP="00C00B6D">
      <w:pPr>
        <w:spacing w:after="0"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 xml:space="preserve">One design choice is worth noting because it is more conservative than it needs to be. </w:t>
      </w:r>
      <w:r>
        <w:rPr>
          <w:rFonts w:ascii="Times New Roman" w:eastAsia="Times New Roman" w:hAnsi="Times New Roman" w:cs="Times New Roman"/>
          <w:b/>
          <w:bCs/>
          <w:szCs w:val="24"/>
        </w:rPr>
        <w:t>Free cash flow</w:t>
      </w:r>
      <w:r>
        <w:rPr>
          <w:rFonts w:ascii="Times New Roman" w:eastAsia="Times New Roman" w:hAnsi="Times New Roman" w:cs="Times New Roman"/>
          <w:szCs w:val="24"/>
        </w:rPr>
        <w:t xml:space="preserve">, the System’s </w:t>
      </w:r>
      <w:r>
        <w:rPr>
          <w:rFonts w:ascii="Times New Roman" w:eastAsia="Times New Roman" w:hAnsi="Times New Roman" w:cs="Times New Roman"/>
          <w:szCs w:val="24"/>
          <w:u w:val="single"/>
        </w:rPr>
        <w:t>central valuation input</w:t>
      </w:r>
      <w:r>
        <w:rPr>
          <w:rFonts w:ascii="Times New Roman" w:eastAsia="Times New Roman" w:hAnsi="Times New Roman" w:cs="Times New Roman"/>
          <w:szCs w:val="24"/>
        </w:rPr>
        <w:t>, is defined to treat stock-based compensation as a genuine economic cost — deducted at its grant-date value — rather than added back as a non-cash item the way headline free cash flow figures often are. That distinction matters because a stock grant is real dilution for existing shareholders even though no cash actually left the company, and it is precisely the kind of adjustment that separates a rigorous buy-side process from a screen built on unadjusted data.</w:t>
      </w:r>
    </w:p>
    <w:p w14:paraId="6137D0FB" w14:textId="77777777" w:rsidR="00C00B6D" w:rsidRPr="00C00B6D" w:rsidRDefault="00C00B6D" w:rsidP="00383E6F">
      <w:pPr>
        <w:pStyle w:val="Heading1"/>
      </w:pPr>
      <w:r>
        <w:t>From score to purchase: the entry discipline</w:t>
      </w:r>
    </w:p>
    <w:p w14:paraId="35592751" w14:textId="5269E4C4"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 xml:space="preserve">A qualifying score authorizes consideration, not a purchase. Before capital moves, the System requires an estimate of what the investment will actually return. For every candidate, an analyst projects </w:t>
      </w:r>
      <w:r>
        <w:rPr>
          <w:rFonts w:ascii="Times New Roman" w:eastAsia="Times New Roman" w:hAnsi="Times New Roman" w:cs="Times New Roman"/>
          <w:b/>
          <w:bCs/>
          <w:szCs w:val="24"/>
        </w:rPr>
        <w:t>five-year equity value</w:t>
      </w:r>
      <w:r>
        <w:rPr>
          <w:rFonts w:ascii="Times New Roman" w:eastAsia="Times New Roman" w:hAnsi="Times New Roman" w:cs="Times New Roman"/>
          <w:szCs w:val="24"/>
        </w:rPr>
        <w:t xml:space="preserve"> from </w:t>
      </w:r>
      <w:r>
        <w:rPr>
          <w:rFonts w:ascii="Times New Roman" w:eastAsia="Times New Roman" w:hAnsi="Times New Roman" w:cs="Times New Roman"/>
          <w:b/>
          <w:bCs/>
          <w:szCs w:val="24"/>
        </w:rPr>
        <w:t>normalized free cash flow</w:t>
      </w:r>
      <w:r>
        <w:rPr>
          <w:rFonts w:ascii="Times New Roman" w:eastAsia="Times New Roman" w:hAnsi="Times New Roman" w:cs="Times New Roman"/>
          <w:szCs w:val="24"/>
        </w:rPr>
        <w:t xml:space="preserve">, multiplied by a defensible terminal multiple — one that cannot exceed the lower of today’s multiple or the company’s own five-year median – which rules out simply assuming the market will pay more for the business in the future than it does today, short of a rare, separately documented exception. That projection is required under three separate scenarios — </w:t>
      </w:r>
      <w:r>
        <w:rPr>
          <w:rFonts w:ascii="Times New Roman" w:eastAsia="Times New Roman" w:hAnsi="Times New Roman" w:cs="Times New Roman"/>
          <w:b/>
          <w:bCs/>
          <w:szCs w:val="24"/>
        </w:rPr>
        <w:t>bull</w:t>
      </w:r>
      <w:r>
        <w:rPr>
          <w:rFonts w:ascii="Times New Roman" w:eastAsia="Times New Roman" w:hAnsi="Times New Roman" w:cs="Times New Roman"/>
          <w:szCs w:val="24"/>
        </w:rPr>
        <w:t xml:space="preserve">, </w:t>
      </w:r>
      <w:r>
        <w:rPr>
          <w:rFonts w:ascii="Times New Roman" w:eastAsia="Times New Roman" w:hAnsi="Times New Roman" w:cs="Times New Roman"/>
          <w:b/>
          <w:bCs/>
          <w:szCs w:val="24"/>
        </w:rPr>
        <w:t>base</w:t>
      </w:r>
      <w:r>
        <w:rPr>
          <w:rFonts w:ascii="Times New Roman" w:eastAsia="Times New Roman" w:hAnsi="Times New Roman" w:cs="Times New Roman"/>
          <w:szCs w:val="24"/>
        </w:rPr>
        <w:t xml:space="preserve">, and </w:t>
      </w:r>
      <w:r>
        <w:rPr>
          <w:rFonts w:ascii="Times New Roman" w:eastAsia="Times New Roman" w:hAnsi="Times New Roman" w:cs="Times New Roman"/>
          <w:b/>
          <w:bCs/>
          <w:szCs w:val="24"/>
        </w:rPr>
        <w:t>bear</w:t>
      </w:r>
      <w:r>
        <w:rPr>
          <w:rFonts w:ascii="Times New Roman" w:eastAsia="Times New Roman" w:hAnsi="Times New Roman" w:cs="Times New Roman"/>
          <w:szCs w:val="24"/>
        </w:rPr>
        <w:t xml:space="preserve"> — and exactly one may be tagged “</w:t>
      </w:r>
      <w:r>
        <w:rPr>
          <w:rFonts w:ascii="Times New Roman" w:eastAsia="Times New Roman" w:hAnsi="Times New Roman" w:cs="Times New Roman"/>
          <w:b/>
          <w:bCs/>
          <w:szCs w:val="24"/>
        </w:rPr>
        <w:t>likely</w:t>
      </w:r>
      <w:r>
        <w:rPr>
          <w:rFonts w:ascii="Times New Roman" w:eastAsia="Times New Roman" w:hAnsi="Times New Roman" w:cs="Times New Roman"/>
          <w:szCs w:val="24"/>
        </w:rPr>
        <w:t>.” No numeric probabilities are permitted on these tags, on the reasoning that assigning a false precision like “sixty percent (60%)” to a qualitative judgment about a moat’s durability manufactures confidence that does not actually exist.</w:t>
      </w:r>
    </w:p>
    <w:p w14:paraId="38462B1D" w14:textId="77777777" w:rsidR="00C00B6D" w:rsidRPr="00C00B6D" w:rsidRDefault="00C00B6D" w:rsidP="00C00B6D">
      <w:pPr>
        <w:spacing w:after="0" w:line="240" w:lineRule="auto"/>
        <w:contextualSpacing w:val="0"/>
        <w:rPr>
          <w:rFonts w:ascii="Times New Roman" w:eastAsia="Times New Roman" w:hAnsi="Times New Roman" w:cs="Times New Roman"/>
          <w:i/>
          <w:iCs/>
          <w:color w:val="1E1C18"/>
          <w:szCs w:val="24"/>
        </w:rPr>
      </w:pPr>
      <w:r>
        <w:rPr>
          <w:rFonts w:ascii="Times New Roman" w:eastAsia="Times New Roman" w:hAnsi="Times New Roman" w:cs="Times New Roman"/>
          <w:i/>
          <w:iCs/>
          <w:color w:val="1E1C18"/>
          <w:szCs w:val="24"/>
        </w:rPr>
        <w:t>A wonderful business at too high a price is not a good investment; this is the mechanism that keeps that distinction from being argued away by enthusiasm.</w:t>
      </w:r>
    </w:p>
    <w:p w14:paraId="76F0C575" w14:textId="77777777"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 xml:space="preserve">Two thresholds do the quietest work here. The </w:t>
      </w:r>
      <w:r>
        <w:rPr>
          <w:rFonts w:ascii="Times New Roman" w:eastAsia="Times New Roman" w:hAnsi="Times New Roman" w:cs="Times New Roman"/>
          <w:b/>
          <w:bCs/>
          <w:szCs w:val="24"/>
        </w:rPr>
        <w:t>base-case projection</w:t>
      </w:r>
      <w:r>
        <w:rPr>
          <w:rFonts w:ascii="Times New Roman" w:eastAsia="Times New Roman" w:hAnsi="Times New Roman" w:cs="Times New Roman"/>
          <w:szCs w:val="24"/>
        </w:rPr>
        <w:t xml:space="preserve"> must clear ten percent (10%) annualized, or the idea does not qualify no matter how strong its score. The </w:t>
      </w:r>
      <w:r>
        <w:rPr>
          <w:rFonts w:ascii="Times New Roman" w:eastAsia="Times New Roman" w:hAnsi="Times New Roman" w:cs="Times New Roman"/>
          <w:b/>
          <w:bCs/>
          <w:szCs w:val="24"/>
        </w:rPr>
        <w:t>bear case</w:t>
      </w:r>
      <w:r>
        <w:rPr>
          <w:rFonts w:ascii="Times New Roman" w:eastAsia="Times New Roman" w:hAnsi="Times New Roman" w:cs="Times New Roman"/>
          <w:szCs w:val="24"/>
        </w:rPr>
        <w:t xml:space="preserve"> — the same projection run on materially worse assumptions — must still clear zero percent (0%), or the position is not entered regardless of how attractive the base case or the composite score looks. A separate, </w:t>
      </w:r>
      <w:r>
        <w:rPr>
          <w:rFonts w:ascii="Times New Roman" w:eastAsia="Times New Roman" w:hAnsi="Times New Roman" w:cs="Times New Roman"/>
          <w:b/>
          <w:bCs/>
          <w:szCs w:val="24"/>
        </w:rPr>
        <w:t>absolute valuation</w:t>
      </w:r>
      <w:r>
        <w:rPr>
          <w:rFonts w:ascii="Times New Roman" w:eastAsia="Times New Roman" w:hAnsi="Times New Roman" w:cs="Times New Roman"/>
          <w:szCs w:val="24"/>
        </w:rPr>
        <w:t xml:space="preserve"> ceiling blocks new purchases above fifty times (50x) </w:t>
      </w:r>
      <w:r>
        <w:rPr>
          <w:rFonts w:ascii="Times New Roman" w:eastAsia="Times New Roman" w:hAnsi="Times New Roman" w:cs="Times New Roman"/>
          <w:b/>
          <w:bCs/>
          <w:szCs w:val="24"/>
        </w:rPr>
        <w:t>free cash flow</w:t>
      </w:r>
      <w:r>
        <w:rPr>
          <w:rFonts w:ascii="Times New Roman" w:eastAsia="Times New Roman" w:hAnsi="Times New Roman" w:cs="Times New Roman"/>
          <w:szCs w:val="24"/>
        </w:rPr>
        <w:t xml:space="preserve"> — roughly, a business priced so richly that its own cash flow would need half a century to repay the purchase — unless both extraordinary, documented growth and a passing bear case are present. No combination of otherwise-strong scores can override either threshold.</w:t>
      </w:r>
    </w:p>
    <w:p w14:paraId="0DD4161D" w14:textId="77777777" w:rsidR="00C00B6D" w:rsidRPr="00C00B6D" w:rsidRDefault="00C00B6D" w:rsidP="00C00B6D">
      <w:pPr>
        <w:spacing w:after="0"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Even a cleared purchase is staged, not executed all at once. If a stock is trading below its long-term price trend, the initial purchase is automatically halved and a technical re-review is scheduled — not because the fundamental case is wrong, but because paying a known price for uncertain near-term timing is itself a risk worth managing explicitly.</w:t>
      </w:r>
    </w:p>
    <w:p w14:paraId="1C610CB6" w14:textId="77777777" w:rsidR="00C00B6D" w:rsidRPr="00C00B6D" w:rsidRDefault="00C00B6D" w:rsidP="00DF1E5A">
      <w:pPr>
        <w:pStyle w:val="Heading1"/>
      </w:pPr>
      <w:r>
        <w:t>Sizing conviction, capping regret</w:t>
      </w:r>
    </w:p>
    <w:p w14:paraId="5231621B" w14:textId="77777777"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 xml:space="preserve">Position sizing follows directly from conviction, within hard limits: a </w:t>
      </w:r>
      <w:r>
        <w:rPr>
          <w:rFonts w:ascii="Times New Roman" w:eastAsia="Times New Roman" w:hAnsi="Times New Roman" w:cs="Times New Roman"/>
          <w:b/>
          <w:bCs/>
          <w:szCs w:val="24"/>
        </w:rPr>
        <w:t>Strong Buy</w:t>
      </w:r>
      <w:r>
        <w:rPr>
          <w:rFonts w:ascii="Times New Roman" w:eastAsia="Times New Roman" w:hAnsi="Times New Roman" w:cs="Times New Roman"/>
          <w:szCs w:val="24"/>
        </w:rPr>
        <w:t xml:space="preserve"> can reach five percent  (5%) of the portfolio initially and eight percent (8%) fully invested; a </w:t>
      </w:r>
      <w:r>
        <w:rPr>
          <w:rFonts w:ascii="Times New Roman" w:eastAsia="Times New Roman" w:hAnsi="Times New Roman" w:cs="Times New Roman"/>
          <w:b/>
          <w:bCs/>
          <w:szCs w:val="24"/>
        </w:rPr>
        <w:t>Buy</w:t>
      </w:r>
      <w:r>
        <w:rPr>
          <w:rFonts w:ascii="Times New Roman" w:eastAsia="Times New Roman" w:hAnsi="Times New Roman" w:cs="Times New Roman"/>
          <w:szCs w:val="24"/>
        </w:rPr>
        <w:t xml:space="preserve"> tops out at three and five percent (3% and 5%). No single sector may exceed twenty-five percent (25%) of the portfolio, and the System maintains a standing </w:t>
      </w:r>
      <w:r>
        <w:rPr>
          <w:rFonts w:ascii="Times New Roman" w:eastAsia="Times New Roman" w:hAnsi="Times New Roman" w:cs="Times New Roman"/>
          <w:b/>
          <w:bCs/>
          <w:szCs w:val="24"/>
        </w:rPr>
        <w:t>cash reserve</w:t>
      </w:r>
      <w:r>
        <w:rPr>
          <w:rFonts w:ascii="Times New Roman" w:eastAsia="Times New Roman" w:hAnsi="Times New Roman" w:cs="Times New Roman"/>
          <w:szCs w:val="24"/>
        </w:rPr>
        <w:t xml:space="preserve"> of five to fifteen percent (5%-15%) for both flexibility and downside </w:t>
      </w:r>
      <w:r>
        <w:rPr>
          <w:rFonts w:ascii="Times New Roman" w:eastAsia="Times New Roman" w:hAnsi="Times New Roman" w:cs="Times New Roman"/>
          <w:szCs w:val="24"/>
        </w:rPr>
        <w:lastRenderedPageBreak/>
        <w:t xml:space="preserve">protection. A handful of modifiers adjust sizing further — </w:t>
      </w:r>
      <w:r>
        <w:rPr>
          <w:rFonts w:ascii="Times New Roman" w:eastAsia="Times New Roman" w:hAnsi="Times New Roman" w:cs="Times New Roman"/>
          <w:b/>
          <w:bCs/>
          <w:szCs w:val="24"/>
        </w:rPr>
        <w:t>insider buying</w:t>
      </w:r>
      <w:r>
        <w:rPr>
          <w:rFonts w:ascii="Times New Roman" w:eastAsia="Times New Roman" w:hAnsi="Times New Roman" w:cs="Times New Roman"/>
          <w:szCs w:val="24"/>
        </w:rPr>
        <w:t xml:space="preserve"> nudges it up slightly, </w:t>
      </w:r>
      <w:r>
        <w:rPr>
          <w:rFonts w:ascii="Times New Roman" w:eastAsia="Times New Roman" w:hAnsi="Times New Roman" w:cs="Times New Roman"/>
          <w:b/>
          <w:bCs/>
          <w:szCs w:val="24"/>
        </w:rPr>
        <w:t xml:space="preserve">excessive leverage </w:t>
      </w:r>
      <w:r>
        <w:rPr>
          <w:rFonts w:ascii="Times New Roman" w:eastAsia="Times New Roman" w:hAnsi="Times New Roman" w:cs="Times New Roman"/>
          <w:szCs w:val="24"/>
        </w:rPr>
        <w:t xml:space="preserve">or </w:t>
      </w:r>
      <w:r>
        <w:rPr>
          <w:rFonts w:ascii="Times New Roman" w:eastAsia="Times New Roman" w:hAnsi="Times New Roman" w:cs="Times New Roman"/>
          <w:b/>
          <w:bCs/>
          <w:szCs w:val="24"/>
        </w:rPr>
        <w:t>customer concentration</w:t>
      </w:r>
      <w:r>
        <w:rPr>
          <w:rFonts w:ascii="Times New Roman" w:eastAsia="Times New Roman" w:hAnsi="Times New Roman" w:cs="Times New Roman"/>
          <w:szCs w:val="24"/>
        </w:rPr>
        <w:t xml:space="preserve"> nudges it down — but none can breach the hard caps above them.</w:t>
      </w:r>
    </w:p>
    <w:p w14:paraId="4B8D844B" w14:textId="77777777" w:rsidR="00824D1B" w:rsidRDefault="00C00B6D" w:rsidP="00824D1B">
      <w:pPr>
        <w:spacing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 xml:space="preserve">What is more interesting than the caps themselves is what the System refuses to do to satisfy them. A stated floor of twelve (12) portfolio positions exists to enforce diversification, but the rule </w:t>
      </w:r>
      <w:r>
        <w:rPr>
          <w:rFonts w:ascii="Times New Roman" w:eastAsia="Times New Roman" w:hAnsi="Times New Roman" w:cs="Times New Roman"/>
          <w:szCs w:val="24"/>
          <w:u w:val="single"/>
        </w:rPr>
        <w:t>explicitly forbids lowering the qualifying score threshold to hit that number</w:t>
      </w:r>
      <w:r>
        <w:rPr>
          <w:rFonts w:ascii="Times New Roman" w:eastAsia="Times New Roman" w:hAnsi="Times New Roman" w:cs="Times New Roman"/>
          <w:szCs w:val="24"/>
        </w:rPr>
        <w:t xml:space="preserve">: if fewer than twelve (12) businesses currently qualify, the difference sits in cash. This is a harder discipline to maintain than it sounds, because the pressure to be “fully invested” is constant and the appearance of idle cash is uncomfortable — precisely why it needed to be a written rule rather than a preference. </w:t>
      </w:r>
    </w:p>
    <w:p w14:paraId="0F190CF6" w14:textId="3C646FE4" w:rsidR="00C00B6D" w:rsidRPr="00C00B6D" w:rsidRDefault="00C00B6D" w:rsidP="00C00B6D">
      <w:pPr>
        <w:spacing w:after="0"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 xml:space="preserve">Worth noting plainly: the arithmetic of twelve positions at an eight percent (8%) cap, with five to fifteen percent (5% </w:t>
      </w:r>
      <w:r>
        <w:rPr>
          <w:rFonts w:ascii="Times New Roman" w:eastAsia="Times New Roman" w:hAnsi="Times New Roman" w:cs="Times New Roman"/>
          <w:szCs w:val="24"/>
        </w:rPr>
        <w:t>to 15</w:t>
      </w:r>
      <w:r>
        <w:rPr>
          <w:rFonts w:ascii="Times New Roman" w:eastAsia="Times New Roman" w:hAnsi="Times New Roman" w:cs="Times New Roman"/>
          <w:szCs w:val="24"/>
        </w:rPr>
        <w:t>%) held back in cash, cannot on its own reach full investment — in practice, staying within every rule at once usually calls for somewhat more than twelve (12) names, not exactly twelve.</w:t>
      </w:r>
    </w:p>
    <w:p w14:paraId="4F12F96E" w14:textId="77777777" w:rsidR="00C00B6D" w:rsidRPr="00C00B6D" w:rsidRDefault="00C00B6D" w:rsidP="00DF1E5A">
      <w:pPr>
        <w:pStyle w:val="Heading1"/>
      </w:pPr>
      <w:r>
        <w:t>The harder half: knowing when not to sell</w:t>
      </w:r>
    </w:p>
    <w:p w14:paraId="25F7D66A" w14:textId="77777777"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Most investment commentary describes buying at length and selling barely at all. The Landry System devotes comparable rigor to the opposite half of the discipline, and this is arguably where it earns its keep.</w:t>
      </w:r>
    </w:p>
    <w:p w14:paraId="2FE9781A" w14:textId="77777777" w:rsidR="00824D1B"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Five (5) fundamental triggers force action within thirty (30) days of confirmation:</w:t>
      </w:r>
    </w:p>
    <w:p w14:paraId="2AB13DE3" w14:textId="77777777" w:rsidR="00824D1B" w:rsidRDefault="00C00B6D" w:rsidP="007930BA">
      <w:pPr>
        <w:pStyle w:val="ListNumber"/>
        <w:numPr>
          <w:ilvl w:val="0"/>
          <w:numId w:val="12"/>
        </w:numPr>
        <w:rPr>
          <w:rFonts w:eastAsia="Times New Roman"/>
        </w:rPr>
      </w:pPr>
      <w:r>
        <w:rPr>
          <w:rFonts w:eastAsia="Times New Roman"/>
          <w:b/>
          <w:bCs/>
        </w:rPr>
        <w:t>Free cash flow yield</w:t>
      </w:r>
      <w:r>
        <w:rPr>
          <w:rFonts w:eastAsia="Times New Roman"/>
        </w:rPr>
        <w:t xml:space="preserve"> collapsing for two consecutive quarters;</w:t>
      </w:r>
    </w:p>
    <w:p w14:paraId="6C9FE908" w14:textId="77777777" w:rsidR="00824D1B" w:rsidRDefault="00824D1B" w:rsidP="007930BA">
      <w:pPr>
        <w:pStyle w:val="ListNumber"/>
        <w:numPr>
          <w:ilvl w:val="0"/>
          <w:numId w:val="12"/>
        </w:numPr>
        <w:rPr>
          <w:rFonts w:eastAsia="Times New Roman"/>
        </w:rPr>
      </w:pPr>
      <w:r>
        <w:rPr>
          <w:rFonts w:eastAsia="Times New Roman"/>
          <w:b/>
          <w:bCs/>
        </w:rPr>
        <w:t>Competitive moat</w:t>
      </w:r>
      <w:r>
        <w:rPr>
          <w:rFonts w:eastAsia="Times New Roman"/>
        </w:rPr>
        <w:t xml:space="preserve"> degrading from durable to absent;</w:t>
      </w:r>
    </w:p>
    <w:p w14:paraId="4DBBC141" w14:textId="77777777" w:rsidR="00824D1B" w:rsidRDefault="00824D1B" w:rsidP="007930BA">
      <w:pPr>
        <w:pStyle w:val="ListNumber"/>
        <w:numPr>
          <w:ilvl w:val="0"/>
          <w:numId w:val="12"/>
        </w:numPr>
        <w:rPr>
          <w:rFonts w:eastAsia="Times New Roman"/>
        </w:rPr>
      </w:pPr>
      <w:r>
        <w:rPr>
          <w:rFonts w:eastAsia="Times New Roman"/>
          <w:b/>
          <w:bCs/>
        </w:rPr>
        <w:t>Returns on</w:t>
      </w:r>
      <w:r>
        <w:rPr>
          <w:rFonts w:eastAsia="Times New Roman"/>
        </w:rPr>
        <w:t xml:space="preserve"> </w:t>
      </w:r>
      <w:r>
        <w:rPr>
          <w:rFonts w:eastAsia="Times New Roman"/>
          <w:b/>
          <w:bCs/>
        </w:rPr>
        <w:t>invested capital</w:t>
      </w:r>
      <w:r>
        <w:rPr>
          <w:rFonts w:eastAsia="Times New Roman"/>
        </w:rPr>
        <w:t xml:space="preserve"> falling below the </w:t>
      </w:r>
      <w:r>
        <w:rPr>
          <w:rFonts w:eastAsia="Times New Roman"/>
          <w:b/>
          <w:bCs/>
        </w:rPr>
        <w:t>cost of that capital</w:t>
      </w:r>
      <w:r>
        <w:rPr>
          <w:rFonts w:eastAsia="Times New Roman"/>
        </w:rPr>
        <w:t xml:space="preserve"> for two straight years;</w:t>
      </w:r>
    </w:p>
    <w:p w14:paraId="36F1C34A" w14:textId="77777777" w:rsidR="00664EE6" w:rsidRDefault="00824D1B" w:rsidP="007930BA">
      <w:pPr>
        <w:pStyle w:val="ListNumber"/>
        <w:numPr>
          <w:ilvl w:val="0"/>
          <w:numId w:val="12"/>
        </w:numPr>
        <w:rPr>
          <w:rFonts w:eastAsia="Times New Roman"/>
        </w:rPr>
      </w:pPr>
      <w:r>
        <w:rPr>
          <w:rFonts w:eastAsia="Times New Roman"/>
          <w:b/>
          <w:bCs/>
        </w:rPr>
        <w:t>Capital allocation</w:t>
      </w:r>
      <w:r>
        <w:rPr>
          <w:rFonts w:eastAsia="Times New Roman"/>
        </w:rPr>
        <w:t xml:space="preserve"> turning value-destructive;</w:t>
      </w:r>
    </w:p>
    <w:p w14:paraId="73DDBE34" w14:textId="77777777" w:rsidR="00664EE6" w:rsidRDefault="00664EE6" w:rsidP="007930BA">
      <w:pPr>
        <w:pStyle w:val="ListNumber"/>
        <w:numPr>
          <w:ilvl w:val="0"/>
          <w:numId w:val="12"/>
        </w:numPr>
        <w:rPr>
          <w:rFonts w:eastAsia="Times New Roman"/>
        </w:rPr>
      </w:pPr>
      <w:r>
        <w:rPr>
          <w:rFonts w:eastAsia="Times New Roman"/>
          <w:b/>
          <w:bCs/>
        </w:rPr>
        <w:t>Revenue growth</w:t>
      </w:r>
      <w:r>
        <w:rPr>
          <w:rFonts w:eastAsia="Times New Roman"/>
        </w:rPr>
        <w:t xml:space="preserve"> turning negative for two consecutive quarters without a credible cyclical explanation. </w:t>
      </w:r>
    </w:p>
    <w:p w14:paraId="1CD6C64E" w14:textId="77777777" w:rsidR="00C00B6D" w:rsidRPr="00824D1B" w:rsidRDefault="00C00B6D" w:rsidP="00664EE6">
      <w:pPr>
        <w:pStyle w:val="ListNumber"/>
        <w:numPr>
          <w:ilvl w:val="0"/>
          <w:numId w:val="0"/>
        </w:numPr>
        <w:spacing w:before="240"/>
        <w:contextualSpacing w:val="0"/>
        <w:rPr>
          <w:rFonts w:eastAsia="Times New Roman"/>
        </w:rPr>
      </w:pPr>
      <w:r>
        <w:rPr>
          <w:rFonts w:eastAsia="Times New Roman"/>
        </w:rPr>
        <w:t xml:space="preserve">A </w:t>
      </w:r>
      <w:r>
        <w:rPr>
          <w:rFonts w:eastAsia="Times New Roman"/>
          <w:b/>
          <w:bCs/>
        </w:rPr>
        <w:t>composite score</w:t>
      </w:r>
      <w:r>
        <w:rPr>
          <w:rFonts w:eastAsia="Times New Roman"/>
        </w:rPr>
        <w:t xml:space="preserve"> sliding into the 35–49 range triggers a formal exit review with a dated ninety-day (90-day) path back to health, or a sale within thirty (30) days if no credible path exists. Below 35, the position is sold within thirty (30) days, full stop.</w:t>
      </w:r>
    </w:p>
    <w:p w14:paraId="76826A16" w14:textId="77777777" w:rsidR="00664EE6"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Just as explicitly, the System names five conditions under which a position should </w:t>
      </w:r>
      <w:r>
        <w:rPr>
          <w:rFonts w:ascii="Times New Roman" w:eastAsia="Times New Roman" w:hAnsi="Times New Roman" w:cs="Times New Roman"/>
          <w:i/>
          <w:iCs/>
          <w:szCs w:val="24"/>
        </w:rPr>
        <w:t>not</w:t>
      </w:r>
      <w:r>
        <w:rPr>
          <w:rFonts w:ascii="Times New Roman" w:eastAsia="Times New Roman" w:hAnsi="Times New Roman" w:cs="Times New Roman"/>
          <w:szCs w:val="24"/>
        </w:rPr>
        <w:t xml:space="preserve"> be sold: </w:t>
      </w:r>
    </w:p>
    <w:p w14:paraId="042CC056" w14:textId="742564DA" w:rsidR="00664EE6" w:rsidRDefault="00664EE6" w:rsidP="007930BA">
      <w:pPr>
        <w:pStyle w:val="ListNumber"/>
        <w:numPr>
          <w:ilvl w:val="0"/>
          <w:numId w:val="13"/>
        </w:numPr>
        <w:rPr>
          <w:rFonts w:eastAsia="Times New Roman"/>
        </w:rPr>
      </w:pPr>
      <w:r>
        <w:rPr>
          <w:rFonts w:eastAsia="Times New Roman"/>
        </w:rPr>
        <w:t>Short-term price decline of twenty to thirty percent (20% to 30%) with fundamentals unchanged;</w:t>
      </w:r>
    </w:p>
    <w:p w14:paraId="43DB5DC3" w14:textId="77777777" w:rsidR="00664EE6" w:rsidRDefault="00664EE6" w:rsidP="007930BA">
      <w:pPr>
        <w:pStyle w:val="ListNumber"/>
        <w:numPr>
          <w:ilvl w:val="0"/>
          <w:numId w:val="13"/>
        </w:numPr>
        <w:rPr>
          <w:rFonts w:eastAsia="Times New Roman"/>
        </w:rPr>
      </w:pPr>
      <w:r>
        <w:rPr>
          <w:rFonts w:eastAsia="Times New Roman"/>
        </w:rPr>
        <w:t>Single earnings miss;</w:t>
      </w:r>
    </w:p>
    <w:p w14:paraId="51A8D65C" w14:textId="77777777" w:rsidR="00664EE6" w:rsidRDefault="00664EE6" w:rsidP="007930BA">
      <w:pPr>
        <w:pStyle w:val="ListNumber"/>
        <w:numPr>
          <w:ilvl w:val="0"/>
          <w:numId w:val="13"/>
        </w:numPr>
        <w:rPr>
          <w:rFonts w:eastAsia="Times New Roman"/>
        </w:rPr>
      </w:pPr>
      <w:r>
        <w:rPr>
          <w:rFonts w:eastAsia="Times New Roman"/>
        </w:rPr>
        <w:t>Analyst downgrades (a lagging indicator, by the System’s own description);</w:t>
      </w:r>
    </w:p>
    <w:p w14:paraId="55345D10" w14:textId="77777777" w:rsidR="00664EE6" w:rsidRDefault="00664EE6" w:rsidP="007930BA">
      <w:pPr>
        <w:pStyle w:val="ListNumber"/>
        <w:numPr>
          <w:ilvl w:val="0"/>
          <w:numId w:val="13"/>
        </w:numPr>
        <w:rPr>
          <w:rFonts w:eastAsia="Times New Roman"/>
        </w:rPr>
      </w:pPr>
      <w:r>
        <w:rPr>
          <w:rFonts w:eastAsia="Times New Roman"/>
        </w:rPr>
        <w:t xml:space="preserve">Broad market sell-off; and </w:t>
      </w:r>
    </w:p>
    <w:p w14:paraId="54E32041" w14:textId="77777777" w:rsidR="00C00B6D" w:rsidRPr="00664EE6" w:rsidRDefault="00664EE6" w:rsidP="007930BA">
      <w:pPr>
        <w:pStyle w:val="ListNumber"/>
        <w:numPr>
          <w:ilvl w:val="0"/>
          <w:numId w:val="13"/>
        </w:numPr>
        <w:rPr>
          <w:rFonts w:eastAsia="Times New Roman"/>
        </w:rPr>
      </w:pPr>
      <w:r>
        <w:rPr>
          <w:rFonts w:eastAsia="Times New Roman"/>
        </w:rPr>
        <w:t>Negative press absent any change in the underlying facts.</w:t>
      </w:r>
    </w:p>
    <w:p w14:paraId="2859379B" w14:textId="77777777" w:rsidR="00C00B6D" w:rsidRPr="00C00B6D" w:rsidRDefault="00C00B6D" w:rsidP="00C00B6D">
      <w:pPr>
        <w:spacing w:after="0" w:line="240" w:lineRule="auto"/>
        <w:contextualSpacing w:val="0"/>
        <w:rPr>
          <w:rFonts w:ascii="Times New Roman" w:eastAsia="Times New Roman" w:hAnsi="Times New Roman" w:cs="Times New Roman"/>
          <w:i/>
          <w:iCs/>
          <w:color w:val="1E1C18"/>
          <w:szCs w:val="24"/>
        </w:rPr>
      </w:pPr>
      <w:r>
        <w:rPr>
          <w:rFonts w:ascii="Times New Roman" w:eastAsia="Times New Roman" w:hAnsi="Times New Roman" w:cs="Times New Roman"/>
          <w:i/>
          <w:iCs/>
          <w:color w:val="1E1C18"/>
          <w:szCs w:val="24"/>
        </w:rPr>
        <w:t>This is the codified answer to the single most expensive mistake in long-term investing — mistaking a painful price for new information.</w:t>
      </w:r>
    </w:p>
    <w:p w14:paraId="01B6EE8F" w14:textId="77777777"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Writing the exceptions down in advance, with the same authority as the sell triggers themselves, is what keeps this half of the discipline from collapsing under pressure exactly when it is needed most.</w:t>
      </w:r>
    </w:p>
    <w:p w14:paraId="61EA8EBB" w14:textId="77777777" w:rsidR="00664EE6" w:rsidRDefault="00C00B6D" w:rsidP="00664EE6">
      <w:pPr>
        <w:spacing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 xml:space="preserve">A narrower rule, tightly gated, allows a genuinely superior opportunity to displace a weaker holding. Four (4) conditions must all hold: </w:t>
      </w:r>
    </w:p>
    <w:p w14:paraId="7E729145" w14:textId="77777777" w:rsidR="00664EE6" w:rsidRDefault="00664EE6" w:rsidP="00664EE6">
      <w:pPr>
        <w:pStyle w:val="ListNumber"/>
        <w:numPr>
          <w:ilvl w:val="0"/>
          <w:numId w:val="11"/>
        </w:numPr>
        <w:rPr>
          <w:rFonts w:eastAsia="Times New Roman"/>
        </w:rPr>
      </w:pPr>
      <w:r>
        <w:rPr>
          <w:rFonts w:eastAsia="Times New Roman"/>
        </w:rPr>
        <w:t xml:space="preserve">New candidate business has cleared the full entry process on its own merits; </w:t>
      </w:r>
    </w:p>
    <w:p w14:paraId="0C3C0625" w14:textId="77777777" w:rsidR="00664EE6" w:rsidRDefault="00664EE6" w:rsidP="00664EE6">
      <w:pPr>
        <w:pStyle w:val="ListNumber"/>
        <w:numPr>
          <w:ilvl w:val="0"/>
          <w:numId w:val="11"/>
        </w:numPr>
        <w:rPr>
          <w:rFonts w:eastAsia="Times New Roman"/>
        </w:rPr>
      </w:pPr>
      <w:r>
        <w:rPr>
          <w:rFonts w:eastAsia="Times New Roman"/>
        </w:rPr>
        <w:lastRenderedPageBreak/>
        <w:t xml:space="preserve">Composite-score gap is at least fifteen (15) points and has persisted across two consecutive quarterly re-scores – not just one attractive moment; </w:t>
      </w:r>
    </w:p>
    <w:p w14:paraId="75C47981" w14:textId="77777777" w:rsidR="00664EE6" w:rsidRDefault="00664EE6" w:rsidP="00664EE6">
      <w:pPr>
        <w:pStyle w:val="ListNumber"/>
        <w:numPr>
          <w:ilvl w:val="0"/>
          <w:numId w:val="11"/>
        </w:numPr>
        <w:rPr>
          <w:rFonts w:eastAsia="Times New Roman"/>
        </w:rPr>
      </w:pPr>
      <w:r>
        <w:rPr>
          <w:rFonts w:eastAsia="Times New Roman"/>
        </w:rPr>
        <w:t xml:space="preserve">Existing holding is not protected by one of the hold-through conditions above; and </w:t>
      </w:r>
    </w:p>
    <w:p w14:paraId="0D762F52" w14:textId="77777777" w:rsidR="00664EE6" w:rsidRDefault="00664EE6" w:rsidP="00664EE6">
      <w:pPr>
        <w:pStyle w:val="ListNumber"/>
        <w:numPr>
          <w:ilvl w:val="0"/>
          <w:numId w:val="11"/>
        </w:numPr>
        <w:contextualSpacing w:val="0"/>
        <w:rPr>
          <w:rFonts w:eastAsia="Times New Roman"/>
        </w:rPr>
      </w:pPr>
      <w:r>
        <w:rPr>
          <w:rFonts w:eastAsia="Times New Roman"/>
        </w:rPr>
        <w:t xml:space="preserve">Available cash is genuinely insufficient without a sale. </w:t>
      </w:r>
    </w:p>
    <w:p w14:paraId="0A020E05" w14:textId="77777777" w:rsidR="00C00B6D" w:rsidRPr="00664EE6" w:rsidRDefault="00C00B6D" w:rsidP="00664EE6">
      <w:pPr>
        <w:pStyle w:val="ListNumber"/>
        <w:numPr>
          <w:ilvl w:val="0"/>
          <w:numId w:val="0"/>
        </w:numPr>
        <w:rPr>
          <w:rFonts w:eastAsia="Times New Roman"/>
        </w:rPr>
      </w:pPr>
      <w:r>
        <w:rPr>
          <w:rFonts w:eastAsia="Times New Roman"/>
        </w:rPr>
        <w:t>Even then, it may be invoked only once per holding per year. The System permits upgrading — but only slowly enough that upgrading cannot be mistaken for performance-chasing.</w:t>
      </w:r>
    </w:p>
    <w:p w14:paraId="0BE09642" w14:textId="77777777" w:rsidR="00C00B6D" w:rsidRPr="00C00B6D" w:rsidRDefault="00C00B6D" w:rsidP="00DF1E5A">
      <w:pPr>
        <w:pStyle w:val="Heading1"/>
      </w:pPr>
      <w:r>
        <w:t>Seeing the portfolio, not just the positions</w:t>
      </w:r>
    </w:p>
    <w:p w14:paraId="41F11D8B" w14:textId="77777777"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 xml:space="preserve">A collection of individually excellent positions can still be a poorly constructed portfolio, and the System addresses this at the aggregate level, separately from anything a single stock’s score can capture. Every quarter, </w:t>
      </w:r>
      <w:r>
        <w:rPr>
          <w:rFonts w:ascii="Times New Roman" w:eastAsia="Times New Roman" w:hAnsi="Times New Roman" w:cs="Times New Roman"/>
          <w:b/>
          <w:bCs/>
          <w:szCs w:val="24"/>
        </w:rPr>
        <w:t>pairwise correlations</w:t>
      </w:r>
      <w:r>
        <w:rPr>
          <w:rFonts w:ascii="Times New Roman" w:eastAsia="Times New Roman" w:hAnsi="Times New Roman" w:cs="Times New Roman"/>
          <w:szCs w:val="24"/>
        </w:rPr>
        <w:t xml:space="preserve"> across holdings are calculated on weekly returns over as much as three (3) years of history — correlation being a simple measure, running from −1 to 1, of how closely two (2) things move together. Any cluster of three (3) or more positions correlating above 0.70 – meaning they nearly move in lockstep, is flagged as effectively one bet rather than several genuinely different ones: capped at twenty percent (20%) of the portfolio in aggregate, with any new position that would expand the cluster automatically halved in size. This exists because sector labels are an imperfect proxy for what actually moves together — two (2) businesses in entirely different industries can still share the same underlying driver, usually discovered only when both fall on the same day for the same reason.</w:t>
      </w:r>
    </w:p>
    <w:p w14:paraId="5A0746D8" w14:textId="77777777" w:rsidR="00C00B6D" w:rsidRPr="00C00B6D" w:rsidRDefault="00C00B6D" w:rsidP="00C00B6D">
      <w:pPr>
        <w:spacing w:after="0"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 xml:space="preserve">A parallel mechanism responds to realized portfolio-level losses directly, independent of cause — what the System calls </w:t>
      </w:r>
      <w:r>
        <w:rPr>
          <w:rFonts w:ascii="Times New Roman" w:eastAsia="Times New Roman" w:hAnsi="Times New Roman" w:cs="Times New Roman"/>
          <w:b/>
          <w:bCs/>
          <w:szCs w:val="24"/>
        </w:rPr>
        <w:t>drawdown</w:t>
      </w:r>
      <w:r>
        <w:rPr>
          <w:rFonts w:ascii="Times New Roman" w:eastAsia="Times New Roman" w:hAnsi="Times New Roman" w:cs="Times New Roman"/>
          <w:szCs w:val="24"/>
        </w:rPr>
        <w:t>, the decline from the portfolio’s highest-ever value. As that decline deepens, required cash reserves step up and new position sizing tightens or halts — with a five-day (5-day) confirmation before tightening and a ten-day (10-day) confirmation before easing back, specifically to prevent the response from whipsawing on ordinary volatility. Existing, fundamentally sound positions stay protected through most of this range by the hold-through rules above. This mechanism mainly governs new deployment, not routine liquidation of what is already owned. Only at the most severe band – if losses persist there for weeks with a documented review finding the portfolio’s risk still excessive – can it require trimming a position that would otherwise be left alone.</w:t>
      </w:r>
    </w:p>
    <w:p w14:paraId="6435B524" w14:textId="77777777" w:rsidR="00C00B6D" w:rsidRPr="00C00B6D" w:rsidRDefault="00C00B6D" w:rsidP="00DF1E5A">
      <w:pPr>
        <w:pStyle w:val="Heading1"/>
      </w:pPr>
      <w:r>
        <w:t>Taxes: how, not whether</w:t>
      </w:r>
    </w:p>
    <w:p w14:paraId="7B731CC3" w14:textId="77777777" w:rsidR="00C00B6D" w:rsidRPr="00C00B6D" w:rsidRDefault="00C00B6D" w:rsidP="00C00B6D">
      <w:pPr>
        <w:spacing w:after="0"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 xml:space="preserve">For taxable capital, the System treats </w:t>
      </w:r>
      <w:r>
        <w:rPr>
          <w:rFonts w:ascii="Times New Roman" w:eastAsia="Times New Roman" w:hAnsi="Times New Roman" w:cs="Times New Roman"/>
          <w:b/>
          <w:bCs/>
          <w:szCs w:val="24"/>
        </w:rPr>
        <w:t>tax efficiency</w:t>
      </w:r>
      <w:r>
        <w:rPr>
          <w:rFonts w:ascii="Times New Roman" w:eastAsia="Times New Roman" w:hAnsi="Times New Roman" w:cs="Times New Roman"/>
          <w:szCs w:val="24"/>
        </w:rPr>
        <w:t xml:space="preserve"> as a genuine consideration — but a strictly secondary one. A discretionary trim may be delayed up to thirty (30) days to let a position cross into long-term treatment, provided no hard rule is violated by waiting. Losses may be harvested opportunistically from underwater or probationary positions, replaced with something economically similar but not identical – a close industry peer, say, rather than a repurchase of the same security – and coordinated across a household’s full set of accounts. What the System will not do is let a tax consideration originate a trade on its own, or delay a sale that deteriorating fundamentals have already mandated. The framing throughout is how a trade is executed, never whether it happens – a distinction that matters enormously to an affluent household and is easy to blur without a rule this explicit.</w:t>
      </w:r>
    </w:p>
    <w:p w14:paraId="0A235A42" w14:textId="77777777" w:rsidR="00C00B6D" w:rsidRPr="00C00B6D" w:rsidRDefault="00C00B6D" w:rsidP="00DF1E5A">
      <w:pPr>
        <w:pStyle w:val="Heading1"/>
      </w:pPr>
      <w:r>
        <w:t>A system built to correct itself slowly</w:t>
      </w:r>
    </w:p>
    <w:p w14:paraId="094A3B5F" w14:textId="77777777"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 xml:space="preserve">Perhaps the most telling section of the System is the one governing how it is allowed to change. Indicator weights may be revisited only once every two (2) years, and only with documented evidence drawn from multiple positions over time – a single painful loss or a single lucky win is explicitly disqualified as grounds for revision. Full portfolio re-scoring happens annually: any loss exceeding twenty percent (20%) from cost triggers a mandatory post-mortem. Performance itself is judged in cohorts – groups of positions that entered </w:t>
      </w:r>
      <w:r>
        <w:rPr>
          <w:rFonts w:ascii="Times New Roman" w:eastAsia="Times New Roman" w:hAnsi="Times New Roman" w:cs="Times New Roman"/>
          <w:szCs w:val="24"/>
        </w:rPr>
        <w:lastRenderedPageBreak/>
        <w:t>at a similar score, tracked together – not in anecdotes. A full evaluation of how a given score tier has performed requires at least ten (10) completed five-year (5-year) holding periods within that tier before any structural conclusion is drawn.</w:t>
      </w:r>
    </w:p>
    <w:p w14:paraId="7FD4511F" w14:textId="77777777" w:rsidR="00C00B6D" w:rsidRPr="00C00B6D" w:rsidRDefault="00C00B6D" w:rsidP="00C00B6D">
      <w:pPr>
        <w:spacing w:after="0"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This is a demanding standard, and a deliberate one. It is the same statistical caution a disciplined research team applies before revising a live model: change should follow a pattern, not a moment. A framework willing to sit on its hands after a single bad quarter, waiting for real evidence before touching anything, is behaving exactly as its own principles demand – even when doing so is uncomfortable.</w:t>
      </w:r>
    </w:p>
    <w:p w14:paraId="0F391983" w14:textId="77777777" w:rsidR="00C00B6D" w:rsidRPr="00C00B6D" w:rsidRDefault="00C00B6D" w:rsidP="00DF1E5A">
      <w:pPr>
        <w:pStyle w:val="Heading1"/>
      </w:pPr>
      <w:r>
        <w:t>The honest answer to “does it work?”</w:t>
      </w:r>
    </w:p>
    <w:p w14:paraId="1C9464D3" w14:textId="77777777"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This is the question every serious investor should ask, and it deserves a direct answer rather than a reassuring one.</w:t>
      </w:r>
    </w:p>
    <w:p w14:paraId="03ECA8E8" w14:textId="77777777"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Every individual mechanism inside the Landry System rests on a well-tested foundation. The persistence of business quality, the long-run outperformance of disciplined valuation over narrative-driven buying, the danger of hidden correlation inside an apparently diversified portfolio, the value of after-tax rather than pre-tax return – none of this is speculative. The cost of panic-selling and overtrading in particular is one of the more consistently observed patterns in individual-investor behavior: investors who trade the most, on average, tend to earn the least. None of this is unique to the Landry System; it is the shared inheritance of value investing, behavioral finance, and institutional portfolio construction, applied here with unusual consistency and very few silent exceptions.</w:t>
      </w:r>
    </w:p>
    <w:p w14:paraId="29186CE0" w14:textId="77777777"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 xml:space="preserve">What cannot yet be claimed is a long, completed track record for the System as an integrated whole. Its own governing document is careful to say so: the twelve and ten percent (12% and (10%) five-year return objectives attached to its top two decision bands are described in the text itself as </w:t>
      </w:r>
      <w:r>
        <w:rPr>
          <w:rFonts w:ascii="Times New Roman" w:eastAsia="Times New Roman" w:hAnsi="Times New Roman" w:cs="Times New Roman"/>
          <w:szCs w:val="24"/>
          <w:u w:val="single"/>
        </w:rPr>
        <w:t>planning objectives</w:t>
      </w:r>
      <w:r>
        <w:rPr>
          <w:rFonts w:ascii="Times New Roman" w:eastAsia="Times New Roman" w:hAnsi="Times New Roman" w:cs="Times New Roman"/>
          <w:szCs w:val="24"/>
        </w:rPr>
        <w:t xml:space="preserve">, </w:t>
      </w:r>
      <w:r>
        <w:rPr>
          <w:rFonts w:ascii="Times New Roman" w:eastAsia="Times New Roman" w:hAnsi="Times New Roman" w:cs="Times New Roman"/>
          <w:szCs w:val="24"/>
          <w:u w:val="single"/>
        </w:rPr>
        <w:t>not guarantees</w:t>
      </w:r>
      <w:r>
        <w:rPr>
          <w:rFonts w:ascii="Times New Roman" w:eastAsia="Times New Roman" w:hAnsi="Times New Roman" w:cs="Times New Roman"/>
          <w:szCs w:val="24"/>
        </w:rPr>
        <w:t>, and the cohort-based review the System relies on to judge its own performance requires five-year (5-year) holding periods that, for a live system still in its early years, have not yet had time to mature in meaningful numbers. Several sector-specific thresholds are explicitly labeled in the source document as reasoned defaults pending confirmation, not figures derived from historical testing.</w:t>
      </w:r>
    </w:p>
    <w:p w14:paraId="2915A7BE" w14:textId="77777777" w:rsidR="00C00B6D" w:rsidRPr="00C00B6D" w:rsidRDefault="00C00B6D" w:rsidP="00C00B6D">
      <w:pPr>
        <w:spacing w:after="0" w:line="240" w:lineRule="auto"/>
        <w:contextualSpacing w:val="0"/>
        <w:rPr>
          <w:rFonts w:ascii="Times New Roman" w:eastAsia="Times New Roman" w:hAnsi="Times New Roman" w:cs="Times New Roman"/>
          <w:i/>
          <w:iCs/>
          <w:color w:val="1E1C18"/>
          <w:szCs w:val="24"/>
        </w:rPr>
      </w:pPr>
      <w:r>
        <w:rPr>
          <w:rFonts w:ascii="Times New Roman" w:eastAsia="Times New Roman" w:hAnsi="Times New Roman" w:cs="Times New Roman"/>
          <w:i/>
          <w:iCs/>
          <w:color w:val="1E1C18"/>
          <w:szCs w:val="24"/>
        </w:rPr>
        <w:t>That a governing document volunteers which of its own thresholds are unproven, rather than presenting every rule as equally settled, is unusual — and the caveat should be taken at face value, not read past.</w:t>
      </w:r>
    </w:p>
    <w:p w14:paraId="3ED0D9BF" w14:textId="77777777" w:rsidR="00150980" w:rsidRDefault="00C00B6D" w:rsidP="00150980">
      <w:pPr>
        <w:spacing w:before="100" w:beforeAutospacing="1" w:after="0"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 xml:space="preserve">Two (2) further dependencies are worth naming plainly: </w:t>
      </w:r>
    </w:p>
    <w:p w14:paraId="6D3E574A" w14:textId="77777777" w:rsidR="00150980" w:rsidRDefault="00C00B6D" w:rsidP="00150980">
      <w:pPr>
        <w:spacing w:after="0"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 xml:space="preserve">First, four of the twelve (4 of 12) scoring indicators – competitive moat, management quality, revenue visibility, and the qualitative half of free cash flow trend – are deliberately never automated. They require a genuine, recurring act of human analytical judgment, which means the System’s quality is bounded by the quality of that judgment applied consistently, not by the arithmetic around it. </w:t>
      </w:r>
    </w:p>
    <w:p w14:paraId="0BA7A919" w14:textId="77777777"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Second, a portfolio built one qualifying business at a time can still end up concentrated in a shared theme without anyone intending it – as of this writing, a handful of current holdings sit inside a semiconductor and computing-infrastructure cluster that the System’s own correlation-cap machinery exists specifically to monitor. That the System watches for this risk in its own holdings, instead of assuming diversification because the sector labels differ, is worth noting. It does not make the underlying concentration disappear.</w:t>
      </w:r>
    </w:p>
    <w:p w14:paraId="3A0ED742" w14:textId="77777777" w:rsidR="00C00B6D" w:rsidRPr="00C00B6D" w:rsidRDefault="00C00B6D" w:rsidP="00C00B6D">
      <w:pPr>
        <w:spacing w:after="0"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 xml:space="preserve">The honest summary: this is a methodology built from well-established components, assembled with real discipline and, notably, real skepticism about its own unproven parts. It has not yet had the years required to prove itself in its own terms, and it says so. Nor does it claim to be the only reasonable choice – a family uninterested in this degree of process has the plain alternative of a low-cost index fund, and the System’s implicit bet is that the added structure is worth the complexity and the occasional idle cash, not that it is </w:t>
      </w:r>
      <w:r>
        <w:rPr>
          <w:rFonts w:ascii="Times New Roman" w:eastAsia="Times New Roman" w:hAnsi="Times New Roman" w:cs="Times New Roman"/>
          <w:szCs w:val="24"/>
        </w:rPr>
        <w:lastRenderedPageBreak/>
        <w:t>guaranteed to beat a simple benchmark. What is verifiable today, for an investor or advisor deciding whether to trust it, is the architecture: real intellectual grounding, unusual structural discipline, and an honest accounting of what remains unproven. That is not a substitute for a completed track record. It is a reasonable basis for provisional confidence while the System’s own cohort-review process does its slower work.</w:t>
      </w:r>
    </w:p>
    <w:p w14:paraId="6664DB23" w14:textId="77777777" w:rsidR="00C00B6D" w:rsidRPr="00C00B6D" w:rsidRDefault="00C00B6D" w:rsidP="00DF1E5A">
      <w:pPr>
        <w:pStyle w:val="Heading1"/>
      </w:pPr>
      <w:r>
        <w:t>Who this serves</w:t>
      </w:r>
    </w:p>
    <w:p w14:paraId="4637B797" w14:textId="77777777"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The Landry System will frustrate an investor who wants excitement, who reads a down quarter as a verdict, or who wants conviction expressed as certainty. It is built for the opposite temperament: an investor with a genuinely long horizon, a comfort with cash sitting idle when the alternative means lowering a standard, and a preference for a documented reason over a persuasive feeling. For an advisor, it offers a process that can be explained, defended, and audited line by line, rather than a track record asked to speak for itself.</w:t>
      </w:r>
    </w:p>
    <w:p w14:paraId="628AE895" w14:textId="28DD6DE5" w:rsidR="00C00B6D" w:rsidRDefault="00C00B6D" w:rsidP="00C00B6D">
      <w:pPr>
        <w:spacing w:after="0" w:line="24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Its own founding language calls the objective </w:t>
      </w:r>
      <w:r>
        <w:rPr>
          <w:rFonts w:ascii="Times New Roman" w:eastAsia="Times New Roman" w:hAnsi="Times New Roman" w:cs="Times New Roman"/>
          <w:i/>
          <w:iCs/>
          <w:szCs w:val="24"/>
        </w:rPr>
        <w:t>stewardship</w:t>
      </w:r>
      <w:r>
        <w:rPr>
          <w:rFonts w:ascii="Times New Roman" w:eastAsia="Times New Roman" w:hAnsi="Times New Roman" w:cs="Times New Roman"/>
          <w:szCs w:val="24"/>
        </w:rPr>
        <w:t xml:space="preserve">: preserving, protecting, and compounding capital that represents years of work and deferred consumption, across more than one generation of decisions. Most of what has been described above is simply what that word requires once it is taken seriously – not prediction, but discipline – written down before it is needed and </w:t>
      </w:r>
      <w:proofErr w:type="gramStart"/>
      <w:r>
        <w:rPr>
          <w:rFonts w:ascii="Times New Roman" w:eastAsia="Times New Roman" w:hAnsi="Times New Roman" w:cs="Times New Roman"/>
          <w:szCs w:val="24"/>
        </w:rPr>
        <w:t>followed after</w:t>
      </w:r>
      <w:proofErr w:type="gramEnd"/>
      <w:r>
        <w:rPr>
          <w:rFonts w:ascii="Times New Roman" w:eastAsia="Times New Roman" w:hAnsi="Times New Roman" w:cs="Times New Roman"/>
          <w:szCs w:val="24"/>
        </w:rPr>
        <w:t xml:space="preserve"> it stops being comfortable.</w:t>
      </w:r>
    </w:p>
    <w:p w14:paraId="060975F9" w14:textId="77777777" w:rsidR="00E70152" w:rsidRPr="007930BA" w:rsidRDefault="00000000" w:rsidP="007930BA">
      <w:pPr>
        <w:pBdr>
          <w:top w:val="single" w:sz="4" w:space="8" w:color="BFBBAE"/>
        </w:pBdr>
        <w:spacing w:before="360" w:after="0" w:line="240" w:lineRule="auto"/>
        <w:contextualSpacing w:val="0"/>
        <w:rPr>
          <w:rFonts w:ascii="Times New Roman" w:hAnsi="Times New Roman"/>
          <w:color w:val="7A756A"/>
          <w:sz w:val="18"/>
        </w:rPr>
      </w:pPr>
      <w:r w:rsidRPr="007930BA">
        <w:rPr>
          <w:rFonts w:ascii="Times New Roman" w:hAnsi="Times New Roman"/>
          <w:color w:val="7A756A"/>
          <w:sz w:val="18"/>
        </w:rPr>
        <w:t>This is a description of a decision process, not investment advice, an offer, or a guarantee of any outcome. All investing carries risk, including loss of principal; past discipline does not assure future results.</w:t>
      </w:r>
    </w:p>
    <w:p w14:paraId="33FF7CC4" w14:textId="77777777" w:rsidR="00BC204B" w:rsidRDefault="00BC204B" w:rsidP="00C00B6D">
      <w:pPr>
        <w:spacing w:after="0" w:line="240" w:lineRule="auto"/>
        <w:contextualSpacing w:val="0"/>
        <w:rPr>
          <w:rFonts w:ascii="Times New Roman" w:eastAsia="Times New Roman" w:hAnsi="Times New Roman" w:cs="Times New Roman"/>
          <w:szCs w:val="24"/>
        </w:rPr>
      </w:pPr>
    </w:p>
    <w:p w14:paraId="6B624497" w14:textId="77777777" w:rsidR="00BC204B" w:rsidRPr="00C00B6D" w:rsidRDefault="00BC204B" w:rsidP="00C00B6D">
      <w:pPr>
        <w:spacing w:after="0" w:line="240" w:lineRule="auto"/>
        <w:contextualSpacing w:val="0"/>
        <w:rPr>
          <w:rFonts w:ascii="Times New Roman" w:eastAsia="Times New Roman" w:hAnsi="Times New Roman" w:cs="Times New Roman"/>
          <w:szCs w:val="24"/>
        </w:rPr>
      </w:pPr>
    </w:p>
    <w:p w14:paraId="33EE4972" w14:textId="77777777" w:rsidR="00DF1E5A" w:rsidRPr="00F440D0" w:rsidRDefault="00DF1E5A" w:rsidP="00F440D0">
      <w:pPr>
        <w:spacing w:before="240" w:after="0" w:line="240" w:lineRule="auto"/>
        <w:contextualSpacing w:val="0"/>
        <w:rPr>
          <w:rFonts w:ascii="Times New Roman" w:eastAsia="Times New Roman" w:hAnsi="Times New Roman" w:cs="Times New Roman"/>
          <w:szCs w:val="24"/>
        </w:rPr>
      </w:pPr>
    </w:p>
    <w:sectPr w:rsidR="00DF1E5A" w:rsidRPr="00F440D0" w:rsidSect="00383E6F">
      <w:headerReference w:type="even" r:id="rId7"/>
      <w:headerReference w:type="default" r:id="rId8"/>
      <w:footerReference w:type="even" r:id="rId9"/>
      <w:footerReference w:type="default" r:id="rId10"/>
      <w:headerReference w:type="first" r:id="rId11"/>
      <w:footerReference w:type="first" r:id="rId12"/>
      <w:pgSz w:w="12240" w:h="15840"/>
      <w:pgMar w:top="720" w:right="720" w:bottom="806" w:left="1008" w:header="331" w:footer="30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7055E6" w14:textId="77777777" w:rsidR="00081DCB" w:rsidRDefault="00081DCB" w:rsidP="00E336C8">
      <w:pPr>
        <w:spacing w:after="0" w:line="240" w:lineRule="auto"/>
      </w:pPr>
      <w:r>
        <w:separator/>
      </w:r>
    </w:p>
  </w:endnote>
  <w:endnote w:type="continuationSeparator" w:id="0">
    <w:p w14:paraId="60EA4E03" w14:textId="77777777" w:rsidR="00081DCB" w:rsidRDefault="00081DCB" w:rsidP="00E33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Mono">
    <w:panose1 w:val="00000009000000000000"/>
    <w:charset w:val="00"/>
    <w:family w:val="modern"/>
    <w:pitch w:val="fixed"/>
    <w:sig w:usb0="E00002FF" w:usb1="1000205B" w:usb2="00000020" w:usb3="00000000" w:csb0="0000019F" w:csb1="00000000"/>
  </w:font>
  <w:font w:name="Arial Narrow">
    <w:panose1 w:val="020B0606020202030204"/>
    <w:charset w:val="00"/>
    <w:family w:val="swiss"/>
    <w:pitch w:val="variable"/>
    <w:sig w:usb0="00000287" w:usb1="00000800" w:usb2="00000000" w:usb3="00000000" w:csb0="0000009F"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Sitka Text">
    <w:panose1 w:val="00000000000000000000"/>
    <w:charset w:val="00"/>
    <w:family w:val="auto"/>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9CECC0" w14:textId="77777777" w:rsidR="00697105" w:rsidRDefault="006971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F1B12D" w14:textId="77777777" w:rsidR="00E336C8" w:rsidRDefault="00697105">
    <w:pPr>
      <w:pStyle w:val="Footer"/>
    </w:pPr>
    <w:r>
      <w:fldChar w:fldCharType="begin"/>
    </w:r>
    <w:r>
      <w:instrText xml:space="preserve"> FILENAME  \* MERGEFORMAT </w:instrText>
    </w:r>
    <w:r>
      <w:fldChar w:fldCharType="separate"/>
    </w:r>
    <w:r>
      <w:rPr>
        <w:noProof/>
      </w:rPr>
      <w:t>Landry_Family_Equity_Operating_System-Advisor_Briefing_v4.docx</w:t>
    </w:r>
    <w:r>
      <w:rPr>
        <w:noProof/>
      </w:rPr>
      <w:fldChar w:fldCharType="end"/>
    </w:r>
    <w:r w:rsidR="00E336C8">
      <w:tab/>
    </w:r>
    <w:r w:rsidR="00E336C8">
      <w:tab/>
    </w:r>
    <w:r w:rsidR="00E336C8">
      <w:fldChar w:fldCharType="begin"/>
    </w:r>
    <w:r w:rsidR="00E336C8">
      <w:instrText xml:space="preserve"> PAGE  \* MERGEFORMAT </w:instrText>
    </w:r>
    <w:r w:rsidR="00E336C8">
      <w:fldChar w:fldCharType="separate"/>
    </w:r>
    <w:r w:rsidR="00E336C8">
      <w:rPr>
        <w:noProof/>
      </w:rPr>
      <w:t>1</w:t>
    </w:r>
    <w:r w:rsidR="00E336C8">
      <w:fldChar w:fldCharType="end"/>
    </w:r>
    <w:r w:rsidR="00E336C8">
      <w:t xml:space="preserve"> / </w:t>
    </w:r>
    <w:r w:rsidR="00E336C8">
      <w:fldChar w:fldCharType="begin"/>
    </w:r>
    <w:r w:rsidR="00E336C8">
      <w:instrText xml:space="preserve"> NUMPAGES  \* MERGEFORMAT </w:instrText>
    </w:r>
    <w:r w:rsidR="00E336C8">
      <w:fldChar w:fldCharType="separate"/>
    </w:r>
    <w:r w:rsidR="00E336C8">
      <w:rPr>
        <w:noProof/>
      </w:rPr>
      <w:t>1</w:t>
    </w:r>
    <w:r w:rsidR="00E336C8">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77041E" w14:textId="77777777" w:rsidR="00697105" w:rsidRDefault="006971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0C3F91" w14:textId="77777777" w:rsidR="00081DCB" w:rsidRDefault="00081DCB" w:rsidP="00E336C8">
      <w:pPr>
        <w:spacing w:after="0" w:line="240" w:lineRule="auto"/>
      </w:pPr>
      <w:r>
        <w:separator/>
      </w:r>
    </w:p>
  </w:footnote>
  <w:footnote w:type="continuationSeparator" w:id="0">
    <w:p w14:paraId="6E9E649A" w14:textId="77777777" w:rsidR="00081DCB" w:rsidRDefault="00081DCB" w:rsidP="00E336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05D6B3" w14:textId="77777777" w:rsidR="00697105" w:rsidRDefault="006971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109A94" w14:textId="77777777" w:rsidR="00697105" w:rsidRDefault="006971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1F1504" w14:textId="77777777" w:rsidR="00697105" w:rsidRDefault="006971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55A63A94"/>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2CC02CB"/>
    <w:multiLevelType w:val="hybridMultilevel"/>
    <w:tmpl w:val="C5A6F5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450EA6"/>
    <w:multiLevelType w:val="hybridMultilevel"/>
    <w:tmpl w:val="CC8EEF36"/>
    <w:lvl w:ilvl="0" w:tplc="D4DA63B4">
      <w:start w:val="1"/>
      <w:numFmt w:val="decimal"/>
      <w:pStyle w:val="ListNumb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2F1CCB"/>
    <w:multiLevelType w:val="hybridMultilevel"/>
    <w:tmpl w:val="F1E226F4"/>
    <w:lvl w:ilvl="0" w:tplc="A07EA5DA">
      <w:start w:val="1"/>
      <w:numFmt w:val="bullet"/>
      <w:pStyle w:val="List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F647BB5"/>
    <w:multiLevelType w:val="multilevel"/>
    <w:tmpl w:val="6766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483379">
    <w:abstractNumId w:val="1"/>
  </w:num>
  <w:num w:numId="2" w16cid:durableId="1855805580">
    <w:abstractNumId w:val="1"/>
  </w:num>
  <w:num w:numId="3" w16cid:durableId="1912226634">
    <w:abstractNumId w:val="4"/>
  </w:num>
  <w:num w:numId="4" w16cid:durableId="2101677059">
    <w:abstractNumId w:val="2"/>
  </w:num>
  <w:num w:numId="5" w16cid:durableId="728259820">
    <w:abstractNumId w:val="0"/>
  </w:num>
  <w:num w:numId="6" w16cid:durableId="637997361">
    <w:abstractNumId w:val="3"/>
  </w:num>
  <w:num w:numId="7" w16cid:durableId="356201675">
    <w:abstractNumId w:val="5"/>
  </w:num>
  <w:num w:numId="8" w16cid:durableId="380522876">
    <w:abstractNumId w:val="3"/>
    <w:lvlOverride w:ilvl="0">
      <w:startOverride w:val="1"/>
    </w:lvlOverride>
  </w:num>
  <w:num w:numId="9" w16cid:durableId="1370179032">
    <w:abstractNumId w:val="3"/>
  </w:num>
  <w:num w:numId="10" w16cid:durableId="1155225040">
    <w:abstractNumId w:val="3"/>
  </w:num>
  <w:num w:numId="11" w16cid:durableId="747844944">
    <w:abstractNumId w:val="3"/>
    <w:lvlOverride w:ilvl="0">
      <w:startOverride w:val="1"/>
    </w:lvlOverride>
  </w:num>
  <w:num w:numId="12" w16cid:durableId="1081369874">
    <w:abstractNumId w:val="3"/>
    <w:lvlOverride w:ilvl="0">
      <w:startOverride w:val="1"/>
    </w:lvlOverride>
  </w:num>
  <w:num w:numId="13" w16cid:durableId="361513016">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B6D"/>
    <w:rsid w:val="00010701"/>
    <w:rsid w:val="00020A80"/>
    <w:rsid w:val="00034F58"/>
    <w:rsid w:val="00071A9D"/>
    <w:rsid w:val="00081DCB"/>
    <w:rsid w:val="000A1B3C"/>
    <w:rsid w:val="000B447F"/>
    <w:rsid w:val="00142A4A"/>
    <w:rsid w:val="00150980"/>
    <w:rsid w:val="001A3F18"/>
    <w:rsid w:val="001A776D"/>
    <w:rsid w:val="0023251F"/>
    <w:rsid w:val="002F3890"/>
    <w:rsid w:val="00313946"/>
    <w:rsid w:val="00333BA4"/>
    <w:rsid w:val="00383E6F"/>
    <w:rsid w:val="003939FA"/>
    <w:rsid w:val="00403F2F"/>
    <w:rsid w:val="00411A37"/>
    <w:rsid w:val="00453A03"/>
    <w:rsid w:val="00457198"/>
    <w:rsid w:val="005032C6"/>
    <w:rsid w:val="00504E2C"/>
    <w:rsid w:val="005377EA"/>
    <w:rsid w:val="005B1356"/>
    <w:rsid w:val="005B722A"/>
    <w:rsid w:val="005E7B1D"/>
    <w:rsid w:val="00637279"/>
    <w:rsid w:val="00662C51"/>
    <w:rsid w:val="00664EE6"/>
    <w:rsid w:val="0068599A"/>
    <w:rsid w:val="00697105"/>
    <w:rsid w:val="006C5766"/>
    <w:rsid w:val="006D0D3D"/>
    <w:rsid w:val="00767460"/>
    <w:rsid w:val="007930BA"/>
    <w:rsid w:val="007E2861"/>
    <w:rsid w:val="00824D1B"/>
    <w:rsid w:val="008303A4"/>
    <w:rsid w:val="00873711"/>
    <w:rsid w:val="00880C18"/>
    <w:rsid w:val="008905C1"/>
    <w:rsid w:val="008B06CD"/>
    <w:rsid w:val="0093606B"/>
    <w:rsid w:val="009447F0"/>
    <w:rsid w:val="00947F3A"/>
    <w:rsid w:val="009534D1"/>
    <w:rsid w:val="009817B8"/>
    <w:rsid w:val="009A4485"/>
    <w:rsid w:val="00A0043D"/>
    <w:rsid w:val="00AB691F"/>
    <w:rsid w:val="00AB69F2"/>
    <w:rsid w:val="00AC36A7"/>
    <w:rsid w:val="00B77F7B"/>
    <w:rsid w:val="00BA545E"/>
    <w:rsid w:val="00BC204B"/>
    <w:rsid w:val="00C00B6D"/>
    <w:rsid w:val="00C07E5B"/>
    <w:rsid w:val="00C408F9"/>
    <w:rsid w:val="00C90731"/>
    <w:rsid w:val="00DF1E5A"/>
    <w:rsid w:val="00E336C8"/>
    <w:rsid w:val="00E54D04"/>
    <w:rsid w:val="00E66A1D"/>
    <w:rsid w:val="00E70152"/>
    <w:rsid w:val="00E95429"/>
    <w:rsid w:val="00EF6692"/>
    <w:rsid w:val="00F440D0"/>
    <w:rsid w:val="00F5702B"/>
    <w:rsid w:val="00F60FB3"/>
    <w:rsid w:val="00F70237"/>
    <w:rsid w:val="00FB0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3E25C9"/>
  <w15:chartTrackingRefBased/>
  <w15:docId w15:val="{55325D76-ABA4-C04E-B07C-61D94D217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E6F"/>
    <w:pPr>
      <w:spacing w:before="0" w:after="80" w:line="259" w:lineRule="auto"/>
      <w:contextualSpacing/>
    </w:pPr>
    <w:rPr>
      <w:rFonts w:ascii="Calibri" w:eastAsiaTheme="minorEastAsia" w:hAnsi="Calibri"/>
      <w:kern w:val="0"/>
      <w:szCs w:val="22"/>
      <w14:ligatures w14:val="none"/>
    </w:rPr>
  </w:style>
  <w:style w:type="paragraph" w:styleId="Heading1">
    <w:name w:val="heading 1"/>
    <w:basedOn w:val="Normal"/>
    <w:next w:val="Normal"/>
    <w:link w:val="Heading1Char"/>
    <w:uiPriority w:val="9"/>
    <w:qFormat/>
    <w:rsid w:val="00DF1E5A"/>
    <w:pPr>
      <w:spacing w:before="100" w:beforeAutospacing="1" w:line="240" w:lineRule="auto"/>
      <w:contextualSpacing w:val="0"/>
      <w:outlineLvl w:val="0"/>
    </w:pPr>
    <w:rPr>
      <w:rFonts w:ascii="Roboto Mono" w:eastAsia="Times New Roman" w:hAnsi="Roboto Mono" w:cs="Times New Roman"/>
      <w:caps/>
      <w:color w:val="8A8577"/>
      <w:spacing w:val="34"/>
      <w:sz w:val="32"/>
      <w:szCs w:val="32"/>
    </w:rPr>
  </w:style>
  <w:style w:type="paragraph" w:styleId="Heading2">
    <w:name w:val="heading 2"/>
    <w:basedOn w:val="Normal"/>
    <w:next w:val="Normal"/>
    <w:link w:val="Heading2Char"/>
    <w:uiPriority w:val="9"/>
    <w:unhideWhenUsed/>
    <w:qFormat/>
    <w:rsid w:val="009447F0"/>
    <w:pPr>
      <w:keepNext/>
      <w:keepLines/>
      <w:spacing w:before="60" w:after="0"/>
      <w:outlineLvl w:val="1"/>
    </w:pPr>
    <w:rPr>
      <w:rFonts w:eastAsiaTheme="majorEastAsia" w:cstheme="majorBidi"/>
      <w:b/>
      <w:bCs/>
      <w:color w:val="156082" w:themeColor="accent1"/>
      <w:kern w:val="2"/>
      <w:sz w:val="26"/>
      <w:szCs w:val="26"/>
      <w14:ligatures w14:val="standardContextual"/>
    </w:rPr>
  </w:style>
  <w:style w:type="paragraph" w:styleId="Heading3">
    <w:name w:val="heading 3"/>
    <w:basedOn w:val="Normal"/>
    <w:next w:val="Normal"/>
    <w:link w:val="Heading3Char"/>
    <w:uiPriority w:val="9"/>
    <w:semiHidden/>
    <w:unhideWhenUsed/>
    <w:qFormat/>
    <w:rsid w:val="005032C6"/>
    <w:pPr>
      <w:keepNext/>
      <w:keepLines/>
      <w:spacing w:before="80" w:after="0"/>
      <w:outlineLvl w:val="2"/>
    </w:pPr>
    <w:rPr>
      <w:rFonts w:asciiTheme="minorHAnsi" w:eastAsiaTheme="majorEastAsia" w:hAnsiTheme="minorHAnsi" w:cstheme="majorBidi"/>
      <w:b/>
      <w:color w:val="0F4761" w:themeColor="accent1" w:themeShade="BF"/>
      <w:szCs w:val="28"/>
    </w:rPr>
  </w:style>
  <w:style w:type="paragraph" w:styleId="Heading4">
    <w:name w:val="heading 4"/>
    <w:basedOn w:val="Normal"/>
    <w:next w:val="Normal"/>
    <w:link w:val="Heading4Char"/>
    <w:uiPriority w:val="9"/>
    <w:semiHidden/>
    <w:unhideWhenUsed/>
    <w:qFormat/>
    <w:rsid w:val="00E336C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36C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36C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36C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36C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36C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447F0"/>
    <w:pPr>
      <w:keepLines/>
      <w:spacing w:after="120"/>
      <w:jc w:val="center"/>
    </w:pPr>
    <w:rPr>
      <w:rFonts w:ascii="Arial Narrow" w:eastAsiaTheme="majorEastAsia" w:hAnsi="Arial Narrow" w:cs="Times New Roman (Headings CS)"/>
      <w:b/>
      <w:kern w:val="28"/>
      <w:sz w:val="40"/>
      <w:szCs w:val="56"/>
    </w:rPr>
  </w:style>
  <w:style w:type="character" w:customStyle="1" w:styleId="TitleChar">
    <w:name w:val="Title Char"/>
    <w:basedOn w:val="DefaultParagraphFont"/>
    <w:link w:val="Title"/>
    <w:uiPriority w:val="10"/>
    <w:rsid w:val="009447F0"/>
    <w:rPr>
      <w:rFonts w:ascii="Arial Narrow" w:eastAsiaTheme="majorEastAsia" w:hAnsi="Arial Narrow" w:cs="Times New Roman (Headings CS)"/>
      <w:b/>
      <w:kern w:val="28"/>
      <w:sz w:val="40"/>
      <w:szCs w:val="56"/>
      <w14:ligatures w14:val="none"/>
    </w:rPr>
  </w:style>
  <w:style w:type="character" w:customStyle="1" w:styleId="Heading2Char">
    <w:name w:val="Heading 2 Char"/>
    <w:basedOn w:val="DefaultParagraphFont"/>
    <w:link w:val="Heading2"/>
    <w:uiPriority w:val="9"/>
    <w:rsid w:val="009447F0"/>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5032C6"/>
    <w:rPr>
      <w:rFonts w:eastAsiaTheme="majorEastAsia" w:cstheme="majorBidi"/>
      <w:b/>
      <w:color w:val="0F4761" w:themeColor="accent1" w:themeShade="BF"/>
      <w:kern w:val="0"/>
      <w:szCs w:val="28"/>
      <w14:ligatures w14:val="none"/>
    </w:rPr>
  </w:style>
  <w:style w:type="paragraph" w:styleId="ListBullet">
    <w:name w:val="List Bullet"/>
    <w:basedOn w:val="Normal"/>
    <w:uiPriority w:val="99"/>
    <w:unhideWhenUsed/>
    <w:qFormat/>
    <w:rsid w:val="00DF1E5A"/>
    <w:pPr>
      <w:numPr>
        <w:numId w:val="3"/>
      </w:numPr>
    </w:pPr>
  </w:style>
  <w:style w:type="paragraph" w:styleId="Subtitle">
    <w:name w:val="Subtitle"/>
    <w:basedOn w:val="Normal"/>
    <w:next w:val="Normal"/>
    <w:link w:val="SubtitleChar"/>
    <w:uiPriority w:val="11"/>
    <w:qFormat/>
    <w:rsid w:val="009447F0"/>
    <w:pPr>
      <w:numPr>
        <w:ilvl w:val="1"/>
      </w:numPr>
      <w:spacing w:after="160"/>
      <w:jc w:val="center"/>
    </w:pPr>
    <w:rPr>
      <w:rFonts w:eastAsiaTheme="majorEastAsia" w:cs="Times New Roman (Headings CS)"/>
      <w:color w:val="595959" w:themeColor="text1" w:themeTint="A6"/>
      <w:spacing w:val="5"/>
      <w:sz w:val="28"/>
      <w:szCs w:val="28"/>
    </w:rPr>
  </w:style>
  <w:style w:type="character" w:customStyle="1" w:styleId="SubtitleChar">
    <w:name w:val="Subtitle Char"/>
    <w:basedOn w:val="DefaultParagraphFont"/>
    <w:link w:val="Subtitle"/>
    <w:uiPriority w:val="11"/>
    <w:rsid w:val="009447F0"/>
    <w:rPr>
      <w:rFonts w:ascii="Calibri" w:eastAsiaTheme="majorEastAsia" w:hAnsi="Calibri" w:cs="Times New Roman (Headings CS)"/>
      <w:color w:val="595959" w:themeColor="text1" w:themeTint="A6"/>
      <w:spacing w:val="5"/>
      <w:kern w:val="0"/>
      <w:sz w:val="28"/>
      <w:szCs w:val="28"/>
      <w14:ligatures w14:val="none"/>
    </w:rPr>
  </w:style>
  <w:style w:type="paragraph" w:styleId="Footer">
    <w:name w:val="footer"/>
    <w:basedOn w:val="Normal"/>
    <w:link w:val="FooterChar"/>
    <w:uiPriority w:val="99"/>
    <w:unhideWhenUsed/>
    <w:qFormat/>
    <w:rsid w:val="009447F0"/>
    <w:pPr>
      <w:tabs>
        <w:tab w:val="center" w:pos="4680"/>
        <w:tab w:val="right" w:pos="9360"/>
      </w:tabs>
      <w:spacing w:after="0" w:line="240" w:lineRule="auto"/>
      <w:contextualSpacing w:val="0"/>
    </w:pPr>
    <w:rPr>
      <w:sz w:val="18"/>
    </w:rPr>
  </w:style>
  <w:style w:type="character" w:customStyle="1" w:styleId="FooterChar">
    <w:name w:val="Footer Char"/>
    <w:basedOn w:val="DefaultParagraphFont"/>
    <w:link w:val="Footer"/>
    <w:uiPriority w:val="99"/>
    <w:rsid w:val="009447F0"/>
    <w:rPr>
      <w:rFonts w:ascii="Calibri" w:eastAsiaTheme="minorEastAsia" w:hAnsi="Calibri"/>
      <w:kern w:val="0"/>
      <w:sz w:val="18"/>
      <w:szCs w:val="22"/>
      <w14:ligatures w14:val="none"/>
    </w:rPr>
  </w:style>
  <w:style w:type="character" w:customStyle="1" w:styleId="Heading1Char">
    <w:name w:val="Heading 1 Char"/>
    <w:basedOn w:val="DefaultParagraphFont"/>
    <w:link w:val="Heading1"/>
    <w:uiPriority w:val="9"/>
    <w:rsid w:val="00DF1E5A"/>
    <w:rPr>
      <w:rFonts w:ascii="Roboto Mono" w:eastAsia="Times New Roman" w:hAnsi="Roboto Mono" w:cs="Times New Roman"/>
      <w:caps/>
      <w:color w:val="8A8577"/>
      <w:spacing w:val="34"/>
      <w:kern w:val="0"/>
      <w:sz w:val="32"/>
      <w:szCs w:val="32"/>
      <w14:ligatures w14:val="none"/>
    </w:rPr>
  </w:style>
  <w:style w:type="character" w:customStyle="1" w:styleId="Heading4Char">
    <w:name w:val="Heading 4 Char"/>
    <w:basedOn w:val="DefaultParagraphFont"/>
    <w:link w:val="Heading4"/>
    <w:uiPriority w:val="9"/>
    <w:semiHidden/>
    <w:rsid w:val="00E336C8"/>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E336C8"/>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336C8"/>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E336C8"/>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E336C8"/>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E336C8"/>
    <w:rPr>
      <w:rFonts w:eastAsiaTheme="majorEastAsia" w:cstheme="majorBidi"/>
      <w:color w:val="272727" w:themeColor="text1" w:themeTint="D8"/>
      <w:kern w:val="0"/>
      <w:sz w:val="22"/>
      <w:szCs w:val="22"/>
      <w14:ligatures w14:val="none"/>
    </w:rPr>
  </w:style>
  <w:style w:type="paragraph" w:styleId="Quote">
    <w:name w:val="Quote"/>
    <w:basedOn w:val="Normal"/>
    <w:next w:val="Normal"/>
    <w:link w:val="QuoteChar"/>
    <w:uiPriority w:val="29"/>
    <w:qFormat/>
    <w:rsid w:val="00E336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36C8"/>
    <w:rPr>
      <w:rFonts w:ascii="Calibri" w:eastAsiaTheme="minorEastAsia" w:hAnsi="Calibri"/>
      <w:i/>
      <w:iCs/>
      <w:color w:val="404040" w:themeColor="text1" w:themeTint="BF"/>
      <w:kern w:val="0"/>
      <w:sz w:val="22"/>
      <w:szCs w:val="22"/>
      <w14:ligatures w14:val="none"/>
    </w:rPr>
  </w:style>
  <w:style w:type="paragraph" w:styleId="ListParagraph">
    <w:name w:val="List Paragraph"/>
    <w:basedOn w:val="Normal"/>
    <w:uiPriority w:val="34"/>
    <w:qFormat/>
    <w:rsid w:val="00E336C8"/>
    <w:pPr>
      <w:ind w:left="720"/>
    </w:pPr>
  </w:style>
  <w:style w:type="character" w:styleId="IntenseEmphasis">
    <w:name w:val="Intense Emphasis"/>
    <w:basedOn w:val="DefaultParagraphFont"/>
    <w:uiPriority w:val="21"/>
    <w:qFormat/>
    <w:rsid w:val="00E336C8"/>
    <w:rPr>
      <w:i/>
      <w:iCs/>
      <w:color w:val="0F4761" w:themeColor="accent1" w:themeShade="BF"/>
    </w:rPr>
  </w:style>
  <w:style w:type="paragraph" w:styleId="IntenseQuote">
    <w:name w:val="Intense Quote"/>
    <w:basedOn w:val="Normal"/>
    <w:next w:val="Normal"/>
    <w:link w:val="IntenseQuoteChar"/>
    <w:uiPriority w:val="30"/>
    <w:qFormat/>
    <w:rsid w:val="00E33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6C8"/>
    <w:rPr>
      <w:rFonts w:ascii="Calibri" w:eastAsiaTheme="minorEastAsia" w:hAnsi="Calibri"/>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E336C8"/>
    <w:rPr>
      <w:b/>
      <w:bCs/>
      <w:smallCaps/>
      <w:color w:val="0F4761" w:themeColor="accent1" w:themeShade="BF"/>
      <w:spacing w:val="5"/>
    </w:rPr>
  </w:style>
  <w:style w:type="paragraph" w:styleId="Header">
    <w:name w:val="header"/>
    <w:basedOn w:val="Normal"/>
    <w:link w:val="HeaderChar"/>
    <w:uiPriority w:val="99"/>
    <w:unhideWhenUsed/>
    <w:rsid w:val="00E336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36C8"/>
    <w:rPr>
      <w:rFonts w:ascii="Calibri" w:eastAsiaTheme="minorEastAsia" w:hAnsi="Calibri"/>
      <w:kern w:val="0"/>
      <w:sz w:val="22"/>
      <w:szCs w:val="22"/>
      <w14:ligatures w14:val="none"/>
    </w:rPr>
  </w:style>
  <w:style w:type="paragraph" w:customStyle="1" w:styleId="Subtitle1">
    <w:name w:val="Subtitle1"/>
    <w:basedOn w:val="Normal"/>
    <w:rsid w:val="00C00B6D"/>
    <w:pPr>
      <w:spacing w:before="100" w:beforeAutospacing="1" w:after="100" w:afterAutospacing="1" w:line="240" w:lineRule="auto"/>
      <w:contextualSpacing w:val="0"/>
    </w:pPr>
    <w:rPr>
      <w:rFonts w:ascii="Times New Roman" w:eastAsia="Times New Roman" w:hAnsi="Times New Roman" w:cs="Times New Roman"/>
      <w:szCs w:val="24"/>
    </w:rPr>
  </w:style>
  <w:style w:type="paragraph" w:customStyle="1" w:styleId="standfirst">
    <w:name w:val="standfirst"/>
    <w:basedOn w:val="Normal"/>
    <w:rsid w:val="00C00B6D"/>
    <w:pPr>
      <w:spacing w:before="100" w:beforeAutospacing="1" w:after="100" w:afterAutospacing="1" w:line="240" w:lineRule="auto"/>
      <w:contextualSpacing w:val="0"/>
    </w:pPr>
    <w:rPr>
      <w:rFonts w:ascii="Times New Roman" w:eastAsia="Times New Roman" w:hAnsi="Times New Roman" w:cs="Times New Roman"/>
      <w:szCs w:val="24"/>
    </w:rPr>
  </w:style>
  <w:style w:type="character" w:styleId="Emphasis">
    <w:name w:val="Emphasis"/>
    <w:basedOn w:val="DefaultParagraphFont"/>
    <w:uiPriority w:val="20"/>
    <w:qFormat/>
    <w:rsid w:val="00C00B6D"/>
    <w:rPr>
      <w:i/>
      <w:iCs/>
    </w:rPr>
  </w:style>
  <w:style w:type="paragraph" w:styleId="NormalWeb">
    <w:name w:val="Normal (Web)"/>
    <w:basedOn w:val="Normal"/>
    <w:uiPriority w:val="99"/>
    <w:semiHidden/>
    <w:unhideWhenUsed/>
    <w:rsid w:val="00C00B6D"/>
    <w:pPr>
      <w:spacing w:before="100" w:beforeAutospacing="1" w:after="100" w:afterAutospacing="1" w:line="240" w:lineRule="auto"/>
      <w:contextualSpacing w:val="0"/>
    </w:pPr>
    <w:rPr>
      <w:rFonts w:ascii="Times New Roman" w:eastAsia="Times New Roman" w:hAnsi="Times New Roman" w:cs="Times New Roman"/>
      <w:szCs w:val="24"/>
    </w:rPr>
  </w:style>
  <w:style w:type="character" w:styleId="Strong">
    <w:name w:val="Strong"/>
    <w:basedOn w:val="DefaultParagraphFont"/>
    <w:uiPriority w:val="22"/>
    <w:qFormat/>
    <w:rsid w:val="00C00B6D"/>
    <w:rPr>
      <w:b/>
      <w:bCs/>
    </w:rPr>
  </w:style>
  <w:style w:type="paragraph" w:customStyle="1" w:styleId="disclosure">
    <w:name w:val="disclosure"/>
    <w:basedOn w:val="Normal"/>
    <w:rsid w:val="00C00B6D"/>
    <w:pPr>
      <w:spacing w:before="100" w:beforeAutospacing="1" w:after="100" w:afterAutospacing="1" w:line="240" w:lineRule="auto"/>
      <w:contextualSpacing w:val="0"/>
    </w:pPr>
    <w:rPr>
      <w:rFonts w:ascii="Times New Roman" w:eastAsia="Times New Roman" w:hAnsi="Times New Roman" w:cs="Times New Roman"/>
      <w:szCs w:val="24"/>
    </w:rPr>
  </w:style>
  <w:style w:type="character" w:styleId="Hyperlink">
    <w:name w:val="Hyperlink"/>
    <w:basedOn w:val="DefaultParagraphFont"/>
    <w:uiPriority w:val="99"/>
    <w:unhideWhenUsed/>
    <w:rsid w:val="00DF1E5A"/>
    <w:rPr>
      <w:color w:val="467886" w:themeColor="hyperlink"/>
      <w:u w:val="single"/>
    </w:rPr>
  </w:style>
  <w:style w:type="character" w:styleId="UnresolvedMention">
    <w:name w:val="Unresolved Mention"/>
    <w:basedOn w:val="DefaultParagraphFont"/>
    <w:uiPriority w:val="99"/>
    <w:semiHidden/>
    <w:unhideWhenUsed/>
    <w:rsid w:val="00DF1E5A"/>
    <w:rPr>
      <w:color w:val="605E5C"/>
      <w:shd w:val="clear" w:color="auto" w:fill="E1DFDD"/>
    </w:rPr>
  </w:style>
  <w:style w:type="character" w:styleId="HTMLCode">
    <w:name w:val="HTML Code"/>
    <w:basedOn w:val="DefaultParagraphFont"/>
    <w:uiPriority w:val="99"/>
    <w:semiHidden/>
    <w:unhideWhenUsed/>
    <w:rsid w:val="00DF1E5A"/>
    <w:rPr>
      <w:rFonts w:ascii="Courier New" w:eastAsia="Times New Roman" w:hAnsi="Courier New" w:cs="Courier New"/>
      <w:sz w:val="20"/>
      <w:szCs w:val="20"/>
    </w:rPr>
  </w:style>
  <w:style w:type="paragraph" w:styleId="ListNumber">
    <w:name w:val="List Number"/>
    <w:basedOn w:val="Normal"/>
    <w:uiPriority w:val="99"/>
    <w:unhideWhenUsed/>
    <w:rsid w:val="00DF1E5A"/>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3473</Words>
  <Characters>18377</Characters>
  <Application>Microsoft Office Word</Application>
  <DocSecurity>0</DocSecurity>
  <Lines>274</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Landry</dc:creator>
  <cp:keywords/>
  <dc:description/>
  <cp:lastModifiedBy>Alan Landry</cp:lastModifiedBy>
  <cp:revision>2</cp:revision>
  <dcterms:created xsi:type="dcterms:W3CDTF">2026-08-19T18:03:00Z</dcterms:created>
  <dcterms:modified xsi:type="dcterms:W3CDTF">2026-08-19T18:03:00Z</dcterms:modified>
</cp:coreProperties>
</file>