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 w:eastAsia="Calibri" w:cs="Calibri"/>
          <w:b/>
          <w:color w:val="1F3864"/>
          <w:sz w:val="36"/>
        </w:rPr>
        <w:t>THE LANDRY SYSTEM — ETF SLEEVE REPORT</w:t>
      </w:r>
    </w:p>
    <w:p>
      <w:pPr>
        <w:spacing w:after="80"/>
      </w:pPr>
      <w:r>
        <w:rPr>
          <w:rFonts w:ascii="Calibri" w:hAnsi="Calibri" w:eastAsia="Calibri" w:cs="Calibri"/>
          <w:color w:val="595959"/>
          <w:sz w:val="21"/>
        </w:rPr>
        <w:t>As of October 8, 2026  |  LANDRY_SYSTEM_WORKBOOK_25.xlsx  |  read-only: nothing here is written to the workbook</w:t>
      </w:r>
    </w:p>
    <w:p>
      <w:pPr>
        <w:keepNext/>
        <w:spacing w:before="80" w:after="60"/>
      </w:pPr>
      <w:r>
        <w:rPr>
          <w:rFonts w:ascii="Calibri" w:hAnsi="Calibri" w:eastAsia="Calibri" w:cs="Calibri"/>
          <w:b/>
          <w:color w:val="1F3864"/>
          <w:sz w:val="26"/>
        </w:rPr>
        <w:t>At a glance</w:t>
      </w:r>
    </w:p>
    <w:p>
      <w:pPr>
        <w:spacing w:before="0" w:after="30"/>
        <w:ind w:left="403" w:hanging="288"/>
      </w:pPr>
      <w:r>
        <w:rPr>
          <w:rFonts w:ascii="Calibri" w:hAnsi="Calibri" w:eastAsia="Calibri" w:cs="Calibri"/>
          <w:sz w:val="20"/>
        </w:rPr>
        <w:t>•  The sleeve is 10 ETFs, $321.5K = 45.1% of the $712.6K portfolio (direct stocks 48.0%, cash and other 6.9%); weighted expense ratio 0.35% a year.</w:t>
      </w:r>
    </w:p>
    <w:p>
      <w:pPr>
        <w:spacing w:before="0" w:after="30"/>
        <w:ind w:left="403" w:hanging="288"/>
      </w:pPr>
      <w:r>
        <w:rPr>
          <w:rFonts w:ascii="Calibri" w:hAnsi="Calibri" w:eastAsia="Calibri" w:cs="Calibri"/>
          <w:sz w:val="20"/>
        </w:rPr>
        <w:t>•  AVUV, VFLO, VYM, DVY, SCHD, JEPI behave as one bet: 22.6% of the portfolio, average correlation 0.81, 14.1% of its variance -- over Rule 38's 20% cluster cap.</w:t>
      </w:r>
    </w:p>
    <w:p>
      <w:pPr>
        <w:spacing w:before="0" w:after="30"/>
        <w:ind w:left="403" w:hanging="288"/>
      </w:pPr>
      <w:r>
        <w:rPr>
          <w:rFonts w:ascii="Calibri" w:hAnsi="Calibri" w:eastAsia="Calibri" w:cs="Calibri"/>
          <w:sz w:val="20"/>
        </w:rPr>
        <w:t>•  JEPQ, NVDA, HELO, SPMO behave as one bet: 22.3% of the portfolio, average correlation 0.80, 27.1% of its variance -- over Rule 38's 20% cluster cap.</w:t>
      </w:r>
    </w:p>
    <w:p>
      <w:pPr>
        <w:spacing w:before="0" w:after="30"/>
        <w:ind w:left="403" w:hanging="288"/>
      </w:pPr>
      <w:r>
        <w:rPr>
          <w:rFonts w:ascii="Calibri" w:hAnsi="Calibri" w:eastAsia="Calibri" w:cs="Calibri"/>
          <w:sz w:val="20"/>
        </w:rPr>
        <w:t>•  Direct stocks are 48.0% of the portfolio but 74.5% of its variance; the sleeve is 45.1% of weight and 25.5% of variance. Portfolio volatility 15.6% against SPY's 14.3%, beta 1.03, about 9.5 effective independent bets (first component 42%).</w:t>
      </w:r>
    </w:p>
    <w:p>
      <w:pPr>
        <w:spacing w:before="0" w:after="30"/>
        <w:ind w:left="403" w:hanging="288"/>
      </w:pPr>
      <w:r>
        <w:rPr>
          <w:rFonts w:ascii="Calibri" w:hAnsi="Calibri" w:eastAsia="Calibri" w:cs="Calibri"/>
          <w:sz w:val="20"/>
        </w:rPr>
        <w:t>•  Semiconductor names: 16.2% directly plus at least 3.8% through ETF top-10 lists = 20.0% of the portfolio.</w:t>
      </w:r>
    </w:p>
    <w:p>
      <w:pPr>
        <w:spacing w:before="0" w:after="30"/>
        <w:ind w:left="403" w:hanging="288"/>
      </w:pPr>
      <w:r>
        <w:rPr>
          <w:rFonts w:ascii="Calibri" w:hAnsi="Calibri" w:eastAsia="Calibri" w:cs="Calibri"/>
          <w:sz w:val="20"/>
        </w:rPr>
        <w:t>•  Most efficient diversifiers tested (move 7% of the portfolio into each, change in volatility): BIL (T-bills (cash-like)) -1.2 pts, AGG (US aggregate bonds) -1.1 pts, TLT (long Treasuries) -1.1 pts, XLP (Consumer Staples) -1.0 pts. The sleeve holds no bonds and no international.</w:t>
      </w:r>
    </w:p>
    <w:p>
      <w:pPr>
        <w:keepNext/>
        <w:spacing w:before="200" w:after="60"/>
      </w:pPr>
      <w:r>
        <w:rPr>
          <w:rFonts w:ascii="Calibri" w:hAnsi="Calibri" w:eastAsia="Calibri" w:cs="Calibri"/>
          <w:b/>
          <w:color w:val="1F3864"/>
          <w:sz w:val="26"/>
        </w:rPr>
        <w:t>The sleeve</w:t>
      </w:r>
    </w:p>
    <w:tbl>
      <w:tblPr>
        <w:tblW w:w="1036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20" w:type="dxa"/>
          <w:left w:w="90" w:type="dxa"/>
          <w:bottom w:w="20" w:type="dxa"/>
          <w:right w:w="90" w:type="dxa"/>
        </w:tblCellMar>
        <w:tblLook w:firstColumn="1" w:firstRow="1" w:lastColumn="0" w:lastRow="0" w:noHBand="0" w:noVBand="1" w:val="04A0"/>
      </w:tblPr>
      <w:tblGrid>
        <w:gridCol w:w="760"/>
        <w:gridCol w:w="900"/>
        <w:gridCol w:w="800"/>
        <w:gridCol w:w="3300"/>
        <w:gridCol w:w="800"/>
        <w:gridCol w:w="800"/>
        <w:gridCol w:w="700"/>
        <w:gridCol w:w="700"/>
        <w:gridCol w:w="1608"/>
      </w:tblGrid>
      <w:tr>
        <w:trPr>
          <w:cantSplit/>
          <w:tblHeader/>
        </w:trPr>
        <w:tc>
          <w:tcPr>
            <w:tcW w:w="76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8"/>
              </w:rPr>
              <w:t>ETF</w:t>
            </w:r>
          </w:p>
        </w:tc>
        <w:tc>
          <w:tcPr>
            <w:tcW w:w="9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8"/>
              </w:rPr>
              <w:t>$K</w:t>
            </w:r>
          </w:p>
        </w:tc>
        <w:tc>
          <w:tcPr>
            <w:tcW w:w="8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8"/>
              </w:rPr>
              <w:t>% port.</w:t>
            </w:r>
          </w:p>
        </w:tc>
        <w:tc>
          <w:tcPr>
            <w:tcW w:w="33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8"/>
              </w:rPr>
              <w:t>Category</w:t>
            </w:r>
          </w:p>
        </w:tc>
        <w:tc>
          <w:tcPr>
            <w:tcW w:w="8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8"/>
              </w:rPr>
              <w:t>Cost</w:t>
            </w:r>
          </w:p>
        </w:tc>
        <w:tc>
          <w:tcPr>
            <w:tcW w:w="8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8"/>
              </w:rPr>
              <w:t>Yield</w:t>
            </w:r>
          </w:p>
        </w:tc>
        <w:tc>
          <w:tcPr>
            <w:tcW w:w="7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8"/>
              </w:rPr>
              <w:t>Beta</w:t>
            </w:r>
          </w:p>
        </w:tc>
        <w:tc>
          <w:tcPr>
            <w:tcW w:w="7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8"/>
              </w:rPr>
              <w:t>Down</w:t>
            </w:r>
          </w:p>
        </w:tc>
        <w:tc>
          <w:tcPr>
            <w:tcW w:w="1608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8"/>
              </w:rPr>
              <w:t>Unreal. $K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8"/>
              </w:rPr>
              <w:t>JEPQ</w:t>
            </w:r>
          </w:p>
        </w:tc>
        <w:tc>
          <w:tcPr>
            <w:tcW w:w="9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51.9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7.3%</w:t>
            </w:r>
          </w:p>
        </w:tc>
        <w:tc>
          <w:tcPr>
            <w:tcW w:w="33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Derivative Income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0.35%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11.1%</w:t>
            </w:r>
          </w:p>
        </w:tc>
        <w:tc>
          <w:tcPr>
            <w:tcW w:w="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0.93</w:t>
            </w:r>
          </w:p>
        </w:tc>
        <w:tc>
          <w:tcPr>
            <w:tcW w:w="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0.98</w:t>
            </w:r>
          </w:p>
        </w:tc>
        <w:tc>
          <w:tcPr>
            <w:tcW w:w="160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+8.9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8"/>
              </w:rPr>
              <w:t>MLPI</w:t>
            </w:r>
          </w:p>
        </w:tc>
        <w:tc>
          <w:tcPr>
            <w:tcW w:w="9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51.2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7.2%</w:t>
            </w:r>
          </w:p>
        </w:tc>
        <w:tc>
          <w:tcPr>
            <w:tcW w:w="33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Energy Limited Partnership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0.68%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n/a</w:t>
            </w:r>
          </w:p>
        </w:tc>
        <w:tc>
          <w:tcPr>
            <w:tcW w:w="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-0.71†</w:t>
            </w:r>
          </w:p>
        </w:tc>
        <w:tc>
          <w:tcPr>
            <w:tcW w:w="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-0.95†</w:t>
            </w:r>
          </w:p>
        </w:tc>
        <w:tc>
          <w:tcPr>
            <w:tcW w:w="160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-2.5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8"/>
              </w:rPr>
              <w:t>AVUV</w:t>
            </w:r>
          </w:p>
        </w:tc>
        <w:tc>
          <w:tcPr>
            <w:tcW w:w="9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48.0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6.7%</w:t>
            </w:r>
          </w:p>
        </w:tc>
        <w:tc>
          <w:tcPr>
            <w:tcW w:w="33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Small Value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0.25%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1.3%</w:t>
            </w:r>
          </w:p>
        </w:tc>
        <w:tc>
          <w:tcPr>
            <w:tcW w:w="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0.89</w:t>
            </w:r>
          </w:p>
        </w:tc>
        <w:tc>
          <w:tcPr>
            <w:tcW w:w="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1.00</w:t>
            </w:r>
          </w:p>
        </w:tc>
        <w:tc>
          <w:tcPr>
            <w:tcW w:w="160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+2.9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8"/>
              </w:rPr>
              <w:t>HELO</w:t>
            </w:r>
          </w:p>
        </w:tc>
        <w:tc>
          <w:tcPr>
            <w:tcW w:w="9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34.7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4.9%</w:t>
            </w:r>
          </w:p>
        </w:tc>
        <w:tc>
          <w:tcPr>
            <w:tcW w:w="33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Equity Hedged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0.50%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0.6%</w:t>
            </w:r>
          </w:p>
        </w:tc>
        <w:tc>
          <w:tcPr>
            <w:tcW w:w="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0.52</w:t>
            </w:r>
          </w:p>
        </w:tc>
        <w:tc>
          <w:tcPr>
            <w:tcW w:w="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0.53</w:t>
            </w:r>
          </w:p>
        </w:tc>
        <w:tc>
          <w:tcPr>
            <w:tcW w:w="160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+4.0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8"/>
              </w:rPr>
              <w:t>VFLO</w:t>
            </w:r>
          </w:p>
        </w:tc>
        <w:tc>
          <w:tcPr>
            <w:tcW w:w="9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33.8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4.7%</w:t>
            </w:r>
          </w:p>
        </w:tc>
        <w:tc>
          <w:tcPr>
            <w:tcW w:w="33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Mid-Cap Value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0.39%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1.0%</w:t>
            </w:r>
          </w:p>
        </w:tc>
        <w:tc>
          <w:tcPr>
            <w:tcW w:w="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0.76</w:t>
            </w:r>
          </w:p>
        </w:tc>
        <w:tc>
          <w:tcPr>
            <w:tcW w:w="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0.86</w:t>
            </w:r>
          </w:p>
        </w:tc>
        <w:tc>
          <w:tcPr>
            <w:tcW w:w="160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-0.5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8"/>
              </w:rPr>
              <w:t>VYM</w:t>
            </w:r>
          </w:p>
        </w:tc>
        <w:tc>
          <w:tcPr>
            <w:tcW w:w="9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23.5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3.3%</w:t>
            </w:r>
          </w:p>
        </w:tc>
        <w:tc>
          <w:tcPr>
            <w:tcW w:w="33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Large Value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0.04%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2.4%</w:t>
            </w:r>
          </w:p>
        </w:tc>
        <w:tc>
          <w:tcPr>
            <w:tcW w:w="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0.69</w:t>
            </w:r>
          </w:p>
        </w:tc>
        <w:tc>
          <w:tcPr>
            <w:tcW w:w="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0.70</w:t>
            </w:r>
          </w:p>
        </w:tc>
        <w:tc>
          <w:tcPr>
            <w:tcW w:w="160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-1.1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8"/>
              </w:rPr>
              <w:t>DVY</w:t>
            </w:r>
          </w:p>
        </w:tc>
        <w:tc>
          <w:tcPr>
            <w:tcW w:w="9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23.0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3.2%</w:t>
            </w:r>
          </w:p>
        </w:tc>
        <w:tc>
          <w:tcPr>
            <w:tcW w:w="33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Mid-Cap Value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0.38%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3.5%</w:t>
            </w:r>
          </w:p>
        </w:tc>
        <w:tc>
          <w:tcPr>
            <w:tcW w:w="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0.50</w:t>
            </w:r>
          </w:p>
        </w:tc>
        <w:tc>
          <w:tcPr>
            <w:tcW w:w="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0.46</w:t>
            </w:r>
          </w:p>
        </w:tc>
        <w:tc>
          <w:tcPr>
            <w:tcW w:w="160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-1.6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8"/>
              </w:rPr>
              <w:t>SCHD</w:t>
            </w:r>
          </w:p>
        </w:tc>
        <w:tc>
          <w:tcPr>
            <w:tcW w:w="9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22.9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3.2%</w:t>
            </w:r>
          </w:p>
        </w:tc>
        <w:tc>
          <w:tcPr>
            <w:tcW w:w="33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Large Value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0.06%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3.2%</w:t>
            </w:r>
          </w:p>
        </w:tc>
        <w:tc>
          <w:tcPr>
            <w:tcW w:w="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0.52</w:t>
            </w:r>
          </w:p>
        </w:tc>
        <w:tc>
          <w:tcPr>
            <w:tcW w:w="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0.68</w:t>
            </w:r>
          </w:p>
        </w:tc>
        <w:tc>
          <w:tcPr>
            <w:tcW w:w="160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-1.5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8"/>
              </w:rPr>
              <w:t>SPMO</w:t>
            </w:r>
          </w:p>
        </w:tc>
        <w:tc>
          <w:tcPr>
            <w:tcW w:w="9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22.5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3.2%</w:t>
            </w:r>
          </w:p>
        </w:tc>
        <w:tc>
          <w:tcPr>
            <w:tcW w:w="33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Large Blend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0.13%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0.7%</w:t>
            </w:r>
          </w:p>
        </w:tc>
        <w:tc>
          <w:tcPr>
            <w:tcW w:w="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1.28</w:t>
            </w:r>
          </w:p>
        </w:tc>
        <w:tc>
          <w:tcPr>
            <w:tcW w:w="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1.21</w:t>
            </w:r>
          </w:p>
        </w:tc>
        <w:tc>
          <w:tcPr>
            <w:tcW w:w="160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+2.9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8"/>
              </w:rPr>
              <w:t>JEPI</w:t>
            </w:r>
          </w:p>
        </w:tc>
        <w:tc>
          <w:tcPr>
            <w:tcW w:w="9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10.1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1.4%</w:t>
            </w:r>
          </w:p>
        </w:tc>
        <w:tc>
          <w:tcPr>
            <w:tcW w:w="33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Derivative Income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0.35%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8.2%</w:t>
            </w:r>
          </w:p>
        </w:tc>
        <w:tc>
          <w:tcPr>
            <w:tcW w:w="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0.54</w:t>
            </w:r>
          </w:p>
        </w:tc>
        <w:tc>
          <w:tcPr>
            <w:tcW w:w="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0.57</w:t>
            </w:r>
          </w:p>
        </w:tc>
        <w:tc>
          <w:tcPr>
            <w:tcW w:w="160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-0.4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8"/>
              </w:rPr>
              <w:t>Total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321.5</w:t>
            </w:r>
          </w:p>
        </w:tc>
        <w:tc>
          <w:tcPr>
            <w:tcW w:w="8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45.1%</w:t>
            </w:r>
          </w:p>
        </w:tc>
        <w:tc>
          <w:tcPr>
            <w:tcW w:w="3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</w:r>
          </w:p>
        </w:tc>
        <w:tc>
          <w:tcPr>
            <w:tcW w:w="8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</w:r>
          </w:p>
        </w:tc>
        <w:tc>
          <w:tcPr>
            <w:tcW w:w="8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</w:r>
          </w:p>
        </w:tc>
        <w:tc>
          <w:tcPr>
            <w:tcW w:w="1608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+11.1</w:t>
            </w:r>
          </w:p>
        </w:tc>
      </w:tr>
    </w:tbl>
    <w:p>
      <w:pPr>
        <w:spacing w:before="60" w:after="80"/>
      </w:pPr>
      <w:r>
        <w:rPr>
          <w:rFonts w:ascii="Calibri" w:hAnsi="Calibri" w:eastAsia="Calibri" w:cs="Calibri"/>
          <w:i/>
          <w:color w:val="595959"/>
          <w:sz w:val="18"/>
        </w:rPr>
        <w:t>Cost = expense ratio; Down = share of the benchmark's worst 10% of weeks the fund also lost (beta and Down use the last three years where the fund is old enough).  † MLPI: 42 weeks of history -- less reliable.</w:t>
      </w:r>
    </w:p>
    <w:p>
      <w:pPr>
        <w:keepNext/>
        <w:spacing w:before="200" w:after="60"/>
      </w:pPr>
      <w:r>
        <w:rPr>
          <w:rFonts w:ascii="Calibri" w:hAnsi="Calibri" w:eastAsia="Calibri" w:cs="Calibri"/>
          <w:b/>
          <w:color w:val="1F3864"/>
          <w:sz w:val="26"/>
        </w:rPr>
        <w:t>What the sleeve is made of</w:t>
      </w:r>
    </w:p>
    <w:tbl>
      <w:tblPr>
        <w:tblW w:w="1036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20" w:type="dxa"/>
          <w:left w:w="90" w:type="dxa"/>
          <w:bottom w:w="20" w:type="dxa"/>
          <w:right w:w="90" w:type="dxa"/>
        </w:tblCellMar>
        <w:tblLook w:firstColumn="1" w:firstRow="1" w:lastColumn="0" w:lastRow="0" w:noHBand="0" w:noVBand="1" w:val="04A0"/>
      </w:tblPr>
      <w:tblGrid>
        <w:gridCol w:w="5200"/>
        <w:gridCol w:w="1400"/>
        <w:gridCol w:w="1100"/>
        <w:gridCol w:w="1400"/>
        <w:gridCol w:w="1268"/>
      </w:tblGrid>
      <w:tr>
        <w:trPr>
          <w:cantSplit/>
          <w:tblHeader/>
        </w:trPr>
        <w:tc>
          <w:tcPr>
            <w:tcW w:w="52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Members (average correlation at least 0.70)</w:t>
            </w:r>
          </w:p>
        </w:tc>
        <w:tc>
          <w:tcPr>
            <w:tcW w:w="14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% of portfolio</w:t>
            </w:r>
          </w:p>
        </w:tc>
        <w:tc>
          <w:tcPr>
            <w:tcW w:w="11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Avg corr</w:t>
            </w:r>
          </w:p>
        </w:tc>
        <w:tc>
          <w:tcPr>
            <w:tcW w:w="14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% of variance</w:t>
            </w:r>
          </w:p>
        </w:tc>
        <w:tc>
          <w:tcPr>
            <w:tcW w:w="1268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20% cap</w:t>
            </w:r>
          </w:p>
        </w:tc>
      </w:tr>
      <w:tr>
        <w:trPr>
          <w:cantSplit/>
        </w:trPr>
        <w:tc>
          <w:tcPr>
            <w:tcW w:w="52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AVUV, VFLO, VYM, DVY, SCHD, JEPI</w:t>
            </w:r>
          </w:p>
        </w:tc>
        <w:tc>
          <w:tcPr>
            <w:tcW w:w="14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22.6%</w:t>
            </w:r>
          </w:p>
        </w:tc>
        <w:tc>
          <w:tcPr>
            <w:tcW w:w="11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0.81</w:t>
            </w:r>
          </w:p>
        </w:tc>
        <w:tc>
          <w:tcPr>
            <w:tcW w:w="14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14.1%</w:t>
            </w:r>
          </w:p>
        </w:tc>
        <w:tc>
          <w:tcPr>
            <w:tcW w:w="126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OVER</w:t>
            </w:r>
          </w:p>
        </w:tc>
      </w:tr>
      <w:tr>
        <w:trPr>
          <w:cantSplit/>
        </w:trPr>
        <w:tc>
          <w:tcPr>
            <w:tcW w:w="52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JEPQ, NVDA, HELO, SPMO</w:t>
            </w:r>
          </w:p>
        </w:tc>
        <w:tc>
          <w:tcPr>
            <w:tcW w:w="14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22.3%</w:t>
            </w:r>
          </w:p>
        </w:tc>
        <w:tc>
          <w:tcPr>
            <w:tcW w:w="11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0.80</w:t>
            </w:r>
          </w:p>
        </w:tc>
        <w:tc>
          <w:tcPr>
            <w:tcW w:w="14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27.1%</w:t>
            </w:r>
          </w:p>
        </w:tc>
        <w:tc>
          <w:tcPr>
            <w:tcW w:w="126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OVER</w:t>
            </w:r>
          </w:p>
        </w:tc>
      </w:tr>
      <w:tr>
        <w:trPr>
          <w:cantSplit/>
        </w:trPr>
        <w:tc>
          <w:tcPr>
            <w:tcW w:w="52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KLAC, ASML</w:t>
            </w:r>
          </w:p>
        </w:tc>
        <w:tc>
          <w:tcPr>
            <w:tcW w:w="14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4.7%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0.78</w:t>
            </w:r>
          </w:p>
        </w:tc>
        <w:tc>
          <w:tcPr>
            <w:tcW w:w="14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8.2%</w:t>
            </w:r>
          </w:p>
        </w:tc>
        <w:tc>
          <w:tcPr>
            <w:tcW w:w="1268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under</w:t>
            </w:r>
          </w:p>
        </w:tc>
      </w:tr>
    </w:tbl>
    <w:p>
      <w:pPr>
        <w:keepNext/>
        <w:spacing w:before="80" w:after="80"/>
      </w:pPr>
      <w:r>
        <w:rPr>
          <w:rFonts w:ascii="Calibri" w:hAnsi="Calibri" w:eastAsia="Calibri" w:cs="Calibri"/>
          <w:i/>
          <w:color w:val="595959"/>
          <w:sz w:val="18"/>
        </w:rPr>
        <w:t>Fama-French five factors plus momentum, monthly returns, up to 60 months; t-statistics in brackets (|t| above 2 is distinguishable from noise). SMB = size, HML = value, RMW = profitability, CMA = low investment, MOM = momentum.</w:t>
      </w:r>
    </w:p>
    <w:tbl>
      <w:tblPr>
        <w:tblW w:w="1036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20" w:type="dxa"/>
          <w:left w:w="90" w:type="dxa"/>
          <w:bottom w:w="20" w:type="dxa"/>
          <w:right w:w="90" w:type="dxa"/>
        </w:tblCellMar>
        <w:tblLook w:firstColumn="1" w:firstRow="1" w:lastColumn="0" w:lastRow="0" w:noHBand="0" w:noVBand="1" w:val="04A0"/>
      </w:tblPr>
      <w:tblGrid>
        <w:gridCol w:w="800"/>
        <w:gridCol w:w="800"/>
        <w:gridCol w:w="1450"/>
        <w:gridCol w:w="1450"/>
        <w:gridCol w:w="1450"/>
        <w:gridCol w:w="1450"/>
        <w:gridCol w:w="1450"/>
        <w:gridCol w:w="1518"/>
      </w:tblGrid>
      <w:tr>
        <w:trPr>
          <w:cantSplit/>
          <w:tblHeader/>
        </w:trPr>
        <w:tc>
          <w:tcPr>
            <w:tcW w:w="8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8"/>
              </w:rPr>
            </w:r>
          </w:p>
        </w:tc>
        <w:tc>
          <w:tcPr>
            <w:tcW w:w="8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8"/>
              </w:rPr>
              <w:t>MKT</w:t>
            </w:r>
          </w:p>
        </w:tc>
        <w:tc>
          <w:tcPr>
            <w:tcW w:w="145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8"/>
              </w:rPr>
              <w:t>SMB</w:t>
            </w:r>
          </w:p>
        </w:tc>
        <w:tc>
          <w:tcPr>
            <w:tcW w:w="145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8"/>
              </w:rPr>
              <w:t>HML</w:t>
            </w:r>
          </w:p>
        </w:tc>
        <w:tc>
          <w:tcPr>
            <w:tcW w:w="145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8"/>
              </w:rPr>
              <w:t>RMW</w:t>
            </w:r>
          </w:p>
        </w:tc>
        <w:tc>
          <w:tcPr>
            <w:tcW w:w="145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8"/>
              </w:rPr>
              <w:t>CMA</w:t>
            </w:r>
          </w:p>
        </w:tc>
        <w:tc>
          <w:tcPr>
            <w:tcW w:w="145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8"/>
              </w:rPr>
              <w:t>MOM</w:t>
            </w:r>
          </w:p>
        </w:tc>
        <w:tc>
          <w:tcPr>
            <w:tcW w:w="1518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8"/>
              </w:rPr>
              <w:t>R²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8"/>
              </w:rPr>
              <w:t>DVY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+0.77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+0.22 [+2.7]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+0.43 [+5.1]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+0.16 [+2.3]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+0.33 [+3.1]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-0.07 [-1.3]</w:t>
            </w:r>
          </w:p>
        </w:tc>
        <w:tc>
          <w:tcPr>
            <w:tcW w:w="151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0.89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8"/>
              </w:rPr>
              <w:t>VFLO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+0.97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-0.09 [-0.4]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+0.40 [+1.6]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-0.18 [-1.1]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+0.02 [+0.1]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-0.53 [-3.9]</w:t>
            </w:r>
          </w:p>
        </w:tc>
        <w:tc>
          <w:tcPr>
            <w:tcW w:w="151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0.71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8"/>
              </w:rPr>
              <w:t>SCHD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+0.77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+0.21 [+2.0]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+0.30 [+2.8]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+0.28 [+3.1]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+0.29 [+2.2]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-0.06 [-0.8]</w:t>
            </w:r>
          </w:p>
        </w:tc>
        <w:tc>
          <w:tcPr>
            <w:tcW w:w="151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0.82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8"/>
              </w:rPr>
              <w:t>VYM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+0.83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+0.07 [+1.4]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+0.32 [+5.9]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+0.17 [+3.7]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+0.25 [+3.6]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+0.02 [+0.5]</w:t>
            </w:r>
          </w:p>
        </w:tc>
        <w:tc>
          <w:tcPr>
            <w:tcW w:w="151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0.95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8"/>
              </w:rPr>
              <w:t>SPMO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+1.15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-0.18 [-1.6]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+0.02 [+0.2]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-0.30 [-3.0]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+0.19 [+1.3]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+0.51 [+7.0]</w:t>
            </w:r>
          </w:p>
        </w:tc>
        <w:tc>
          <w:tcPr>
            <w:tcW w:w="151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0.89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8"/>
              </w:rPr>
              <w:t>JEPQ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+0.81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-0.16 [-1.8]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-0.18 [-1.9]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-0.08 [-1.1]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-0.02 [-0.2]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+0.01 [+0.1]</w:t>
            </w:r>
          </w:p>
        </w:tc>
        <w:tc>
          <w:tcPr>
            <w:tcW w:w="151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0.90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8"/>
              </w:rPr>
              <w:t>AVUV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+1.04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+0.90 [+14.2]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+0.50 [+7.7]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+0.18 [+3.3]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+0.03 [+0.4]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+0.01 [+0.3]</w:t>
            </w:r>
          </w:p>
        </w:tc>
        <w:tc>
          <w:tcPr>
            <w:tcW w:w="151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0.97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8"/>
              </w:rPr>
              <w:t>HELO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+0.60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-0.06 [-1.2]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-0.01 [-0.2]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+0.17 [+4.5]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+0.04 [+0.6]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+0.03 [+0.9]</w:t>
            </w:r>
          </w:p>
        </w:tc>
        <w:tc>
          <w:tcPr>
            <w:tcW w:w="151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0.94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8"/>
              </w:rPr>
              <w:t>JEPI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+0.58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+0.08 [+1.2]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-0.04 [-0.5]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+0.26 [+4.4]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+0.26 [+3.0]</w:t>
            </w:r>
          </w:p>
        </w:tc>
        <w:tc>
          <w:tcPr>
            <w:tcW w:w="145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+0.03 [+0.8]</w:t>
            </w:r>
          </w:p>
        </w:tc>
        <w:tc>
          <w:tcPr>
            <w:tcW w:w="151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0.83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8"/>
              </w:rPr>
              <w:t>BOOK</w:t>
            </w:r>
          </w:p>
        </w:tc>
        <w:tc>
          <w:tcPr>
            <w:tcW w:w="8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+1.29</w:t>
            </w:r>
          </w:p>
        </w:tc>
        <w:tc>
          <w:tcPr>
            <w:tcW w:w="145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-0.34 [-2.2]</w:t>
            </w:r>
          </w:p>
        </w:tc>
        <w:tc>
          <w:tcPr>
            <w:tcW w:w="145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-0.43 [-2.7]</w:t>
            </w:r>
          </w:p>
        </w:tc>
        <w:tc>
          <w:tcPr>
            <w:tcW w:w="145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-0.17 [-1.3]</w:t>
            </w:r>
          </w:p>
        </w:tc>
        <w:tc>
          <w:tcPr>
            <w:tcW w:w="145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-0.17 [-0.8]</w:t>
            </w:r>
          </w:p>
        </w:tc>
        <w:tc>
          <w:tcPr>
            <w:tcW w:w="145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-0.07 [-0.7]</w:t>
            </w:r>
          </w:p>
        </w:tc>
        <w:tc>
          <w:tcPr>
            <w:tcW w:w="1518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0.87</w:t>
            </w:r>
          </w:p>
        </w:tc>
      </w:tr>
    </w:tbl>
    <w:p>
      <w:pPr>
        <w:spacing w:before="60" w:after="80"/>
      </w:pPr>
      <w:r>
        <w:rPr>
          <w:rFonts w:ascii="Calibri" w:hAnsi="Calibri" w:eastAsia="Calibri" w:cs="Calibri"/>
          <w:i/>
          <w:color w:val="595959"/>
          <w:sz w:val="18"/>
        </w:rPr>
        <w:t>BOOK = today's directly held stocks at constant weights looked back (hindsight, so read its loadings, not its alpha): the sleeve leans value / small / low-investment and the book leans growth.</w:t>
      </w:r>
    </w:p>
    <w:p>
      <w:pPr>
        <w:keepNext/>
        <w:spacing w:before="200" w:after="60"/>
      </w:pPr>
      <w:r>
        <w:rPr>
          <w:rFonts w:ascii="Calibri" w:hAnsi="Calibri" w:eastAsia="Calibri" w:cs="Calibri"/>
          <w:b/>
          <w:color w:val="1F3864"/>
          <w:sz w:val="26"/>
        </w:rPr>
        <w:t>Look-through and overlap</w:t>
      </w:r>
    </w:p>
    <w:tbl>
      <w:tblPr>
        <w:tblW w:w="1036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20" w:type="dxa"/>
          <w:left w:w="90" w:type="dxa"/>
          <w:bottom w:w="20" w:type="dxa"/>
          <w:right w:w="90" w:type="dxa"/>
        </w:tblCellMar>
        <w:tblLook w:firstColumn="1" w:firstRow="1" w:lastColumn="0" w:lastRow="0" w:noHBand="0" w:noVBand="1" w:val="04A0"/>
      </w:tblPr>
      <w:tblGrid>
        <w:gridCol w:w="3600"/>
        <w:gridCol w:w="1300"/>
        <w:gridCol w:w="1300"/>
        <w:gridCol w:w="1300"/>
        <w:gridCol w:w="1300"/>
        <w:gridCol w:w="1568"/>
      </w:tblGrid>
      <w:tr>
        <w:trPr>
          <w:cantSplit/>
          <w:tblHeader/>
        </w:trPr>
        <w:tc>
          <w:tcPr>
            <w:tcW w:w="36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8"/>
              </w:rPr>
              <w:t>Sector (share of invested equity)</w:t>
            </w:r>
          </w:p>
        </w:tc>
        <w:tc>
          <w:tcPr>
            <w:tcW w:w="13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8"/>
              </w:rPr>
              <w:t>Direct</w:t>
            </w:r>
          </w:p>
        </w:tc>
        <w:tc>
          <w:tcPr>
            <w:tcW w:w="13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8"/>
              </w:rPr>
              <w:t>ETFs</w:t>
            </w:r>
          </w:p>
        </w:tc>
        <w:tc>
          <w:tcPr>
            <w:tcW w:w="13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8"/>
              </w:rPr>
              <w:t>Total</w:t>
            </w:r>
          </w:p>
        </w:tc>
        <w:tc>
          <w:tcPr>
            <w:tcW w:w="13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8"/>
              </w:rPr>
              <w:t>SPY</w:t>
            </w:r>
          </w:p>
        </w:tc>
        <w:tc>
          <w:tcPr>
            <w:tcW w:w="1568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8"/>
              </w:rPr>
              <w:t>Active, pts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Technology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29.5%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12.6%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42.1%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40.5%</w:t>
            </w:r>
          </w:p>
        </w:tc>
        <w:tc>
          <w:tcPr>
            <w:tcW w:w="1568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+1.7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Healthcare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9.2%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3.9%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13.1%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9.3%</w:t>
            </w:r>
          </w:p>
        </w:tc>
        <w:tc>
          <w:tcPr>
            <w:tcW w:w="1568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+3.9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Energy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0.0%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11.3%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11.3%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3.4%</w:t>
            </w:r>
          </w:p>
        </w:tc>
        <w:tc>
          <w:tcPr>
            <w:tcW w:w="1568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+7.9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Financial Services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2.7%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4.9%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7.7%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11.2%</w:t>
            </w:r>
          </w:p>
        </w:tc>
        <w:tc>
          <w:tcPr>
            <w:tcW w:w="1568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-3.5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Industrials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4.6%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2.9%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7.5%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7.5%</w:t>
            </w:r>
          </w:p>
        </w:tc>
        <w:tc>
          <w:tcPr>
            <w:tcW w:w="1568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-0.0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Communication Services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3.0%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2.9%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6.0%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10.0%</w:t>
            </w:r>
          </w:p>
        </w:tc>
        <w:tc>
          <w:tcPr>
            <w:tcW w:w="1568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-4.0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Consumer Cyclical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0.0%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4.1%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4.1%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8.7%</w:t>
            </w:r>
          </w:p>
        </w:tc>
        <w:tc>
          <w:tcPr>
            <w:tcW w:w="1568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-4.6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Consumer Defensive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0.0%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2.7%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2.7%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4.3%</w:t>
            </w:r>
          </w:p>
        </w:tc>
        <w:tc>
          <w:tcPr>
            <w:tcW w:w="1568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-1.6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Real Estate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2.4%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0.3%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2.7%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1.7%</w:t>
            </w:r>
          </w:p>
        </w:tc>
        <w:tc>
          <w:tcPr>
            <w:tcW w:w="1568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+1.0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Utilities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0.0%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1.8%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1.8%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1.9%</w:t>
            </w:r>
          </w:p>
        </w:tc>
        <w:tc>
          <w:tcPr>
            <w:tcW w:w="1568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-0.1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Basic Materials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0.0%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1.0%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1.0%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1.6%</w:t>
            </w:r>
          </w:p>
        </w:tc>
        <w:tc>
          <w:tcPr>
            <w:tcW w:w="1568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-0.5</w:t>
            </w:r>
          </w:p>
        </w:tc>
      </w:tr>
    </w:tbl>
    <w:p>
      <w:pPr>
        <w:keepNext/>
        <w:spacing w:before="120" w:after="40"/>
      </w:pPr>
      <w:r>
        <w:rPr>
          <w:rFonts w:ascii="Calibri" w:hAnsi="Calibri" w:eastAsia="Calibri" w:cs="Calibri"/>
          <w:b/>
          <w:sz w:val="20"/>
        </w:rPr>
        <w:t>Names held directly and through ETF top-10 lists ($K; a lower bound)</w:t>
      </w:r>
    </w:p>
    <w:tbl>
      <w:tblPr>
        <w:tblW w:w="1036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20" w:type="dxa"/>
          <w:left w:w="90" w:type="dxa"/>
          <w:bottom w:w="20" w:type="dxa"/>
          <w:right w:w="90" w:type="dxa"/>
        </w:tblCellMar>
        <w:tblLook w:firstColumn="1" w:firstRow="1" w:lastColumn="0" w:lastRow="0" w:noHBand="0" w:noVBand="1" w:val="04A0"/>
      </w:tblPr>
      <w:tblGrid>
        <w:gridCol w:w="900"/>
        <w:gridCol w:w="1100"/>
        <w:gridCol w:w="1100"/>
        <w:gridCol w:w="1500"/>
        <w:gridCol w:w="5768"/>
      </w:tblGrid>
      <w:tr>
        <w:trPr>
          <w:cantSplit/>
          <w:tblHeader/>
        </w:trPr>
        <w:tc>
          <w:tcPr>
            <w:tcW w:w="9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Name</w:t>
            </w:r>
          </w:p>
        </w:tc>
        <w:tc>
          <w:tcPr>
            <w:tcW w:w="11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Direct</w:t>
            </w:r>
          </w:p>
        </w:tc>
        <w:tc>
          <w:tcPr>
            <w:tcW w:w="11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Via ETFs</w:t>
            </w:r>
          </w:p>
        </w:tc>
        <w:tc>
          <w:tcPr>
            <w:tcW w:w="15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% of portfolio</w:t>
            </w:r>
          </w:p>
        </w:tc>
        <w:tc>
          <w:tcPr>
            <w:tcW w:w="5768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Through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9"/>
              </w:rPr>
              <w:t>NVDA</w:t>
            </w:r>
          </w:p>
        </w:tc>
        <w:tc>
          <w:tcPr>
            <w:tcW w:w="11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50.1</w:t>
            </w:r>
          </w:p>
        </w:tc>
        <w:tc>
          <w:tcPr>
            <w:tcW w:w="11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7.1</w:t>
            </w:r>
          </w:p>
        </w:tc>
        <w:tc>
          <w:tcPr>
            <w:tcW w:w="15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8.0%</w:t>
            </w:r>
          </w:p>
        </w:tc>
        <w:tc>
          <w:tcPr>
            <w:tcW w:w="576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JEPQ 3.8, HELO 3.1, JEPI 0.2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9"/>
              </w:rPr>
              <w:t>ADBE</w:t>
            </w:r>
          </w:p>
        </w:tc>
        <w:tc>
          <w:tcPr>
            <w:tcW w:w="11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15.4</w:t>
            </w:r>
          </w:p>
        </w:tc>
        <w:tc>
          <w:tcPr>
            <w:tcW w:w="11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1.2</w:t>
            </w:r>
          </w:p>
        </w:tc>
        <w:tc>
          <w:tcPr>
            <w:tcW w:w="15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2.3%</w:t>
            </w:r>
          </w:p>
        </w:tc>
        <w:tc>
          <w:tcPr>
            <w:tcW w:w="576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VFLO 1.2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9"/>
              </w:rPr>
              <w:t>AVGO</w:t>
            </w:r>
          </w:p>
        </w:tc>
        <w:tc>
          <w:tcPr>
            <w:tcW w:w="11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12.5</w:t>
            </w:r>
          </w:p>
        </w:tc>
        <w:tc>
          <w:tcPr>
            <w:tcW w:w="11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2.6</w:t>
            </w:r>
          </w:p>
        </w:tc>
        <w:tc>
          <w:tcPr>
            <w:tcW w:w="15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2.1%</w:t>
            </w:r>
          </w:p>
        </w:tc>
        <w:tc>
          <w:tcPr>
            <w:tcW w:w="576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VYM 1.6, HELO 0.9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9"/>
              </w:rPr>
              <w:t>MU</w:t>
            </w:r>
          </w:p>
        </w:tc>
        <w:tc>
          <w:tcPr>
            <w:tcW w:w="11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7.5</w:t>
            </w:r>
          </w:p>
        </w:tc>
        <w:tc>
          <w:tcPr>
            <w:tcW w:w="11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6.9</w:t>
            </w:r>
          </w:p>
        </w:tc>
        <w:tc>
          <w:tcPr>
            <w:tcW w:w="15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2.0%</w:t>
            </w:r>
          </w:p>
        </w:tc>
        <w:tc>
          <w:tcPr>
            <w:tcW w:w="576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JEPQ 2.6, SPMO 2.1, VFLO 1.5, HELO 0.7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9"/>
              </w:rPr>
              <w:t>AAPL</w:t>
            </w:r>
          </w:p>
        </w:tc>
        <w:tc>
          <w:tcPr>
            <w:tcW w:w="11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0.0</w:t>
            </w:r>
          </w:p>
        </w:tc>
        <w:tc>
          <w:tcPr>
            <w:tcW w:w="11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8.0</w:t>
            </w:r>
          </w:p>
        </w:tc>
        <w:tc>
          <w:tcPr>
            <w:tcW w:w="15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1.1%</w:t>
            </w:r>
          </w:p>
        </w:tc>
        <w:tc>
          <w:tcPr>
            <w:tcW w:w="576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JEPQ 3.3, HELO 2.4, SPMO 2.0, JEPI 0.2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9"/>
              </w:rPr>
              <w:t>GOOGL</w:t>
            </w:r>
          </w:p>
        </w:tc>
        <w:tc>
          <w:tcPr>
            <w:tcW w:w="11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0.0</w:t>
            </w:r>
          </w:p>
        </w:tc>
        <w:tc>
          <w:tcPr>
            <w:tcW w:w="11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6.4</w:t>
            </w:r>
          </w:p>
        </w:tc>
        <w:tc>
          <w:tcPr>
            <w:tcW w:w="15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0.9%</w:t>
            </w:r>
          </w:p>
        </w:tc>
        <w:tc>
          <w:tcPr>
            <w:tcW w:w="576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JEPQ 2.4, SPMO 2.0, HELO 1.9, JEPI 0.2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9"/>
              </w:rPr>
              <w:t>MSFT</w:t>
            </w:r>
          </w:p>
        </w:tc>
        <w:tc>
          <w:tcPr>
            <w:tcW w:w="11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0.0</w:t>
            </w:r>
          </w:p>
        </w:tc>
        <w:tc>
          <w:tcPr>
            <w:tcW w:w="11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5.1</w:t>
            </w:r>
          </w:p>
        </w:tc>
        <w:tc>
          <w:tcPr>
            <w:tcW w:w="15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0.7%</w:t>
            </w:r>
          </w:p>
        </w:tc>
        <w:tc>
          <w:tcPr>
            <w:tcW w:w="576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JEPQ 2.7, HELO 2.2, JEPI 0.2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9"/>
              </w:rPr>
              <w:t>ENB.TO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0.0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4.9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0.7%</w:t>
            </w:r>
          </w:p>
        </w:tc>
        <w:tc>
          <w:tcPr>
            <w:tcW w:w="5768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MLPI 4.9</w:t>
            </w:r>
          </w:p>
        </w:tc>
      </w:tr>
    </w:tbl>
    <w:p>
      <w:pPr>
        <w:keepNext/>
        <w:spacing w:before="200" w:after="60"/>
      </w:pPr>
      <w:r>
        <w:rPr>
          <w:rFonts w:ascii="Calibri" w:hAnsi="Calibri" w:eastAsia="Calibri" w:cs="Calibri"/>
          <w:b/>
          <w:color w:val="1F3864"/>
          <w:sz w:val="26"/>
        </w:rPr>
        <w:t>Where the risk is</w:t>
      </w:r>
    </w:p>
    <w:tbl>
      <w:tblPr>
        <w:tblW w:w="1036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20" w:type="dxa"/>
          <w:left w:w="90" w:type="dxa"/>
          <w:bottom w:w="20" w:type="dxa"/>
          <w:right w:w="90" w:type="dxa"/>
        </w:tblCellMar>
        <w:tblLook w:firstColumn="1" w:firstRow="1" w:lastColumn="0" w:lastRow="0" w:noHBand="0" w:noVBand="1" w:val="04A0"/>
      </w:tblPr>
      <w:tblGrid>
        <w:gridCol w:w="6400"/>
        <w:gridCol w:w="1900"/>
        <w:gridCol w:w="2068"/>
      </w:tblGrid>
      <w:tr>
        <w:trPr>
          <w:cantSplit/>
          <w:tblHeader/>
        </w:trPr>
        <w:tc>
          <w:tcPr>
            <w:tcW w:w="64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Group</w:t>
            </w:r>
          </w:p>
        </w:tc>
        <w:tc>
          <w:tcPr>
            <w:tcW w:w="19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Weight</w:t>
            </w:r>
          </w:p>
        </w:tc>
        <w:tc>
          <w:tcPr>
            <w:tcW w:w="2068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Share of variance</w:t>
            </w:r>
          </w:p>
        </w:tc>
      </w:tr>
      <w:tr>
        <w:trPr>
          <w:cantSplit/>
        </w:trPr>
        <w:tc>
          <w:tcPr>
            <w:tcW w:w="64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AVUV, VFLO, VYM, DVY, SCHD, JEPI</w:t>
            </w:r>
          </w:p>
        </w:tc>
        <w:tc>
          <w:tcPr>
            <w:tcW w:w="19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22.6%</w:t>
            </w:r>
          </w:p>
        </w:tc>
        <w:tc>
          <w:tcPr>
            <w:tcW w:w="206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14.1%</w:t>
            </w:r>
          </w:p>
        </w:tc>
      </w:tr>
      <w:tr>
        <w:trPr>
          <w:cantSplit/>
        </w:trPr>
        <w:tc>
          <w:tcPr>
            <w:tcW w:w="64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JEPQ, NVDA, HELO, SPMO</w:t>
            </w:r>
          </w:p>
        </w:tc>
        <w:tc>
          <w:tcPr>
            <w:tcW w:w="19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22.3%</w:t>
            </w:r>
          </w:p>
        </w:tc>
        <w:tc>
          <w:tcPr>
            <w:tcW w:w="206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27.1%</w:t>
            </w:r>
          </w:p>
        </w:tc>
      </w:tr>
      <w:tr>
        <w:trPr>
          <w:cantSplit/>
        </w:trPr>
        <w:tc>
          <w:tcPr>
            <w:tcW w:w="64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KLAC, ASML</w:t>
            </w:r>
          </w:p>
        </w:tc>
        <w:tc>
          <w:tcPr>
            <w:tcW w:w="19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4.7%</w:t>
            </w:r>
          </w:p>
        </w:tc>
        <w:tc>
          <w:tcPr>
            <w:tcW w:w="206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8.2%</w:t>
            </w:r>
          </w:p>
        </w:tc>
      </w:tr>
      <w:tr>
        <w:trPr>
          <w:cantSplit/>
        </w:trPr>
        <w:tc>
          <w:tcPr>
            <w:tcW w:w="64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Direct stocks (all)</w:t>
            </w:r>
          </w:p>
        </w:tc>
        <w:tc>
          <w:tcPr>
            <w:tcW w:w="19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48.0%</w:t>
            </w:r>
          </w:p>
        </w:tc>
        <w:tc>
          <w:tcPr>
            <w:tcW w:w="206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74.5%</w:t>
            </w:r>
          </w:p>
        </w:tc>
      </w:tr>
      <w:tr>
        <w:trPr>
          <w:cantSplit/>
        </w:trPr>
        <w:tc>
          <w:tcPr>
            <w:tcW w:w="64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ETF sleeve (all)</w:t>
            </w:r>
          </w:p>
        </w:tc>
        <w:tc>
          <w:tcPr>
            <w:tcW w:w="19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45.1%</w:t>
            </w:r>
          </w:p>
        </w:tc>
        <w:tc>
          <w:tcPr>
            <w:tcW w:w="2068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25.5%</w:t>
            </w:r>
          </w:p>
        </w:tc>
      </w:tr>
    </w:tbl>
    <w:p>
      <w:pPr>
        <w:spacing w:before="60" w:after="80"/>
      </w:pPr>
      <w:r>
        <w:rPr>
          <w:rFonts w:ascii="Calibri" w:hAnsi="Calibri" w:eastAsia="Calibri" w:cs="Calibri"/>
          <w:i/>
          <w:color w:val="595959"/>
          <w:sz w:val="19"/>
        </w:rPr>
        <w:t>Portfolio volatility 15.6% against SPY's 14.3%; beta 1.03; about 9.5 effective independent bets; the first principal component explains 42% of the correlation structure.</w:t>
      </w:r>
    </w:p>
    <w:p>
      <w:pPr>
        <w:keepNext/>
        <w:spacing w:before="200" w:after="60"/>
      </w:pPr>
      <w:r>
        <w:rPr>
          <w:rFonts w:ascii="Calibri" w:hAnsi="Calibri" w:eastAsia="Calibri" w:cs="Calibri"/>
          <w:b/>
          <w:color w:val="1F3864"/>
          <w:sz w:val="26"/>
        </w:rPr>
        <w:t>What is missing</w:t>
      </w:r>
    </w:p>
    <w:tbl>
      <w:tblPr>
        <w:tblW w:w="1036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20" w:type="dxa"/>
          <w:left w:w="90" w:type="dxa"/>
          <w:bottom w:w="20" w:type="dxa"/>
          <w:right w:w="90" w:type="dxa"/>
        </w:tblCellMar>
        <w:tblLook w:firstColumn="1" w:firstRow="1" w:lastColumn="0" w:lastRow="0" w:noHBand="0" w:noVBand="1" w:val="04A0"/>
      </w:tblPr>
      <w:tblGrid>
        <w:gridCol w:w="4600"/>
        <w:gridCol w:w="2100"/>
        <w:gridCol w:w="2000"/>
        <w:gridCol w:w="1668"/>
      </w:tblGrid>
      <w:tr>
        <w:trPr>
          <w:cantSplit/>
          <w:tblHeader/>
        </w:trPr>
        <w:tc>
          <w:tcPr>
            <w:tcW w:w="46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8"/>
              </w:rPr>
              <w:t>Candidate (move 7% of the portfolio into it)</w:t>
            </w:r>
          </w:p>
        </w:tc>
        <w:tc>
          <w:tcPr>
            <w:tcW w:w="21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8"/>
              </w:rPr>
              <w:t>Correlation with portfolio</w:t>
            </w:r>
          </w:p>
        </w:tc>
        <w:tc>
          <w:tcPr>
            <w:tcW w:w="20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8"/>
              </w:rPr>
              <w:t>Change in volatility</w:t>
            </w:r>
          </w:p>
        </w:tc>
        <w:tc>
          <w:tcPr>
            <w:tcW w:w="1668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8"/>
              </w:rPr>
              <w:t>Beta after</w:t>
            </w:r>
          </w:p>
        </w:tc>
      </w:tr>
      <w:tr>
        <w:trPr>
          <w:cantSplit/>
        </w:trPr>
        <w:tc>
          <w:tcPr>
            <w:tcW w:w="46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BIL  T-bills (cash-like)</w:t>
            </w:r>
          </w:p>
        </w:tc>
        <w:tc>
          <w:tcPr>
            <w:tcW w:w="21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0.08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-1.18 pts</w:t>
            </w:r>
          </w:p>
        </w:tc>
        <w:tc>
          <w:tcPr>
            <w:tcW w:w="1668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0.95</w:t>
            </w:r>
          </w:p>
        </w:tc>
      </w:tr>
      <w:tr>
        <w:trPr>
          <w:cantSplit/>
        </w:trPr>
        <w:tc>
          <w:tcPr>
            <w:tcW w:w="46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AGG  US aggregate bonds</w:t>
            </w:r>
          </w:p>
        </w:tc>
        <w:tc>
          <w:tcPr>
            <w:tcW w:w="21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0.17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-1.11 pts</w:t>
            </w:r>
          </w:p>
        </w:tc>
        <w:tc>
          <w:tcPr>
            <w:tcW w:w="1668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0.96</w:t>
            </w:r>
          </w:p>
        </w:tc>
      </w:tr>
      <w:tr>
        <w:trPr>
          <w:cantSplit/>
        </w:trPr>
        <w:tc>
          <w:tcPr>
            <w:tcW w:w="46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TLT  long Treasuries</w:t>
            </w:r>
          </w:p>
        </w:tc>
        <w:tc>
          <w:tcPr>
            <w:tcW w:w="21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0.10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-1.05 pts</w:t>
            </w:r>
          </w:p>
        </w:tc>
        <w:tc>
          <w:tcPr>
            <w:tcW w:w="1668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0.96</w:t>
            </w:r>
          </w:p>
        </w:tc>
      </w:tr>
      <w:tr>
        <w:trPr>
          <w:cantSplit/>
        </w:trPr>
        <w:tc>
          <w:tcPr>
            <w:tcW w:w="46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XLP  Consumer Staples</w:t>
            </w:r>
          </w:p>
        </w:tc>
        <w:tc>
          <w:tcPr>
            <w:tcW w:w="21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0.24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-0.97 pts</w:t>
            </w:r>
          </w:p>
        </w:tc>
        <w:tc>
          <w:tcPr>
            <w:tcW w:w="1668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0.97</w:t>
            </w:r>
          </w:p>
        </w:tc>
      </w:tr>
      <w:tr>
        <w:trPr>
          <w:cantSplit/>
        </w:trPr>
        <w:tc>
          <w:tcPr>
            <w:tcW w:w="46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GLD  gold</w:t>
            </w:r>
          </w:p>
        </w:tc>
        <w:tc>
          <w:tcPr>
            <w:tcW w:w="21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0.12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-0.96 pts</w:t>
            </w:r>
          </w:p>
        </w:tc>
        <w:tc>
          <w:tcPr>
            <w:tcW w:w="1668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0.97</w:t>
            </w:r>
          </w:p>
        </w:tc>
      </w:tr>
      <w:tr>
        <w:trPr>
          <w:cantSplit/>
        </w:trPr>
        <w:tc>
          <w:tcPr>
            <w:tcW w:w="46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XLU  Utilities</w:t>
            </w:r>
          </w:p>
        </w:tc>
        <w:tc>
          <w:tcPr>
            <w:tcW w:w="21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0.24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-0.88 pts</w:t>
            </w:r>
          </w:p>
        </w:tc>
        <w:tc>
          <w:tcPr>
            <w:tcW w:w="1668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0.97</w:t>
            </w:r>
          </w:p>
        </w:tc>
      </w:tr>
      <w:tr>
        <w:trPr>
          <w:cantSplit/>
        </w:trPr>
        <w:tc>
          <w:tcPr>
            <w:tcW w:w="46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XLV  Health Care</w:t>
            </w:r>
          </w:p>
        </w:tc>
        <w:tc>
          <w:tcPr>
            <w:tcW w:w="21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0.40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-0.73 pts</w:t>
            </w:r>
          </w:p>
        </w:tc>
        <w:tc>
          <w:tcPr>
            <w:tcW w:w="1668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0.98</w:t>
            </w:r>
          </w:p>
        </w:tc>
      </w:tr>
      <w:tr>
        <w:trPr>
          <w:cantSplit/>
        </w:trPr>
        <w:tc>
          <w:tcPr>
            <w:tcW w:w="46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USMV  minimum-volatility equities</w:t>
            </w:r>
          </w:p>
        </w:tc>
        <w:tc>
          <w:tcPr>
            <w:tcW w:w="21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0.70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-0.68 pts</w:t>
            </w:r>
          </w:p>
        </w:tc>
        <w:tc>
          <w:tcPr>
            <w:tcW w:w="1668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0.99</w:t>
            </w:r>
          </w:p>
        </w:tc>
      </w:tr>
      <w:tr>
        <w:trPr>
          <w:cantSplit/>
        </w:trPr>
        <w:tc>
          <w:tcPr>
            <w:tcW w:w="46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RSP  equal-weight S&amp;P 500</w:t>
            </w:r>
          </w:p>
        </w:tc>
        <w:tc>
          <w:tcPr>
            <w:tcW w:w="21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0.80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-0.43 pts</w:t>
            </w:r>
          </w:p>
        </w:tc>
        <w:tc>
          <w:tcPr>
            <w:tcW w:w="1668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1.01</w:t>
            </w:r>
          </w:p>
        </w:tc>
      </w:tr>
      <w:tr>
        <w:trPr>
          <w:cantSplit/>
        </w:trPr>
        <w:tc>
          <w:tcPr>
            <w:tcW w:w="46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VXUS  international ex-US</w:t>
            </w:r>
          </w:p>
        </w:tc>
        <w:tc>
          <w:tcPr>
            <w:tcW w:w="21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0.72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-0.42 pts</w:t>
            </w:r>
          </w:p>
        </w:tc>
        <w:tc>
          <w:tcPr>
            <w:tcW w:w="1668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1.01</w:t>
            </w:r>
          </w:p>
        </w:tc>
      </w:tr>
      <w:tr>
        <w:trPr>
          <w:cantSplit/>
        </w:trPr>
        <w:tc>
          <w:tcPr>
            <w:tcW w:w="46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XLF  Financials</w:t>
            </w:r>
          </w:p>
        </w:tc>
        <w:tc>
          <w:tcPr>
            <w:tcW w:w="21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0.67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-0.39 pts</w:t>
            </w:r>
          </w:p>
        </w:tc>
        <w:tc>
          <w:tcPr>
            <w:tcW w:w="1668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1.01</w:t>
            </w:r>
          </w:p>
        </w:tc>
      </w:tr>
      <w:tr>
        <w:trPr>
          <w:cantSplit/>
        </w:trPr>
        <w:tc>
          <w:tcPr>
            <w:tcW w:w="46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XLC  Communication Services</w:t>
            </w:r>
          </w:p>
        </w:tc>
        <w:tc>
          <w:tcPr>
            <w:tcW w:w="21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0.73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-0.34 pts</w:t>
            </w:r>
          </w:p>
        </w:tc>
        <w:tc>
          <w:tcPr>
            <w:tcW w:w="1668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1.02</w:t>
            </w:r>
          </w:p>
        </w:tc>
      </w:tr>
      <w:tr>
        <w:trPr>
          <w:cantSplit/>
        </w:trPr>
        <w:tc>
          <w:tcPr>
            <w:tcW w:w="46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QUAL  quality factor</w:t>
            </w:r>
          </w:p>
        </w:tc>
        <w:tc>
          <w:tcPr>
            <w:tcW w:w="21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0.93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-0.27 pts</w:t>
            </w:r>
          </w:p>
        </w:tc>
        <w:tc>
          <w:tcPr>
            <w:tcW w:w="1668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1.02</w:t>
            </w:r>
          </w:p>
        </w:tc>
      </w:tr>
      <w:tr>
        <w:trPr>
          <w:cantSplit/>
        </w:trPr>
        <w:tc>
          <w:tcPr>
            <w:tcW w:w="46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XLY  Consumer Discretionary</w:t>
            </w:r>
          </w:p>
        </w:tc>
        <w:tc>
          <w:tcPr>
            <w:tcW w:w="21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0.77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-0.11 pts</w:t>
            </w:r>
          </w:p>
        </w:tc>
        <w:tc>
          <w:tcPr>
            <w:tcW w:w="1668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8"/>
              </w:rPr>
              <w:t>1.03</w:t>
            </w:r>
          </w:p>
        </w:tc>
      </w:tr>
    </w:tbl>
    <w:p>
      <w:pPr>
        <w:spacing w:before="60" w:after="80"/>
      </w:pPr>
      <w:r>
        <w:rPr>
          <w:rFonts w:ascii="Calibri" w:hAnsi="Calibri" w:eastAsia="Calibri" w:cs="Calibri"/>
          <w:i/>
          <w:color w:val="595959"/>
          <w:sz w:val="18"/>
        </w:rPr>
        <w:t>The sleeve holds no bonds and no international. These are three-year weekly correlations from one bull market; bond and defensive correlations can change sign.</w:t>
      </w:r>
    </w:p>
    <w:p>
      <w:pPr>
        <w:keepNext/>
        <w:spacing w:before="120" w:after="60"/>
      </w:pPr>
      <w:r>
        <w:rPr>
          <w:rFonts w:ascii="Calibri" w:hAnsi="Calibri" w:eastAsia="Calibri" w:cs="Calibri"/>
          <w:b/>
          <w:color w:val="1F3864"/>
          <w:sz w:val="26"/>
        </w:rPr>
        <w:t>Rules the sleeve touches</w:t>
      </w:r>
    </w:p>
    <w:p>
      <w:pPr>
        <w:spacing w:before="0" w:after="30"/>
        <w:ind w:left="403" w:hanging="288"/>
      </w:pPr>
      <w:r>
        <w:rPr>
          <w:rFonts w:ascii="Calibri" w:hAnsi="Calibri" w:eastAsia="Calibri" w:cs="Calibri"/>
          <w:sz w:val="19"/>
        </w:rPr>
        <w:t>•  Rule 38 groups (average pairwise correlation at least 0.70): AVUV, VFLO, VYM, DVY, SCHD, JEPI = 22.6% of the portfolio (average correlation 0.81) -- OVER the 20% cluster cap.</w:t>
      </w:r>
    </w:p>
    <w:p>
      <w:pPr>
        <w:spacing w:before="0" w:after="30"/>
        <w:ind w:left="403" w:hanging="288"/>
      </w:pPr>
      <w:r>
        <w:rPr>
          <w:rFonts w:ascii="Calibri" w:hAnsi="Calibri" w:eastAsia="Calibri" w:cs="Calibri"/>
          <w:sz w:val="19"/>
        </w:rPr>
        <w:t>•  Rule 38 groups (average pairwise correlation at least 0.70): JEPQ, NVDA, HELO, SPMO = 22.3% of the portfolio (average correlation 0.80) -- OVER the 20% cluster cap. ETFs in it: JEPQ, HELO, SPMO.</w:t>
      </w:r>
    </w:p>
    <w:p>
      <w:pPr>
        <w:spacing w:before="0" w:after="30"/>
        <w:ind w:left="403" w:hanging="288"/>
      </w:pPr>
      <w:r>
        <w:rPr>
          <w:rFonts w:ascii="Calibri" w:hAnsi="Calibri" w:eastAsia="Calibri" w:cs="Calibri"/>
          <w:sz w:val="19"/>
        </w:rPr>
        <w:t>•  Rule 38 groups (average pairwise correlation at least 0.70): KLAC, ASML = 4.7% of the portfolio (average correlation 0.78) -- under the 20% cluster cap.</w:t>
      </w:r>
    </w:p>
    <w:p>
      <w:pPr>
        <w:spacing w:before="0" w:after="30"/>
        <w:ind w:left="403" w:hanging="288"/>
      </w:pPr>
      <w:r>
        <w:rPr>
          <w:rFonts w:ascii="Calibri" w:hAnsi="Calibri" w:eastAsia="Calibri" w:cs="Calibri"/>
          <w:sz w:val="19"/>
        </w:rPr>
        <w:t>•  Part 5 cash band 5%-15%: cash and equivalents are 6.9% if the ETFs count as invested equity, 52.0% if they count as cash -- the workbook's Cash / Cash Equivalents aggregate counts them as cash.</w:t>
      </w:r>
    </w:p>
    <w:p>
      <w:pPr>
        <w:spacing w:before="0" w:after="30"/>
        <w:ind w:left="403" w:hanging="288"/>
      </w:pPr>
      <w:r>
        <w:rPr>
          <w:rFonts w:ascii="Calibri" w:hAnsi="Calibri" w:eastAsia="Calibri" w:cs="Calibri"/>
          <w:sz w:val="19"/>
        </w:rPr>
        <w:t>•  Rule 16 sector cap 25% (market value, direct holdings): the largest is Technology at 27.5% of the portfolio; with the ETFs looked through Technology is 39.2%.</w:t>
      </w:r>
    </w:p>
    <w:p>
      <w:pPr>
        <w:spacing w:before="0" w:after="30"/>
        <w:ind w:left="403" w:hanging="288"/>
      </w:pPr>
      <w:r>
        <w:rPr>
          <w:rFonts w:ascii="Calibri" w:hAnsi="Calibri" w:eastAsia="Calibri" w:cs="Calibri"/>
          <w:sz w:val="19"/>
        </w:rPr>
        <w:t>•  Funding order today is SPMO first; ranked by correlation to the direct stock book the sleeve reads JEPQ 0.89, SPMO 0.87, HELO 0.86, JEPI 0.68, VYM 0.62, VFLO 0.57, AVUV 0.50, SCHD 0.40, DVY 0.34, MLPI -0.53 (the highest duplicate the book most).</w:t>
      </w:r>
    </w:p>
    <w:p>
      <w:pPr>
        <w:keepNext/>
        <w:spacing w:before="120" w:after="60"/>
      </w:pPr>
      <w:r>
        <w:rPr>
          <w:rFonts w:ascii="Calibri" w:hAnsi="Calibri" w:eastAsia="Calibri" w:cs="Calibri"/>
          <w:b/>
          <w:color w:val="1F3864"/>
          <w:sz w:val="26"/>
        </w:rPr>
        <w:t>Open design questions (Open Items #7)</w:t>
      </w:r>
    </w:p>
    <w:p>
      <w:pPr>
        <w:spacing w:before="0" w:after="30"/>
        <w:ind w:left="403" w:hanging="288"/>
      </w:pPr>
      <w:r>
        <w:rPr>
          <w:rFonts w:ascii="Calibri" w:hAnsi="Calibri" w:eastAsia="Calibri" w:cs="Calibri"/>
          <w:sz w:val="19"/>
        </w:rPr>
        <w:t>1.  Role: is the sleeve a reservoir to draw down into single stocks, a permanent core allocation with its own target weight, or both?</w:t>
      </w:r>
    </w:p>
    <w:p>
      <w:pPr>
        <w:spacing w:before="0" w:after="30"/>
        <w:ind w:left="403" w:hanging="288"/>
      </w:pPr>
      <w:r>
        <w:rPr>
          <w:rFonts w:ascii="Calibri" w:hAnsi="Calibri" w:eastAsia="Calibri" w:cs="Calibri"/>
          <w:sz w:val="19"/>
        </w:rPr>
        <w:t>2.  Classification: do ETFs count as cash for Part 5's 5-15% band, and does the 25% sector cap use look-through?</w:t>
      </w:r>
    </w:p>
    <w:p>
      <w:pPr>
        <w:spacing w:before="0" w:after="30"/>
        <w:ind w:left="403" w:hanging="288"/>
      </w:pPr>
      <w:r>
        <w:rPr>
          <w:rFonts w:ascii="Calibri" w:hAnsi="Calibri" w:eastAsia="Calibri" w:cs="Calibri"/>
          <w:sz w:val="19"/>
        </w:rPr>
        <w:t>3.  Ballast: which exposures should ETFs supply -- defensive sectors, bonds, gold, international -- now that Rule 12 screens out low-growth defensive single names?</w:t>
      </w:r>
    </w:p>
    <w:p>
      <w:pPr>
        <w:spacing w:before="0" w:after="30"/>
        <w:ind w:left="403" w:hanging="288"/>
      </w:pPr>
      <w:r>
        <w:rPr>
          <w:rFonts w:ascii="Calibri" w:hAnsi="Calibri" w:eastAsia="Calibri" w:cs="Calibri"/>
          <w:sz w:val="19"/>
        </w:rPr>
        <w:t>4.  Selection rules: a cost cap, a size and liquidity floor, and no overlap with direct holdings?</w:t>
      </w:r>
    </w:p>
    <w:p>
      <w:pPr>
        <w:spacing w:before="0" w:after="30"/>
        <w:ind w:left="403" w:hanging="288"/>
      </w:pPr>
      <w:r>
        <w:rPr>
          <w:rFonts w:ascii="Calibri" w:hAnsi="Calibri" w:eastAsia="Calibri" w:cs="Calibri"/>
          <w:sz w:val="19"/>
        </w:rPr>
        <w:t>5.  Caps and funding: per-ETF and per-cluster caps (Rule 38), and a draw-down order by correlation to the direct book rather than a fixed SPMO-first?</w:t>
      </w:r>
    </w:p>
    <w:p>
      <w:pPr>
        <w:spacing w:before="0" w:after="30"/>
        <w:ind w:left="403" w:hanging="288"/>
      </w:pPr>
      <w:r>
        <w:rPr>
          <w:rFonts w:ascii="Calibri" w:hAnsi="Calibri" w:eastAsia="Calibri" w:cs="Calibri"/>
          <w:sz w:val="19"/>
        </w:rPr>
        <w:t>6.  Scoring: a light ETF scorecard (cost, diversification contribution, drawdown behaviour) in place of Part 12 scoring?</w:t>
      </w:r>
    </w:p>
    <w:p>
      <w:pPr>
        <w:keepNext/>
        <w:spacing w:before="200" w:after="60"/>
      </w:pPr>
      <w:r>
        <w:rPr>
          <w:rFonts w:ascii="Calibri" w:hAnsi="Calibri" w:eastAsia="Calibri" w:cs="Calibri"/>
          <w:b/>
          <w:color w:val="1F3864"/>
          <w:sz w:val="23"/>
        </w:rPr>
        <w:t>Method and limits</w:t>
      </w:r>
    </w:p>
    <w:p>
      <w:pPr>
        <w:spacing w:before="0" w:after="30"/>
        <w:ind w:left="403" w:hanging="288"/>
      </w:pPr>
      <w:r>
        <w:rPr>
          <w:rFonts w:ascii="Calibri" w:hAnsi="Calibri" w:eastAsia="Calibri" w:cs="Calibri"/>
          <w:sz w:val="18"/>
        </w:rPr>
        <w:t>•  factor data run through 2026-08-31</w:t>
      </w:r>
    </w:p>
    <w:p>
      <w:pPr>
        <w:spacing w:before="0" w:after="30"/>
        <w:ind w:left="403" w:hanging="288"/>
      </w:pPr>
      <w:r>
        <w:rPr>
          <w:rFonts w:ascii="Calibri" w:hAnsi="Calibri" w:eastAsia="Calibri" w:cs="Calibri"/>
          <w:sz w:val="18"/>
        </w:rPr>
        <w:t>•  156 weekly returns (three years where the fund is old enough); prices are dividend-adjusted closes; top-10 holdings only, so overlap and semiconductor figures are lower bounds; candidate tests use a bull-market window and bond or defensive correlations can flip</w:t>
      </w:r>
    </w:p>
    <w:sectPr w:rsidR="00FC693F" w:rsidRPr="0006063C" w:rsidSect="00034616">
      <w:footerReference w:type="default" r:id="rId9"/>
      <w:pgSz w:w="12240" w:h="15840"/>
      <w:pgMar w:top="864" w:right="936" w:bottom="1008" w:left="936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368" w:val="right"/>
      </w:tabs>
    </w:pPr>
    <w:r>
      <w:rPr>
        <w:rFonts w:ascii="Calibri" w:hAnsi="Calibri" w:eastAsia="Calibri" w:cs="Calibri"/>
        <w:color w:val="595959"/>
        <w:sz w:val="17"/>
      </w:rPr>
      <w:t>Landry System — ETF Report 2026-10-08</w:t>
      <w:tab/>
      <w:t xml:space="preserve">Page </w:t>
    </w:r>
    <w:r>
      <w:rPr>
        <w:rFonts w:ascii="Calibri" w:hAnsi="Calibri" w:eastAsia="Calibri" w:cs="Calibri"/>
        <w:color w:val="595959"/>
        <w:sz w:val="17"/>
      </w:rPr>
      <w:fldChar w:fldCharType="begin"/>
    </w:r>
    <w:r>
      <w:rPr>
        <w:rFonts w:ascii="Calibri" w:hAnsi="Calibri" w:eastAsia="Calibri" w:cs="Calibri"/>
        <w:color w:val="595959"/>
        <w:sz w:val="17"/>
      </w:rPr>
      <w:instrText xml:space="preserve"> PAGE </w:instrText>
    </w:r>
    <w:r>
      <w:rPr>
        <w:rFonts w:ascii="Calibri" w:hAnsi="Calibri" w:eastAsia="Calibri" w:cs="Calibri"/>
        <w:color w:val="595959"/>
        <w:sz w:val="17"/>
      </w:rPr>
      <w:fldChar w:fldCharType="separate"/>
    </w:r>
    <w:r>
      <w:rPr>
        <w:rFonts w:ascii="Calibri" w:hAnsi="Calibri" w:eastAsia="Calibri" w:cs="Calibri"/>
        <w:color w:val="595959"/>
        <w:sz w:val="17"/>
      </w:rPr>
      <w:t>1</w:t>
    </w:r>
    <w:r>
      <w:rPr>
        <w:rFonts w:ascii="Calibri" w:hAnsi="Calibri" w:eastAsia="Calibri" w:cs="Calibri"/>
        <w:color w:val="595959"/>
        <w:sz w:val="17"/>
      </w:rPr>
      <w:fldChar w:fldCharType="end"/>
    </w:r>
    <w:r>
      <w:rPr>
        <w:rFonts w:ascii="Calibri" w:hAnsi="Calibri" w:eastAsia="Calibri" w:cs="Calibri"/>
        <w:color w:val="595959"/>
        <w:sz w:val="17"/>
      </w:rPr>
      <w:t xml:space="preserve"> of </w:t>
    </w:r>
    <w:r>
      <w:rPr>
        <w:rFonts w:ascii="Calibri" w:hAnsi="Calibri" w:eastAsia="Calibri" w:cs="Calibri"/>
        <w:color w:val="595959"/>
        <w:sz w:val="17"/>
      </w:rPr>
      <w:fldChar w:fldCharType="begin"/>
    </w:r>
    <w:r>
      <w:rPr>
        <w:rFonts w:ascii="Calibri" w:hAnsi="Calibri" w:eastAsia="Calibri" w:cs="Calibri"/>
        <w:color w:val="595959"/>
        <w:sz w:val="17"/>
      </w:rPr>
      <w:instrText xml:space="preserve"> NUMPAGES </w:instrText>
    </w:r>
    <w:r>
      <w:rPr>
        <w:rFonts w:ascii="Calibri" w:hAnsi="Calibri" w:eastAsia="Calibri" w:cs="Calibri"/>
        <w:color w:val="595959"/>
        <w:sz w:val="17"/>
      </w:rPr>
      <w:fldChar w:fldCharType="separate"/>
    </w:r>
    <w:r>
      <w:rPr>
        <w:rFonts w:ascii="Calibri" w:hAnsi="Calibri" w:eastAsia="Calibri" w:cs="Calibri"/>
        <w:color w:val="595959"/>
        <w:sz w:val="17"/>
      </w:rPr>
      <w:t>1</w:t>
    </w:r>
    <w:r>
      <w:rPr>
        <w:rFonts w:ascii="Calibri" w:hAnsi="Calibri" w:eastAsia="Calibri" w:cs="Calibri"/>
        <w:color w:val="595959"/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Landry ETF Report 2026-10-08</dc:title>
  <dc:subject>Read-only report on the ETF sleeve</dc:subject>
  <dc:creator>Landry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