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left w:val="none"/>
              <w:bottom w:val="none"/>
              <w:right w:val="none"/>
            </w:tcBorders>
            <w:shd w:fill="003366" w:val="clear"/>
            <w:tcMar>
              <w:top w:type="dxa" w:w="120"/>
              <w:left w:type="dxa" w:w="200"/>
              <w:bottom w:type="dxa" w:w="120"/>
              <w:right w:type="dxa" w:w="100"/>
            </w:tcMar>
          </w:tcPr>
          <w:p>
            <w:r>
              <w:rPr>
                <w:rFonts w:ascii="Arial" w:cs="Arial" w:eastAsia="Arial" w:hAnsi="Arial"/>
                <w:b/>
                <w:bCs/>
                <w:color w:val="AACCEE"/>
                <w:sz w:val="18"/>
                <w:szCs w:val="18"/>
              </w:rPr>
              <w:t xml:space="preserve">CONFIDENTIAL  |  EXECUTIVE SUMMARY</w:t>
            </w:r>
          </w:p>
        </w:tc>
        <w:tc>
          <w:tcPr>
            <w:tcW w:type="dxa" w:w="2160"/>
            <w:tcBorders>
              <w:top w:val="none"/>
              <w:left w:val="none"/>
              <w:bottom w:val="none"/>
              <w:right w:val="none"/>
            </w:tcBorders>
            <w:shd w:fill="0057A8" w:val="clear"/>
            <w:tcMar>
              <w:top w:type="dxa" w:w="120"/>
              <w:left w:type="dxa" w:w="100"/>
              <w:bottom w:type="dxa" w:w="120"/>
              <w:right w:type="dxa" w:w="200"/>
            </w:tcMar>
          </w:tcPr>
          <w:p>
            <w:pPr>
              <w:jc w:val="right"/>
            </w:pPr>
            <w:r>
              <w:rPr>
                <w:rFonts w:ascii="Arial" w:cs="Arial" w:eastAsia="Arial" w:hAnsi="Arial"/>
                <w:b/>
                <w:bCs/>
                <w:color w:val="FFFFFF"/>
                <w:sz w:val="18"/>
                <w:szCs w:val="18"/>
              </w:rPr>
              <w:t xml:space="preserve">March 2025</w:t>
            </w:r>
          </w:p>
        </w:tc>
      </w:tr>
    </w:tbl>
    <w:p>
      <w:pPr>
        <w:spacing w:before="320" w:after="0"/>
      </w:pPr>
    </w:p>
    <w:p>
      <w:pPr>
        <w:spacing w:before="0" w:after="60"/>
      </w:pPr>
      <w:r>
        <w:rPr>
          <w:rFonts w:ascii="Arial" w:cs="Arial" w:eastAsia="Arial" w:hAnsi="Arial"/>
          <w:b/>
          <w:bCs/>
          <w:color w:val="003366"/>
          <w:sz w:val="52"/>
          <w:szCs w:val="52"/>
        </w:rPr>
        <w:t xml:space="preserve">Smart Gate Access</w:t>
      </w:r>
    </w:p>
    <w:p>
      <w:pPr>
        <w:spacing w:before="0" w:after="60"/>
      </w:pPr>
      <w:r>
        <w:rPr>
          <w:rFonts w:ascii="Arial" w:cs="Arial" w:eastAsia="Arial" w:hAnsi="Arial"/>
          <w:i/>
          <w:iCs/>
          <w:color w:val="0057A8"/>
          <w:sz w:val="28"/>
          <w:szCs w:val="28"/>
        </w:rPr>
        <w:t xml:space="preserve">Intelligent Campus Security Infrastructure</w:t>
      </w:r>
    </w:p>
    <w:p>
      <w:pPr>
        <w:spacing w:before="0" w:after="60"/>
      </w:pPr>
      <w:r>
        <w:rPr>
          <w:rFonts w:ascii="Arial" w:cs="Arial" w:eastAsia="Arial" w:hAnsi="Arial"/>
          <w:color w:val="4A4A6A"/>
          <w:sz w:val="20"/>
          <w:szCs w:val="20"/>
        </w:rPr>
        <w:t xml:space="preserve">Prepared for Bank of America — Security Technology Investment Review</w:t>
      </w:r>
    </w:p>
    <w:p>
      <w:pPr>
        <w:pBdr>
          <w:bottom w:val="single" w:color="0057A8" w:sz="14" w:space="1"/>
        </w:pBdr>
        <w:spacing w:before="0"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single" w:color="AABBCC" w:sz="4"/>
              <w:right w:val="none"/>
            </w:tcBorders>
            <w:tcMar>
              <w:top w:type="dxa" w:w="60"/>
              <w:left w:type="dxa" w:w="0"/>
              <w:bottom w:type="dxa" w:w="80"/>
              <w:right w:type="dxa" w:w="0"/>
            </w:tcMar>
          </w:tcPr>
          <w:p>
            <w:pPr>
              <w:spacing w:before="80" w:after="80"/>
            </w:pPr>
            <w:r>
              <w:rPr>
                <w:rFonts w:ascii="Arial" w:cs="Arial" w:eastAsia="Arial" w:hAnsi="Arial"/>
                <w:b/>
                <w:bCs/>
                <w:color w:val="0057A8"/>
                <w:sz w:val="21"/>
                <w:szCs w:val="21"/>
              </w:rPr>
              <w:t xml:space="preserve">Institution: </w:t>
            </w:r>
            <w:r>
              <w:rPr>
                <w:rFonts w:ascii="Arial" w:cs="Arial" w:eastAsia="Arial" w:hAnsi="Arial"/>
                <w:color w:val="1A1A2E"/>
                <w:sz w:val="21"/>
                <w:szCs w:val="21"/>
              </w:rPr>
              <w:t xml:space="preserve">Hampton University</w:t>
            </w:r>
          </w:p>
        </w:tc>
        <w:tc>
          <w:tcPr>
            <w:tcW w:type="dxa" w:w="4680"/>
            <w:tcBorders>
              <w:top w:val="none"/>
              <w:left w:val="none"/>
              <w:bottom w:val="single" w:color="AABBCC" w:sz="4"/>
              <w:right w:val="none"/>
            </w:tcBorders>
            <w:tcMar>
              <w:top w:type="dxa" w:w="60"/>
              <w:left w:type="dxa" w:w="0"/>
              <w:bottom w:type="dxa" w:w="80"/>
              <w:right w:type="dxa" w:w="0"/>
            </w:tcMar>
          </w:tcPr>
          <w:p>
            <w:pPr>
              <w:spacing w:before="80" w:after="80"/>
            </w:pPr>
            <w:r>
              <w:rPr>
                <w:rFonts w:ascii="Arial" w:cs="Arial" w:eastAsia="Arial" w:hAnsi="Arial"/>
                <w:b/>
                <w:bCs/>
                <w:color w:val="0057A8"/>
                <w:sz w:val="21"/>
                <w:szCs w:val="21"/>
              </w:rPr>
              <w:t xml:space="preserve">Version: </w:t>
            </w:r>
            <w:r>
              <w:rPr>
                <w:rFonts w:ascii="Arial" w:cs="Arial" w:eastAsia="Arial" w:hAnsi="Arial"/>
                <w:color w:val="1A1A2E"/>
                <w:sz w:val="21"/>
                <w:szCs w:val="21"/>
              </w:rPr>
              <w:t xml:space="preserve">1.0 — Initial Submission</w:t>
            </w:r>
          </w:p>
        </w:tc>
      </w:tr>
      <w:tr>
        <w:tc>
          <w:tcPr>
            <w:tcW w:type="dxa" w:w="4680"/>
            <w:tcBorders>
              <w:top w:val="none"/>
              <w:left w:val="none"/>
              <w:bottom w:val="none"/>
              <w:right w:val="none"/>
            </w:tcBorders>
            <w:tcMar>
              <w:top w:type="dxa" w:w="80"/>
              <w:left w:type="dxa" w:w="0"/>
              <w:bottom w:type="dxa" w:w="60"/>
              <w:right w:type="dxa" w:w="0"/>
            </w:tcMar>
          </w:tcPr>
          <w:p>
            <w:pPr>
              <w:spacing w:before="80" w:after="80"/>
            </w:pPr>
            <w:r>
              <w:rPr>
                <w:rFonts w:ascii="Arial" w:cs="Arial" w:eastAsia="Arial" w:hAnsi="Arial"/>
                <w:b/>
                <w:bCs/>
                <w:color w:val="0057A8"/>
                <w:sz w:val="21"/>
                <w:szCs w:val="21"/>
              </w:rPr>
              <w:t xml:space="preserve">Classification: </w:t>
            </w:r>
            <w:r>
              <w:rPr>
                <w:rFonts w:ascii="Arial" w:cs="Arial" w:eastAsia="Arial" w:hAnsi="Arial"/>
                <w:color w:val="1A1A2E"/>
                <w:sz w:val="21"/>
                <w:szCs w:val="21"/>
              </w:rPr>
              <w:t xml:space="preserve">Confidential</w:t>
            </w:r>
          </w:p>
        </w:tc>
        <w:tc>
          <w:tcPr>
            <w:tcW w:type="dxa" w:w="4680"/>
            <w:tcBorders>
              <w:top w:val="none"/>
              <w:left w:val="none"/>
              <w:bottom w:val="none"/>
              <w:right w:val="none"/>
            </w:tcBorders>
            <w:tcMar>
              <w:top w:type="dxa" w:w="80"/>
              <w:left w:type="dxa" w:w="0"/>
              <w:bottom w:type="dxa" w:w="60"/>
              <w:right w:type="dxa" w:w="0"/>
            </w:tcMar>
          </w:tcPr>
          <w:p>
            <w:pPr>
              <w:spacing w:before="80" w:after="80"/>
            </w:pPr>
            <w:r>
              <w:rPr>
                <w:rFonts w:ascii="Arial" w:cs="Arial" w:eastAsia="Arial" w:hAnsi="Arial"/>
                <w:b/>
                <w:bCs/>
                <w:color w:val="0057A8"/>
                <w:sz w:val="21"/>
                <w:szCs w:val="21"/>
              </w:rPr>
              <w:t xml:space="preserve">Prepared by: </w:t>
            </w:r>
            <w:r>
              <w:rPr>
                <w:rFonts w:ascii="Arial" w:cs="Arial" w:eastAsia="Arial" w:hAnsi="Arial"/>
                <w:color w:val="1A1A2E"/>
                <w:sz w:val="21"/>
                <w:szCs w:val="21"/>
              </w:rPr>
              <w:t xml:space="preserve">SGA Development Team</w:t>
            </w:r>
          </w:p>
        </w:tc>
      </w:tr>
    </w:tbl>
    <w:p>
      <w:pPr>
        <w:spacing w:before="240" w:after="0"/>
      </w:pPr>
    </w:p>
    <w:p>
      <w:pPr>
        <w:pBdr>
          <w:bottom w:val="single" w:color="0057A8" w:sz="14" w:space="1"/>
        </w:pBdr>
        <w:spacing w:before="0" w:after="220"/>
      </w:pPr>
    </w:p>
    <w:p>
      <w:pPr>
        <w:pBdr>
          <w:bottom w:val="single" w:color="0057A8" w:sz="8" w:space="6"/>
        </w:pBdr>
        <w:spacing w:before="360" w:after="120"/>
      </w:pPr>
      <w:r>
        <w:rPr>
          <w:rFonts w:ascii="Arial" w:cs="Arial" w:eastAsia="Arial" w:hAnsi="Arial"/>
          <w:b/>
          <w:bCs/>
          <w:color w:val="003366"/>
          <w:sz w:val="24"/>
          <w:szCs w:val="24"/>
        </w:rPr>
        <w:t xml:space="preserve">SECURITY CONTEXT &amp; URGENCY</w:t>
      </w:r>
    </w:p>
    <w:p>
      <w:pPr>
        <w:spacing w:before="80" w:after="80"/>
        <w:jc w:val="both"/>
      </w:pPr>
      <w:r>
        <w:rPr>
          <w:rFonts w:ascii="Arial" w:cs="Arial" w:eastAsia="Arial" w:hAnsi="Arial"/>
          <w:color w:val="1A1A2E"/>
          <w:sz w:val="21"/>
          <w:szCs w:val="21"/>
        </w:rPr>
        <w:t xml:space="preserve">Campus security has emerged as one of the most pressing operational challenges facing American higher education institutions. On March 13, 2025, at least five Virginia colleges initiated active investigations following bomb threats directed at on-campus libraries. That same day, a shooting at Old Dominion University resulted in one fatality, two injuries, and the confirmed death of the perpetrator. These incidents reflect a broader, accelerating pattern of campus threat activity that demands a structural security response.</w:t>
      </w:r>
    </w:p>
    <w:p>
      <w:pPr>
        <w:spacing w:before="80" w:after="80"/>
        <w:jc w:val="both"/>
      </w:pPr>
      <w:r>
        <w:rPr>
          <w:rFonts w:ascii="Arial" w:cs="Arial" w:eastAsia="Arial" w:hAnsi="Arial"/>
          <w:color w:val="1A1A2E"/>
          <w:sz w:val="21"/>
          <w:szCs w:val="21"/>
        </w:rPr>
        <w:t xml:space="preserve">Smart Gate Access (SGA) was designed in direct response to this threat landscape. It provides Hampton University and peer institutions with a proactive, technology-driven perimeter defense capability grounded in real-time data intelligence.</w:t>
      </w:r>
    </w:p>
    <w:p>
      <w:pPr>
        <w:pBdr>
          <w:bottom w:val="single" w:color="0057A8" w:sz="8" w:space="6"/>
        </w:pBdr>
        <w:spacing w:before="360" w:after="120"/>
      </w:pPr>
      <w:r>
        <w:rPr>
          <w:rFonts w:ascii="Arial" w:cs="Arial" w:eastAsia="Arial" w:hAnsi="Arial"/>
          <w:b/>
          <w:bCs/>
          <w:color w:val="003366"/>
          <w:sz w:val="24"/>
          <w:szCs w:val="24"/>
        </w:rPr>
        <w:t xml:space="preserve">SOLUTION OVERVIEW</w:t>
      </w:r>
    </w:p>
    <w:p>
      <w:pPr>
        <w:spacing w:before="80" w:after="80"/>
        <w:jc w:val="both"/>
      </w:pPr>
      <w:r>
        <w:rPr>
          <w:rFonts w:ascii="Arial" w:cs="Arial" w:eastAsia="Arial" w:hAnsi="Arial"/>
          <w:color w:val="1A1A2E"/>
          <w:sz w:val="21"/>
          <w:szCs w:val="21"/>
        </w:rPr>
        <w:t xml:space="preserve">Smart Gate Access is an enterprise-grade campus security platform that monitors and analyzes vehicle access at institutional perimeter boundaries. By systematically capturing and processing vehicle identification data at every ingress and egress point, SGA converts raw access records into actionable intelligence through behavioral analytics and social graphing.</w:t>
      </w:r>
    </w:p>
    <w:p>
      <w:pPr>
        <w:spacing w:before="80" w:after="80"/>
        <w:jc w:val="both"/>
      </w:pPr>
      <w:r>
        <w:rPr>
          <w:rFonts w:ascii="Arial" w:cs="Arial" w:eastAsia="Arial" w:hAnsi="Arial"/>
          <w:color w:val="1A1A2E"/>
          <w:sz w:val="21"/>
          <w:szCs w:val="21"/>
        </w:rPr>
        <w:t xml:space="preserve">The platform directly addresses a critical operational deficiency: legacy gate security at most institutions relies on analog, manual record-keeping that is slow, inconsistent, and resource-intensive. SGA replaces these methods with a purpose-built automated solution that enhances both response capability and institutional situational awareness.</w:t>
      </w:r>
    </w:p>
    <w:p>
      <w:pPr>
        <w:pBdr>
          <w:bottom w:val="single" w:color="0057A8" w:sz="8" w:space="6"/>
        </w:pBdr>
        <w:spacing w:before="360" w:after="120"/>
      </w:pPr>
      <w:r>
        <w:rPr>
          <w:rFonts w:ascii="Arial" w:cs="Arial" w:eastAsia="Arial" w:hAnsi="Arial"/>
          <w:b/>
          <w:bCs/>
          <w:color w:val="003366"/>
          <w:sz w:val="24"/>
          <w:szCs w:val="24"/>
        </w:rPr>
        <w:t xml:space="preserve">CORE CAPABILITIES</w:t>
      </w:r>
    </w:p>
    <w:p>
      <w:pPr>
        <w:pStyle w:val="ListParagraph"/>
        <w:numPr>
          <w:ilvl w:val="0"/>
          <w:numId w:val="2"/>
        </w:numPr>
        <w:spacing w:before="60" w:after="60"/>
      </w:pPr>
      <w:r>
        <w:rPr>
          <w:rFonts w:ascii="Arial" w:cs="Arial" w:eastAsia="Arial" w:hAnsi="Arial"/>
          <w:color w:val="1A1A2E"/>
          <w:sz w:val="21"/>
          <w:szCs w:val="21"/>
        </w:rPr>
        <w:t xml:space="preserve">Automated license plate recognition at all campus ingress and egress points</w:t>
      </w:r>
    </w:p>
    <w:p>
      <w:pPr>
        <w:pStyle w:val="ListParagraph"/>
        <w:numPr>
          <w:ilvl w:val="0"/>
          <w:numId w:val="2"/>
        </w:numPr>
        <w:spacing w:before="60" w:after="60"/>
      </w:pPr>
      <w:r>
        <w:rPr>
          <w:rFonts w:ascii="Arial" w:cs="Arial" w:eastAsia="Arial" w:hAnsi="Arial"/>
          <w:color w:val="1A1A2E"/>
          <w:sz w:val="21"/>
          <w:szCs w:val="21"/>
        </w:rPr>
        <w:t xml:space="preserve">Centralized database management encompassing students, faculty, maintenance personnel, contractors, and affiliated parties</w:t>
      </w:r>
    </w:p>
    <w:p>
      <w:pPr>
        <w:pStyle w:val="ListParagraph"/>
        <w:numPr>
          <w:ilvl w:val="0"/>
          <w:numId w:val="2"/>
        </w:numPr>
        <w:spacing w:before="60" w:after="60"/>
      </w:pPr>
      <w:r>
        <w:rPr>
          <w:rFonts w:ascii="Arial" w:cs="Arial" w:eastAsia="Arial" w:hAnsi="Arial"/>
          <w:color w:val="1A1A2E"/>
          <w:sz w:val="21"/>
          <w:szCs w:val="21"/>
        </w:rPr>
        <w:t xml:space="preserve">Intelligent matching algorithm correlating vehicle registrations against institutional records in real time</w:t>
      </w:r>
    </w:p>
    <w:p>
      <w:pPr>
        <w:pStyle w:val="ListParagraph"/>
        <w:numPr>
          <w:ilvl w:val="0"/>
          <w:numId w:val="2"/>
        </w:numPr>
        <w:spacing w:before="60" w:after="60"/>
      </w:pPr>
      <w:r>
        <w:rPr>
          <w:rFonts w:ascii="Arial" w:cs="Arial" w:eastAsia="Arial" w:hAnsi="Arial"/>
          <w:color w:val="1A1A2E"/>
          <w:sz w:val="21"/>
          <w:szCs w:val="21"/>
        </w:rPr>
        <w:t xml:space="preserve">Behavioral pattern analysis incorporating visit frequency, time-of-day access, and longitudinal history</w:t>
      </w:r>
    </w:p>
    <w:p>
      <w:pPr>
        <w:pStyle w:val="ListParagraph"/>
        <w:numPr>
          <w:ilvl w:val="0"/>
          <w:numId w:val="2"/>
        </w:numPr>
        <w:spacing w:before="60" w:after="60"/>
      </w:pPr>
      <w:r>
        <w:rPr>
          <w:rFonts w:ascii="Arial" w:cs="Arial" w:eastAsia="Arial" w:hAnsi="Arial"/>
          <w:color w:val="1A1A2E"/>
          <w:sz w:val="21"/>
          <w:szCs w:val="21"/>
        </w:rPr>
        <w:t xml:space="preserve">Dynamic per-vehicle risk scoring to surface anomalous or potentially threatening activity</w:t>
      </w:r>
    </w:p>
    <w:p>
      <w:pPr>
        <w:pStyle w:val="ListParagraph"/>
        <w:numPr>
          <w:ilvl w:val="0"/>
          <w:numId w:val="2"/>
        </w:numPr>
        <w:spacing w:before="60" w:after="60"/>
      </w:pPr>
      <w:r>
        <w:rPr>
          <w:rFonts w:ascii="Arial" w:cs="Arial" w:eastAsia="Arial" w:hAnsi="Arial"/>
          <w:color w:val="1A1A2E"/>
          <w:sz w:val="21"/>
          <w:szCs w:val="21"/>
        </w:rPr>
        <w:t xml:space="preserve">Human-in-the-loop design ensuring trained security personnel retain final decision-making authority</w:t>
      </w:r>
    </w:p>
    <w:p>
      <w:pPr>
        <w:pStyle w:val="ListParagraph"/>
        <w:numPr>
          <w:ilvl w:val="0"/>
          <w:numId w:val="2"/>
        </w:numPr>
        <w:spacing w:before="60" w:after="60"/>
      </w:pPr>
      <w:r>
        <w:rPr>
          <w:rFonts w:ascii="Arial" w:cs="Arial" w:eastAsia="Arial" w:hAnsi="Arial"/>
          <w:color w:val="1A1A2E"/>
          <w:sz w:val="21"/>
          <w:szCs w:val="21"/>
        </w:rPr>
        <w:t xml:space="preserve">Modular integration with surveillance cameras, facial recognition systems, and identity verification platforms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7A8" w:sz="6"/>
              <w:left w:val="thick" w:color="0057A8" w:sz="18"/>
              <w:bottom w:val="single" w:color="0057A8" w:sz="6"/>
              <w:right w:val="single" w:color="0057A8" w:sz="6"/>
            </w:tcBorders>
            <w:shd w:fill="E8EFF7" w:val="clear"/>
            <w:tcMar>
              <w:top w:type="dxa" w:w="120"/>
              <w:left w:type="dxa" w:w="200"/>
              <w:bottom w:type="dxa" w:w="120"/>
              <w:right w:type="dxa" w:w="200"/>
            </w:tcMar>
          </w:tcPr>
          <w:p>
            <w:pPr>
              <w:shd w:fill="003366" w:val="clear"/>
              <w:spacing w:before="80" w:after="100"/>
            </w:pPr>
            <w:r>
              <w:rPr>
                <w:rFonts w:ascii="Arial" w:cs="Arial" w:eastAsia="Arial" w:hAnsi="Arial"/>
                <w:b/>
                <w:bCs/>
                <w:color w:val="FFFFFF"/>
                <w:sz w:val="20"/>
                <w:szCs w:val="20"/>
              </w:rPr>
              <w:t xml:space="preserve">KEY DIFFERENTIATOR</w:t>
            </w:r>
          </w:p>
          <w:p>
            <w:pPr>
              <w:pStyle w:val="ListParagraph"/>
              <w:numPr>
                <w:ilvl w:val="0"/>
                <w:numId w:val="2"/>
              </w:numPr>
              <w:spacing w:before="40" w:after="40"/>
            </w:pPr>
            <w:r>
              <w:rPr>
                <w:rFonts w:ascii="Arial" w:cs="Arial" w:eastAsia="Arial" w:hAnsi="Arial"/>
                <w:color w:val="1A1A2E"/>
                <w:sz w:val="20"/>
                <w:szCs w:val="20"/>
              </w:rPr>
              <w:t xml:space="preserve">Unlike passive surveillance systems, SGA actively correlates multi-source data points to generate predictive risk intelligence — enabling intervention before incidents occur rather than documentation after.</w:t>
            </w:r>
          </w:p>
          <w:p>
            <w:pPr>
              <w:spacing w:before="80" w:after="0"/>
            </w:pPr>
          </w:p>
        </w:tc>
      </w:tr>
    </w:tbl>
    <w:p>
      <w:pPr>
        <w:pBdr>
          <w:bottom w:val="single" w:color="0057A8" w:sz="8" w:space="6"/>
        </w:pBdr>
        <w:spacing w:before="360" w:after="120"/>
      </w:pPr>
      <w:r>
        <w:rPr>
          <w:rFonts w:ascii="Arial" w:cs="Arial" w:eastAsia="Arial" w:hAnsi="Arial"/>
          <w:b/>
          <w:bCs/>
          <w:color w:val="003366"/>
          <w:sz w:val="24"/>
          <w:szCs w:val="24"/>
        </w:rPr>
        <w:t xml:space="preserve">SYSTEM ARCHITECTURE &amp; DECISION LOGIC</w:t>
      </w:r>
    </w:p>
    <w:p>
      <w:pPr>
        <w:spacing w:before="80" w:after="80"/>
        <w:jc w:val="both"/>
      </w:pPr>
      <w:r>
        <w:rPr>
          <w:rFonts w:ascii="Arial" w:cs="Arial" w:eastAsia="Arial" w:hAnsi="Arial"/>
          <w:color w:val="1A1A2E"/>
          <w:sz w:val="21"/>
          <w:szCs w:val="21"/>
        </w:rPr>
        <w:t xml:space="preserve">Upon vehicle approach, SGA initiates an automated license plate scan and queries the central university database. A multi-factor matching algorithm evaluates registration status, time of access, and historical visit patterns to determine the appropriate gate response.</w:t>
      </w:r>
    </w:p>
    <w:p>
      <w:pPr>
        <w:spacing w:before="80" w:after="0"/>
      </w:pPr>
    </w:p>
    <w:p>
      <w:pPr>
        <w:spacing w:before="200" w:after="80"/>
      </w:pPr>
      <w:r>
        <w:rPr>
          <w:rFonts w:ascii="Arial" w:cs="Arial" w:eastAsia="Arial" w:hAnsi="Arial"/>
          <w:b/>
          <w:bCs/>
          <w:color w:val="0057A8"/>
          <w:sz w:val="22"/>
          <w:szCs w:val="22"/>
        </w:rPr>
        <w:t xml:space="preserve">Access Granted — Recognized Vehicle</w:t>
      </w:r>
    </w:p>
    <w:p>
      <w:pPr>
        <w:pStyle w:val="ListParagraph"/>
        <w:numPr>
          <w:ilvl w:val="0"/>
          <w:numId w:val="2"/>
        </w:numPr>
        <w:spacing w:before="60" w:after="60"/>
      </w:pPr>
      <w:r>
        <w:rPr>
          <w:rFonts w:ascii="Arial" w:cs="Arial" w:eastAsia="Arial" w:hAnsi="Arial"/>
          <w:color w:val="1A1A2E"/>
          <w:sz w:val="21"/>
          <w:szCs w:val="21"/>
        </w:rPr>
        <w:t xml:space="preserve">License plate confirmed within the institutional database</w:t>
      </w:r>
    </w:p>
    <w:p>
      <w:pPr>
        <w:pStyle w:val="ListParagraph"/>
        <w:numPr>
          <w:ilvl w:val="0"/>
          <w:numId w:val="2"/>
        </w:numPr>
        <w:spacing w:before="60" w:after="60"/>
      </w:pPr>
      <w:r>
        <w:rPr>
          <w:rFonts w:ascii="Arial" w:cs="Arial" w:eastAsia="Arial" w:hAnsi="Arial"/>
          <w:color w:val="1A1A2E"/>
          <w:sz w:val="21"/>
          <w:szCs w:val="21"/>
        </w:rPr>
        <w:t xml:space="preserve">Gate access automatically granted; security personnel receive real-time notification</w:t>
      </w:r>
    </w:p>
    <w:p>
      <w:pPr>
        <w:pStyle w:val="ListParagraph"/>
        <w:numPr>
          <w:ilvl w:val="0"/>
          <w:numId w:val="2"/>
        </w:numPr>
        <w:spacing w:before="60" w:after="60"/>
      </w:pPr>
      <w:r>
        <w:rPr>
          <w:rFonts w:ascii="Arial" w:cs="Arial" w:eastAsia="Arial" w:hAnsi="Arial"/>
          <w:color w:val="1A1A2E"/>
          <w:sz w:val="21"/>
          <w:szCs w:val="21"/>
        </w:rPr>
        <w:t xml:space="preserve">Access event logged with timestamp, vehicle ID, and matched record for audit purposes</w:t>
      </w:r>
    </w:p>
    <w:p>
      <w:pPr>
        <w:spacing w:before="60" w:after="0"/>
      </w:pPr>
    </w:p>
    <w:p>
      <w:pPr>
        <w:spacing w:before="200" w:after="80"/>
      </w:pPr>
      <w:r>
        <w:rPr>
          <w:rFonts w:ascii="Arial" w:cs="Arial" w:eastAsia="Arial" w:hAnsi="Arial"/>
          <w:b/>
          <w:bCs/>
          <w:color w:val="0057A8"/>
          <w:sz w:val="22"/>
          <w:szCs w:val="22"/>
        </w:rPr>
        <w:t xml:space="preserve">Access Denied — Unrecognized or High-Risk Vehicle</w:t>
      </w:r>
    </w:p>
    <w:p>
      <w:pPr>
        <w:pStyle w:val="ListParagraph"/>
        <w:numPr>
          <w:ilvl w:val="0"/>
          <w:numId w:val="2"/>
        </w:numPr>
        <w:spacing w:before="60" w:after="60"/>
      </w:pPr>
      <w:r>
        <w:rPr>
          <w:rFonts w:ascii="Arial" w:cs="Arial" w:eastAsia="Arial" w:hAnsi="Arial"/>
          <w:color w:val="1A1A2E"/>
          <w:sz w:val="21"/>
          <w:szCs w:val="21"/>
        </w:rPr>
        <w:t xml:space="preserve">License plate absent from the institutional database, OR</w:t>
      </w:r>
    </w:p>
    <w:p>
      <w:pPr>
        <w:pStyle w:val="ListParagraph"/>
        <w:numPr>
          <w:ilvl w:val="0"/>
          <w:numId w:val="2"/>
        </w:numPr>
        <w:spacing w:before="60" w:after="60"/>
      </w:pPr>
      <w:r>
        <w:rPr>
          <w:rFonts w:ascii="Arial" w:cs="Arial" w:eastAsia="Arial" w:hAnsi="Arial"/>
          <w:color w:val="1A1A2E"/>
          <w:sz w:val="21"/>
          <w:szCs w:val="21"/>
        </w:rPr>
        <w:t xml:space="preserve">Access attempt occurs outside designated operating hours, OR</w:t>
      </w:r>
    </w:p>
    <w:p>
      <w:pPr>
        <w:pStyle w:val="ListParagraph"/>
        <w:numPr>
          <w:ilvl w:val="0"/>
          <w:numId w:val="2"/>
        </w:numPr>
        <w:spacing w:before="60" w:after="60"/>
      </w:pPr>
      <w:r>
        <w:rPr>
          <w:rFonts w:ascii="Arial" w:cs="Arial" w:eastAsia="Arial" w:hAnsi="Arial"/>
          <w:color w:val="1A1A2E"/>
          <w:sz w:val="21"/>
          <w:szCs w:val="21"/>
        </w:rPr>
        <w:t xml:space="preserve">Vehicle exhibits an infrequent, irregular, or anomalous visit pattern</w:t>
      </w:r>
    </w:p>
    <w:p>
      <w:pPr>
        <w:pStyle w:val="ListParagraph"/>
        <w:numPr>
          <w:ilvl w:val="0"/>
          <w:numId w:val="2"/>
        </w:numPr>
        <w:spacing w:before="60" w:after="60"/>
      </w:pPr>
      <w:r>
        <w:rPr>
          <w:rFonts w:ascii="Arial" w:cs="Arial" w:eastAsia="Arial" w:hAnsi="Arial"/>
          <w:color w:val="1A1A2E"/>
          <w:sz w:val="21"/>
          <w:szCs w:val="21"/>
        </w:rPr>
        <w:t xml:space="preserve">Gate remains secured; security personnel receive an immediate priority alert</w:t>
      </w:r>
    </w:p>
    <w:p>
      <w:pPr>
        <w:pStyle w:val="ListParagraph"/>
        <w:numPr>
          <w:ilvl w:val="0"/>
          <w:numId w:val="2"/>
        </w:numPr>
        <w:spacing w:before="60" w:after="60"/>
      </w:pPr>
      <w:r>
        <w:rPr>
          <w:rFonts w:ascii="Arial" w:cs="Arial" w:eastAsia="Arial" w:hAnsi="Arial"/>
          <w:color w:val="1A1A2E"/>
          <w:sz w:val="21"/>
          <w:szCs w:val="21"/>
        </w:rPr>
        <w:t xml:space="preserve">Risk score for the vehicle is elevated and flagged for review</w:t>
      </w:r>
    </w:p>
    <w:p>
      <w:pPr>
        <w:spacing w:before="80" w:after="0"/>
      </w:pPr>
    </w:p>
    <w:p>
      <w:pPr>
        <w:spacing w:before="80" w:after="80"/>
        <w:jc w:val="both"/>
      </w:pPr>
      <w:r>
        <w:rPr>
          <w:rFonts w:ascii="Arial" w:cs="Arial" w:eastAsia="Arial" w:hAnsi="Arial"/>
          <w:color w:val="1A1A2E"/>
          <w:sz w:val="21"/>
          <w:szCs w:val="21"/>
        </w:rPr>
        <w:t xml:space="preserve">Each vehicle interaction contributes to a cumulative risk score informed by access frequency, behavioral patterns, and real-time contextual factors. This scoring model enables security personnel to prioritize responses and identify emerging threat signatures proactively.</w:t>
      </w:r>
    </w:p>
    <w:p>
      <w:pPr>
        <w:pBdr>
          <w:bottom w:val="single" w:color="0057A8" w:sz="8" w:space="6"/>
        </w:pBdr>
        <w:spacing w:before="360" w:after="120"/>
      </w:pPr>
      <w:r>
        <w:rPr>
          <w:rFonts w:ascii="Arial" w:cs="Arial" w:eastAsia="Arial" w:hAnsi="Arial"/>
          <w:b/>
          <w:bCs/>
          <w:color w:val="003366"/>
          <w:sz w:val="24"/>
          <w:szCs w:val="24"/>
        </w:rPr>
        <w:t xml:space="preserve">STRATEGIC VALUE PROPOSITION</w:t>
      </w:r>
    </w:p>
    <w:p>
      <w:pPr>
        <w:pStyle w:val="ListParagraph"/>
        <w:numPr>
          <w:ilvl w:val="0"/>
          <w:numId w:val="2"/>
        </w:numPr>
        <w:spacing w:before="60" w:after="60"/>
      </w:pPr>
      <w:r>
        <w:rPr>
          <w:rFonts w:ascii="Arial" w:cs="Arial" w:eastAsia="Arial" w:hAnsi="Arial"/>
          <w:b/>
          <w:bCs/>
          <w:color w:val="003366"/>
          <w:sz w:val="21"/>
          <w:szCs w:val="21"/>
        </w:rPr>
        <w:t xml:space="preserve">Reduces institutional exposure to unauthorized access through real-time perimeter detection and automated response: </w:t>
      </w:r>
      <w:r>
        <w:rPr>
          <w:rFonts w:ascii="Arial" w:cs="Arial" w:eastAsia="Arial" w:hAnsi="Arial"/>
          <w:color w:val="1A1A2E"/>
          <w:sz w:val="21"/>
          <w:szCs w:val="21"/>
        </w:rPr>
        <w:t xml:space="preserve">Risk Mitigation</w:t>
      </w:r>
    </w:p>
    <w:p>
      <w:pPr>
        <w:pStyle w:val="ListParagraph"/>
        <w:numPr>
          <w:ilvl w:val="0"/>
          <w:numId w:val="2"/>
        </w:numPr>
        <w:spacing w:before="60" w:after="60"/>
      </w:pPr>
      <w:r>
        <w:rPr>
          <w:rFonts w:ascii="Arial" w:cs="Arial" w:eastAsia="Arial" w:hAnsi="Arial"/>
          <w:b/>
          <w:bCs/>
          <w:color w:val="003366"/>
          <w:sz w:val="21"/>
          <w:szCs w:val="21"/>
        </w:rPr>
        <w:t xml:space="preserve">Materially reduces the administrative and personnel burden associated with manual gate monitoring and analog record-keeping: </w:t>
      </w:r>
      <w:r>
        <w:rPr>
          <w:rFonts w:ascii="Arial" w:cs="Arial" w:eastAsia="Arial" w:hAnsi="Arial"/>
          <w:color w:val="1A1A2E"/>
          <w:sz w:val="21"/>
          <w:szCs w:val="21"/>
        </w:rPr>
        <w:t xml:space="preserve">Operational Efficiency</w:t>
      </w:r>
    </w:p>
    <w:p>
      <w:pPr>
        <w:pStyle w:val="ListParagraph"/>
        <w:numPr>
          <w:ilvl w:val="0"/>
          <w:numId w:val="2"/>
        </w:numPr>
        <w:spacing w:before="60" w:after="60"/>
      </w:pPr>
      <w:r>
        <w:rPr>
          <w:rFonts w:ascii="Arial" w:cs="Arial" w:eastAsia="Arial" w:hAnsi="Arial"/>
          <w:b/>
          <w:bCs/>
          <w:color w:val="003366"/>
          <w:sz w:val="21"/>
          <w:szCs w:val="21"/>
        </w:rPr>
        <w:t xml:space="preserve">Generates longitudinal data on campus access trends and population patterns to support planning, compliance, and incident investigation: </w:t>
      </w:r>
      <w:r>
        <w:rPr>
          <w:rFonts w:ascii="Arial" w:cs="Arial" w:eastAsia="Arial" w:hAnsi="Arial"/>
          <w:color w:val="1A1A2E"/>
          <w:sz w:val="21"/>
          <w:szCs w:val="21"/>
        </w:rPr>
        <w:t xml:space="preserve">Institutional Intelligence</w:t>
      </w:r>
    </w:p>
    <w:p>
      <w:pPr>
        <w:pStyle w:val="ListParagraph"/>
        <w:numPr>
          <w:ilvl w:val="0"/>
          <w:numId w:val="2"/>
        </w:numPr>
        <w:spacing w:before="60" w:after="60"/>
      </w:pPr>
      <w:r>
        <w:rPr>
          <w:rFonts w:ascii="Arial" w:cs="Arial" w:eastAsia="Arial" w:hAnsi="Arial"/>
          <w:b/>
          <w:bCs/>
          <w:color w:val="003366"/>
          <w:sz w:val="21"/>
          <w:szCs w:val="21"/>
        </w:rPr>
        <w:t xml:space="preserve">Architected as a modular platform extensible to additional security data streams, including biometrics and emergency notification systems: </w:t>
      </w:r>
      <w:r>
        <w:rPr>
          <w:rFonts w:ascii="Arial" w:cs="Arial" w:eastAsia="Arial" w:hAnsi="Arial"/>
          <w:color w:val="1A1A2E"/>
          <w:sz w:val="21"/>
          <w:szCs w:val="21"/>
        </w:rPr>
        <w:t xml:space="preserve">Scalability</w:t>
      </w:r>
    </w:p>
    <w:p>
      <w:pPr>
        <w:pBdr>
          <w:bottom w:val="single" w:color="0057A8" w:sz="8" w:space="6"/>
        </w:pBdr>
        <w:spacing w:before="360" w:after="120"/>
      </w:pPr>
      <w:r>
        <w:rPr>
          <w:rFonts w:ascii="Arial" w:cs="Arial" w:eastAsia="Arial" w:hAnsi="Arial"/>
          <w:b/>
          <w:bCs/>
          <w:color w:val="003366"/>
          <w:sz w:val="24"/>
          <w:szCs w:val="24"/>
        </w:rPr>
        <w:t xml:space="preserve">CONTINGENCY PLAN</w:t>
      </w:r>
    </w:p>
    <w:p>
      <w:pPr>
        <w:spacing w:before="80" w:after="80"/>
        <w:jc w:val="both"/>
      </w:pPr>
      <w:r>
        <w:rPr>
          <w:rFonts w:ascii="Arial" w:cs="Arial" w:eastAsia="Arial" w:hAnsi="Arial"/>
          <w:color w:val="1A1A2E"/>
          <w:sz w:val="21"/>
          <w:szCs w:val="21"/>
        </w:rPr>
        <w:t xml:space="preserve">The following contingency framework governs SGA operations during system degradation, partial failure, or complete outage scenarios. The guiding principle is continuity of campus security at all times — technology failure must never result in an unguarded perimeter.</w:t>
      </w:r>
    </w:p>
    <w:p>
      <w:pPr>
        <w:spacing w:before="100" w:after="0"/>
      </w:pPr>
    </w:p>
    <w:p>
      <w:pPr>
        <w:spacing w:before="200" w:after="80"/>
      </w:pPr>
      <w:r>
        <w:rPr>
          <w:rFonts w:ascii="Arial" w:cs="Arial" w:eastAsia="Arial" w:hAnsi="Arial"/>
          <w:b/>
          <w:bCs/>
          <w:color w:val="0057A8"/>
          <w:sz w:val="22"/>
          <w:szCs w:val="22"/>
        </w:rPr>
        <w:t xml:space="preserve">Failure Classification</w:t>
      </w:r>
    </w:p>
    <w:p>
      <w:pPr>
        <w:pStyle w:val="ListParagraph"/>
        <w:numPr>
          <w:ilvl w:val="0"/>
          <w:numId w:val="2"/>
        </w:numPr>
        <w:spacing w:before="60" w:after="60"/>
      </w:pPr>
      <w:r>
        <w:rPr>
          <w:rFonts w:ascii="Arial" w:cs="Arial" w:eastAsia="Arial" w:hAnsi="Arial"/>
          <w:b/>
          <w:bCs/>
          <w:color w:val="003366"/>
          <w:sz w:val="21"/>
          <w:szCs w:val="21"/>
        </w:rPr>
        <w:t xml:space="preserve">One or more subsystems (e.g., plate recognition, database query, risk scoring) are unavailable but the gate mechanism remains operational: </w:t>
      </w:r>
      <w:r>
        <w:rPr>
          <w:rFonts w:ascii="Arial" w:cs="Arial" w:eastAsia="Arial" w:hAnsi="Arial"/>
          <w:color w:val="1A1A2E"/>
          <w:sz w:val="21"/>
          <w:szCs w:val="21"/>
        </w:rPr>
        <w:t xml:space="preserve">Partial Degradation</w:t>
      </w:r>
    </w:p>
    <w:p>
      <w:pPr>
        <w:pStyle w:val="ListParagraph"/>
        <w:numPr>
          <w:ilvl w:val="0"/>
          <w:numId w:val="2"/>
        </w:numPr>
        <w:spacing w:before="60" w:after="60"/>
      </w:pPr>
      <w:r>
        <w:rPr>
          <w:rFonts w:ascii="Arial" w:cs="Arial" w:eastAsia="Arial" w:hAnsi="Arial"/>
          <w:b/>
          <w:bCs/>
          <w:color w:val="003366"/>
          <w:sz w:val="21"/>
          <w:szCs w:val="21"/>
        </w:rPr>
        <w:t xml:space="preserve">Complete loss of SGA functionality, including gate automation and database access: </w:t>
      </w:r>
      <w:r>
        <w:rPr>
          <w:rFonts w:ascii="Arial" w:cs="Arial" w:eastAsia="Arial" w:hAnsi="Arial"/>
          <w:color w:val="1A1A2E"/>
          <w:sz w:val="21"/>
          <w:szCs w:val="21"/>
        </w:rPr>
        <w:t xml:space="preserve">Full System Failure</w:t>
      </w:r>
    </w:p>
    <w:p>
      <w:pPr>
        <w:pStyle w:val="ListParagraph"/>
        <w:numPr>
          <w:ilvl w:val="0"/>
          <w:numId w:val="2"/>
        </w:numPr>
        <w:spacing w:before="60" w:after="60"/>
      </w:pPr>
      <w:r>
        <w:rPr>
          <w:rFonts w:ascii="Arial" w:cs="Arial" w:eastAsia="Arial" w:hAnsi="Arial"/>
          <w:b/>
          <w:bCs/>
          <w:color w:val="003366"/>
          <w:sz w:val="21"/>
          <w:szCs w:val="21"/>
        </w:rPr>
        <w:t xml:space="preserve">Loss of primary electrical supply affecting gate hardware, sensors, and connected infrastructure: </w:t>
      </w:r>
      <w:r>
        <w:rPr>
          <w:rFonts w:ascii="Arial" w:cs="Arial" w:eastAsia="Arial" w:hAnsi="Arial"/>
          <w:color w:val="1A1A2E"/>
          <w:sz w:val="21"/>
          <w:szCs w:val="21"/>
        </w:rPr>
        <w:t xml:space="preserve">Power Outage</w:t>
      </w:r>
    </w:p>
    <w:p>
      <w:pPr>
        <w:spacing w:before="100" w:after="0"/>
      </w:pPr>
    </w:p>
    <w:p>
      <w:pPr>
        <w:spacing w:before="200" w:after="80"/>
      </w:pPr>
      <w:r>
        <w:rPr>
          <w:rFonts w:ascii="Arial" w:cs="Arial" w:eastAsia="Arial" w:hAnsi="Arial"/>
          <w:b/>
          <w:bCs/>
          <w:color w:val="0057A8"/>
          <w:sz w:val="22"/>
          <w:szCs w:val="22"/>
        </w:rPr>
        <w:t xml:space="preserve">Immediate Response Protocol — Return to Analog Operations</w:t>
      </w:r>
    </w:p>
    <w:p>
      <w:pPr>
        <w:spacing w:before="80" w:after="80"/>
        <w:jc w:val="both"/>
      </w:pPr>
      <w:r>
        <w:rPr>
          <w:rFonts w:ascii="Arial" w:cs="Arial" w:eastAsia="Arial" w:hAnsi="Arial"/>
          <w:color w:val="1A1A2E"/>
          <w:sz w:val="21"/>
          <w:szCs w:val="21"/>
        </w:rPr>
        <w:t xml:space="preserve">In the event of any failure classification, SGA operations revert immediately to analog security procedures until full system restoration is confirmed. The analog fallback protocol includes the following steps:</w:t>
      </w:r>
    </w:p>
    <w:p>
      <w:pPr>
        <w:pStyle w:val="ListParagraph"/>
        <w:numPr>
          <w:ilvl w:val="0"/>
          <w:numId w:val="3"/>
        </w:numPr>
        <w:spacing w:before="60" w:after="60"/>
      </w:pPr>
      <w:r>
        <w:rPr>
          <w:rFonts w:ascii="Arial" w:cs="Arial" w:eastAsia="Arial" w:hAnsi="Arial"/>
          <w:color w:val="1A1A2E"/>
          <w:sz w:val="21"/>
          <w:szCs w:val="21"/>
        </w:rPr>
        <w:t xml:space="preserve">Security personnel are notified immediately via radio or secondary communication channel that SGA is offline</w:t>
      </w:r>
    </w:p>
    <w:p>
      <w:pPr>
        <w:pStyle w:val="ListParagraph"/>
        <w:numPr>
          <w:ilvl w:val="0"/>
          <w:numId w:val="3"/>
        </w:numPr>
        <w:spacing w:before="60" w:after="60"/>
      </w:pPr>
      <w:r>
        <w:rPr>
          <w:rFonts w:ascii="Arial" w:cs="Arial" w:eastAsia="Arial" w:hAnsi="Arial"/>
          <w:color w:val="1A1A2E"/>
          <w:sz w:val="21"/>
          <w:szCs w:val="21"/>
        </w:rPr>
        <w:t xml:space="preserve">A minimum of one trained officer is deployed to each affected gate to assume manual access control</w:t>
      </w:r>
    </w:p>
    <w:p>
      <w:pPr>
        <w:pStyle w:val="ListParagraph"/>
        <w:numPr>
          <w:ilvl w:val="0"/>
          <w:numId w:val="3"/>
        </w:numPr>
        <w:spacing w:before="60" w:after="60"/>
      </w:pPr>
      <w:r>
        <w:rPr>
          <w:rFonts w:ascii="Arial" w:cs="Arial" w:eastAsia="Arial" w:hAnsi="Arial"/>
          <w:color w:val="1A1A2E"/>
          <w:sz w:val="21"/>
          <w:szCs w:val="21"/>
        </w:rPr>
        <w:t xml:space="preserve">All vehicle entries and exits are manually logged using standardized paper-based access forms (maintained at each gate station)</w:t>
      </w:r>
    </w:p>
    <w:p>
      <w:pPr>
        <w:pStyle w:val="ListParagraph"/>
        <w:numPr>
          <w:ilvl w:val="0"/>
          <w:numId w:val="3"/>
        </w:numPr>
        <w:spacing w:before="60" w:after="60"/>
      </w:pPr>
      <w:r>
        <w:rPr>
          <w:rFonts w:ascii="Arial" w:cs="Arial" w:eastAsia="Arial" w:hAnsi="Arial"/>
          <w:color w:val="1A1A2E"/>
          <w:sz w:val="21"/>
          <w:szCs w:val="21"/>
        </w:rPr>
        <w:t xml:space="preserve">Visitor identification is physically verified against printed daily access rosters where applicable</w:t>
      </w:r>
    </w:p>
    <w:p>
      <w:pPr>
        <w:pStyle w:val="ListParagraph"/>
        <w:numPr>
          <w:ilvl w:val="0"/>
          <w:numId w:val="3"/>
        </w:numPr>
        <w:spacing w:before="60" w:after="60"/>
      </w:pPr>
      <w:r>
        <w:rPr>
          <w:rFonts w:ascii="Arial" w:cs="Arial" w:eastAsia="Arial" w:hAnsi="Arial"/>
          <w:color w:val="1A1A2E"/>
          <w:sz w:val="21"/>
          <w:szCs w:val="21"/>
        </w:rPr>
        <w:t xml:space="preserve">Non-essential vehicular access is restricted to primary gate points only; secondary and service gates are closed and stationary-guarded until systems are restored</w:t>
      </w:r>
    </w:p>
    <w:p>
      <w:pPr>
        <w:pStyle w:val="ListParagraph"/>
        <w:numPr>
          <w:ilvl w:val="0"/>
          <w:numId w:val="3"/>
        </w:numPr>
        <w:spacing w:before="60" w:after="60"/>
      </w:pPr>
      <w:r>
        <w:rPr>
          <w:rFonts w:ascii="Arial" w:cs="Arial" w:eastAsia="Arial" w:hAnsi="Arial"/>
          <w:color w:val="1A1A2E"/>
          <w:sz w:val="21"/>
          <w:szCs w:val="21"/>
        </w:rPr>
        <w:t xml:space="preserve">Incident is escalated to the SGA system administrator and IT operations team for immediate diagnosis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7A8" w:sz="6"/>
              <w:left w:val="thick" w:color="0057A8" w:sz="18"/>
              <w:bottom w:val="single" w:color="0057A8" w:sz="6"/>
              <w:right w:val="single" w:color="0057A8" w:sz="6"/>
            </w:tcBorders>
            <w:shd w:fill="E8EFF7" w:val="clear"/>
            <w:tcMar>
              <w:top w:type="dxa" w:w="120"/>
              <w:left w:type="dxa" w:w="200"/>
              <w:bottom w:type="dxa" w:w="120"/>
              <w:right w:type="dxa" w:w="200"/>
            </w:tcMar>
          </w:tcPr>
          <w:p>
            <w:pPr>
              <w:shd w:fill="003366" w:val="clear"/>
              <w:spacing w:before="80" w:after="100"/>
            </w:pPr>
            <w:r>
              <w:rPr>
                <w:rFonts w:ascii="Arial" w:cs="Arial" w:eastAsia="Arial" w:hAnsi="Arial"/>
                <w:b/>
                <w:bCs/>
                <w:color w:val="FFFFFF"/>
                <w:sz w:val="20"/>
                <w:szCs w:val="20"/>
              </w:rPr>
              <w:t xml:space="preserve">OPERATIONAL REQUIREMENT</w:t>
            </w:r>
          </w:p>
          <w:p>
            <w:pPr>
              <w:pStyle w:val="ListParagraph"/>
              <w:numPr>
                <w:ilvl w:val="0"/>
                <w:numId w:val="2"/>
              </w:numPr>
              <w:spacing w:before="40" w:after="40"/>
            </w:pPr>
            <w:r>
              <w:rPr>
                <w:rFonts w:ascii="Arial" w:cs="Arial" w:eastAsia="Arial" w:hAnsi="Arial"/>
                <w:color w:val="1A1A2E"/>
                <w:sz w:val="20"/>
                <w:szCs w:val="20"/>
              </w:rPr>
              <w:t xml:space="preserve">Printed access rosters, blank vehicle log forms, and a laminated analog procedure card must be stocked and current at every gate station at all times. These materials are to be audited monthly by the Head of Campus Security.</w:t>
            </w:r>
          </w:p>
          <w:p>
            <w:pPr>
              <w:spacing w:before="80" w:after="0"/>
            </w:pPr>
          </w:p>
        </w:tc>
      </w:tr>
    </w:tbl>
    <w:p>
      <w:pPr>
        <w:spacing w:before="100" w:after="0"/>
      </w:pPr>
    </w:p>
    <w:p>
      <w:pPr>
        <w:spacing w:before="200" w:after="80"/>
      </w:pPr>
      <w:r>
        <w:rPr>
          <w:rFonts w:ascii="Arial" w:cs="Arial" w:eastAsia="Arial" w:hAnsi="Arial"/>
          <w:b/>
          <w:bCs/>
          <w:color w:val="0057A8"/>
          <w:sz w:val="22"/>
          <w:szCs w:val="22"/>
        </w:rPr>
        <w:t xml:space="preserve">Power Outage Safety Measures</w:t>
      </w:r>
    </w:p>
    <w:p>
      <w:pPr>
        <w:spacing w:before="80" w:after="80"/>
        <w:jc w:val="both"/>
      </w:pPr>
      <w:r>
        <w:rPr>
          <w:rFonts w:ascii="Arial" w:cs="Arial" w:eastAsia="Arial" w:hAnsi="Arial"/>
          <w:color w:val="1A1A2E"/>
          <w:sz w:val="21"/>
          <w:szCs w:val="21"/>
        </w:rPr>
        <w:t xml:space="preserve">Power interruptions represent the highest-risk failure scenario as they affect not only SGA but potentially all connected security infrastructure including lighting, cameras, and communication systems. The following measures are recommended and, where indicated, required:</w:t>
      </w:r>
    </w:p>
    <w:p>
      <w:pPr>
        <w:spacing w:before="60" w:after="0"/>
      </w:pPr>
    </w:p>
    <w:p>
      <w:pPr>
        <w:spacing w:before="120" w:after="60"/>
      </w:pPr>
      <w:r>
        <w:rPr>
          <w:rFonts w:ascii="Arial" w:cs="Arial" w:eastAsia="Arial" w:hAnsi="Arial"/>
          <w:b/>
          <w:bCs/>
          <w:color w:val="003366"/>
          <w:sz w:val="21"/>
          <w:szCs w:val="21"/>
        </w:rPr>
        <w:t xml:space="preserve">Uninterruptible Power Supply (UPS)</w:t>
      </w:r>
    </w:p>
    <w:p>
      <w:pPr>
        <w:pStyle w:val="ListParagraph"/>
        <w:numPr>
          <w:ilvl w:val="0"/>
          <w:numId w:val="2"/>
        </w:numPr>
        <w:spacing w:before="60" w:after="60"/>
      </w:pPr>
      <w:r>
        <w:rPr>
          <w:rFonts w:ascii="Arial" w:cs="Arial" w:eastAsia="Arial" w:hAnsi="Arial"/>
          <w:color w:val="1A1A2E"/>
          <w:sz w:val="21"/>
          <w:szCs w:val="21"/>
        </w:rPr>
        <w:t xml:space="preserve">All SGA gate hardware, servers, and network equipment must be connected to UPS units with a minimum 4-hour runtime at full load</w:t>
      </w:r>
    </w:p>
    <w:p>
      <w:pPr>
        <w:pStyle w:val="ListParagraph"/>
        <w:numPr>
          <w:ilvl w:val="0"/>
          <w:numId w:val="2"/>
        </w:numPr>
        <w:spacing w:before="60" w:after="60"/>
      </w:pPr>
      <w:r>
        <w:rPr>
          <w:rFonts w:ascii="Arial" w:cs="Arial" w:eastAsia="Arial" w:hAnsi="Arial"/>
          <w:color w:val="1A1A2E"/>
          <w:sz w:val="21"/>
          <w:szCs w:val="21"/>
        </w:rPr>
        <w:t xml:space="preserve">UPS units must be tested quarterly and batteries replaced per manufacturer schedule</w:t>
      </w:r>
    </w:p>
    <w:p>
      <w:pPr>
        <w:pStyle w:val="ListParagraph"/>
        <w:numPr>
          <w:ilvl w:val="0"/>
          <w:numId w:val="2"/>
        </w:numPr>
        <w:spacing w:before="60" w:after="60"/>
      </w:pPr>
      <w:r>
        <w:rPr>
          <w:rFonts w:ascii="Arial" w:cs="Arial" w:eastAsia="Arial" w:hAnsi="Arial"/>
          <w:color w:val="1A1A2E"/>
          <w:sz w:val="21"/>
          <w:szCs w:val="21"/>
        </w:rPr>
        <w:t xml:space="preserve">UPS failure alerts must be routed to IT operations and campus security leadership simultaneously</w:t>
      </w:r>
    </w:p>
    <w:p>
      <w:pPr>
        <w:spacing w:before="60" w:after="0"/>
      </w:pPr>
    </w:p>
    <w:p>
      <w:pPr>
        <w:spacing w:before="120" w:after="60"/>
      </w:pPr>
      <w:r>
        <w:rPr>
          <w:rFonts w:ascii="Arial" w:cs="Arial" w:eastAsia="Arial" w:hAnsi="Arial"/>
          <w:b/>
          <w:bCs/>
          <w:color w:val="003366"/>
          <w:sz w:val="21"/>
          <w:szCs w:val="21"/>
        </w:rPr>
        <w:t xml:space="preserve">Backup Generator Integration</w:t>
      </w:r>
    </w:p>
    <w:p>
      <w:pPr>
        <w:pStyle w:val="ListParagraph"/>
        <w:numPr>
          <w:ilvl w:val="0"/>
          <w:numId w:val="2"/>
        </w:numPr>
        <w:spacing w:before="60" w:after="60"/>
      </w:pPr>
      <w:r>
        <w:rPr>
          <w:rFonts w:ascii="Arial" w:cs="Arial" w:eastAsia="Arial" w:hAnsi="Arial"/>
          <w:color w:val="1A1A2E"/>
          <w:sz w:val="21"/>
          <w:szCs w:val="21"/>
        </w:rPr>
        <w:t xml:space="preserve">A dedicated backup generator is recommended for the campus security operations center and primary gate infrastructure</w:t>
      </w:r>
    </w:p>
    <w:p>
      <w:pPr>
        <w:pStyle w:val="ListParagraph"/>
        <w:numPr>
          <w:ilvl w:val="0"/>
          <w:numId w:val="2"/>
        </w:numPr>
        <w:spacing w:before="60" w:after="60"/>
      </w:pPr>
      <w:r>
        <w:rPr>
          <w:rFonts w:ascii="Arial" w:cs="Arial" w:eastAsia="Arial" w:hAnsi="Arial"/>
          <w:color w:val="1A1A2E"/>
          <w:sz w:val="21"/>
          <w:szCs w:val="21"/>
        </w:rPr>
        <w:t xml:space="preserve">Generator must be capable of sustaining gate hardware, lighting, and communication equipment for a minimum of 72 hours</w:t>
      </w:r>
    </w:p>
    <w:p>
      <w:pPr>
        <w:pStyle w:val="ListParagraph"/>
        <w:numPr>
          <w:ilvl w:val="0"/>
          <w:numId w:val="2"/>
        </w:numPr>
        <w:spacing w:before="60" w:after="60"/>
      </w:pPr>
      <w:r>
        <w:rPr>
          <w:rFonts w:ascii="Arial" w:cs="Arial" w:eastAsia="Arial" w:hAnsi="Arial"/>
          <w:color w:val="1A1A2E"/>
          <w:sz w:val="21"/>
          <w:szCs w:val="21"/>
        </w:rPr>
        <w:t xml:space="preserve">Monthly generator test runs are required; results logged and reviewed by facilities management</w:t>
      </w:r>
    </w:p>
    <w:p>
      <w:pPr>
        <w:pStyle w:val="ListParagraph"/>
        <w:numPr>
          <w:ilvl w:val="0"/>
          <w:numId w:val="2"/>
        </w:numPr>
        <w:spacing w:before="60" w:after="60"/>
      </w:pPr>
      <w:r>
        <w:rPr>
          <w:rFonts w:ascii="Arial" w:cs="Arial" w:eastAsia="Arial" w:hAnsi="Arial"/>
          <w:color w:val="1A1A2E"/>
          <w:sz w:val="21"/>
          <w:szCs w:val="21"/>
        </w:rPr>
        <w:t xml:space="preserve">Fuel reserves must maintain a minimum 7-day supply; automatic refill triggers are recommended</w:t>
      </w:r>
    </w:p>
    <w:p>
      <w:pPr>
        <w:spacing w:before="60" w:after="0"/>
      </w:pPr>
    </w:p>
    <w:p>
      <w:pPr>
        <w:spacing w:before="120" w:after="60"/>
      </w:pPr>
      <w:r>
        <w:rPr>
          <w:rFonts w:ascii="Arial" w:cs="Arial" w:eastAsia="Arial" w:hAnsi="Arial"/>
          <w:b/>
          <w:bCs/>
          <w:color w:val="003366"/>
          <w:sz w:val="21"/>
          <w:szCs w:val="21"/>
        </w:rPr>
        <w:t xml:space="preserve">Gate Fail-Safe Configuration</w:t>
      </w:r>
    </w:p>
    <w:p>
      <w:pPr>
        <w:pStyle w:val="ListParagraph"/>
        <w:numPr>
          <w:ilvl w:val="0"/>
          <w:numId w:val="2"/>
        </w:numPr>
        <w:spacing w:before="60" w:after="60"/>
      </w:pPr>
      <w:r>
        <w:rPr>
          <w:rFonts w:ascii="Arial" w:cs="Arial" w:eastAsia="Arial" w:hAnsi="Arial"/>
          <w:color w:val="1A1A2E"/>
          <w:sz w:val="21"/>
          <w:szCs w:val="21"/>
        </w:rPr>
        <w:t xml:space="preserve">Gates must be configured in a fail-secure state by default: in the event of power loss, gates default to the closed/locked position to prevent unauthorized access</w:t>
      </w:r>
    </w:p>
    <w:p>
      <w:pPr>
        <w:pStyle w:val="ListParagraph"/>
        <w:numPr>
          <w:ilvl w:val="0"/>
          <w:numId w:val="2"/>
        </w:numPr>
        <w:spacing w:before="60" w:after="60"/>
      </w:pPr>
      <w:r>
        <w:rPr>
          <w:rFonts w:ascii="Arial" w:cs="Arial" w:eastAsia="Arial" w:hAnsi="Arial"/>
          <w:color w:val="1A1A2E"/>
          <w:sz w:val="21"/>
          <w:szCs w:val="21"/>
        </w:rPr>
        <w:t xml:space="preserve">A manual override mechanism (physical key or code) must be available at each gate for emergency egress purposes and must be accessible only to authorized personnel</w:t>
      </w:r>
    </w:p>
    <w:p>
      <w:pPr>
        <w:pStyle w:val="ListParagraph"/>
        <w:numPr>
          <w:ilvl w:val="0"/>
          <w:numId w:val="2"/>
        </w:numPr>
        <w:spacing w:before="60" w:after="60"/>
      </w:pPr>
      <w:r>
        <w:rPr>
          <w:rFonts w:ascii="Arial" w:cs="Arial" w:eastAsia="Arial" w:hAnsi="Arial"/>
          <w:color w:val="1A1A2E"/>
          <w:sz w:val="21"/>
          <w:szCs w:val="21"/>
        </w:rPr>
        <w:t xml:space="preserve">Emergency egress protocols must comply with applicable fire safety and life safety codes</w:t>
      </w:r>
    </w:p>
    <w:p>
      <w:pPr>
        <w:spacing w:before="60" w:after="0"/>
      </w:pPr>
    </w:p>
    <w:p>
      <w:pPr>
        <w:spacing w:before="120" w:after="60"/>
      </w:pPr>
      <w:r>
        <w:rPr>
          <w:rFonts w:ascii="Arial" w:cs="Arial" w:eastAsia="Arial" w:hAnsi="Arial"/>
          <w:b/>
          <w:bCs/>
          <w:color w:val="003366"/>
          <w:sz w:val="21"/>
          <w:szCs w:val="21"/>
        </w:rPr>
        <w:t xml:space="preserve">Communication &amp; Notification</w:t>
      </w:r>
    </w:p>
    <w:p>
      <w:pPr>
        <w:pStyle w:val="ListParagraph"/>
        <w:numPr>
          <w:ilvl w:val="0"/>
          <w:numId w:val="2"/>
        </w:numPr>
        <w:spacing w:before="60" w:after="60"/>
      </w:pPr>
      <w:r>
        <w:rPr>
          <w:rFonts w:ascii="Arial" w:cs="Arial" w:eastAsia="Arial" w:hAnsi="Arial"/>
          <w:color w:val="1A1A2E"/>
          <w:sz w:val="21"/>
          <w:szCs w:val="21"/>
        </w:rPr>
        <w:t xml:space="preserve">Battery-powered radios must be available at every gate station and charged at all times</w:t>
      </w:r>
    </w:p>
    <w:p>
      <w:pPr>
        <w:pStyle w:val="ListParagraph"/>
        <w:numPr>
          <w:ilvl w:val="0"/>
          <w:numId w:val="2"/>
        </w:numPr>
        <w:spacing w:before="60" w:after="60"/>
      </w:pPr>
      <w:r>
        <w:rPr>
          <w:rFonts w:ascii="Arial" w:cs="Arial" w:eastAsia="Arial" w:hAnsi="Arial"/>
          <w:color w:val="1A1A2E"/>
          <w:sz w:val="21"/>
          <w:szCs w:val="21"/>
        </w:rPr>
        <w:t xml:space="preserve">A cellular-based secondary alert channel must be configured to notify security leadership of power loss events independent of campus network infrastructure</w:t>
      </w:r>
    </w:p>
    <w:p>
      <w:pPr>
        <w:pStyle w:val="ListParagraph"/>
        <w:numPr>
          <w:ilvl w:val="0"/>
          <w:numId w:val="2"/>
        </w:numPr>
        <w:spacing w:before="60" w:after="60"/>
      </w:pPr>
      <w:r>
        <w:rPr>
          <w:rFonts w:ascii="Arial" w:cs="Arial" w:eastAsia="Arial" w:hAnsi="Arial"/>
          <w:color w:val="1A1A2E"/>
          <w:sz w:val="21"/>
          <w:szCs w:val="21"/>
        </w:rPr>
        <w:t xml:space="preserve">Campus-wide emergency notification system should be tested in conjunction with power outage drills semi-annually</w:t>
      </w:r>
    </w:p>
    <w:p>
      <w:pPr>
        <w:spacing w:before="100" w:after="0"/>
      </w:pPr>
    </w:p>
    <w:p>
      <w:pPr>
        <w:spacing w:before="200" w:after="80"/>
      </w:pPr>
      <w:r>
        <w:rPr>
          <w:rFonts w:ascii="Arial" w:cs="Arial" w:eastAsia="Arial" w:hAnsi="Arial"/>
          <w:b/>
          <w:bCs/>
          <w:color w:val="0057A8"/>
          <w:sz w:val="22"/>
          <w:szCs w:val="22"/>
        </w:rPr>
        <w:t xml:space="preserve">System Restoration &amp; Return to Normal Operations</w:t>
      </w:r>
    </w:p>
    <w:p>
      <w:pPr>
        <w:pStyle w:val="ListParagraph"/>
        <w:numPr>
          <w:ilvl w:val="0"/>
          <w:numId w:val="2"/>
        </w:numPr>
        <w:spacing w:before="60" w:after="60"/>
      </w:pPr>
      <w:r>
        <w:rPr>
          <w:rFonts w:ascii="Arial" w:cs="Arial" w:eastAsia="Arial" w:hAnsi="Arial"/>
          <w:color w:val="1A1A2E"/>
          <w:sz w:val="21"/>
          <w:szCs w:val="21"/>
        </w:rPr>
        <w:t xml:space="preserve">The SGA system administrator must confirm full system integrity before deactivating analog fallback procedures</w:t>
      </w:r>
    </w:p>
    <w:p>
      <w:pPr>
        <w:pStyle w:val="ListParagraph"/>
        <w:numPr>
          <w:ilvl w:val="0"/>
          <w:numId w:val="2"/>
        </w:numPr>
        <w:spacing w:before="60" w:after="60"/>
      </w:pPr>
      <w:r>
        <w:rPr>
          <w:rFonts w:ascii="Arial" w:cs="Arial" w:eastAsia="Arial" w:hAnsi="Arial"/>
          <w:color w:val="1A1A2E"/>
          <w:sz w:val="21"/>
          <w:szCs w:val="21"/>
        </w:rPr>
        <w:t xml:space="preserve">Upon restoration, a reconciliation audit must be conducted comparing analog access logs against SGA digital records for the outage period</w:t>
      </w:r>
    </w:p>
    <w:p>
      <w:pPr>
        <w:pStyle w:val="ListParagraph"/>
        <w:numPr>
          <w:ilvl w:val="0"/>
          <w:numId w:val="2"/>
        </w:numPr>
        <w:spacing w:before="60" w:after="60"/>
      </w:pPr>
      <w:r>
        <w:rPr>
          <w:rFonts w:ascii="Arial" w:cs="Arial" w:eastAsia="Arial" w:hAnsi="Arial"/>
          <w:color w:val="1A1A2E"/>
          <w:sz w:val="21"/>
          <w:szCs w:val="21"/>
        </w:rPr>
        <w:t xml:space="preserve">Any unresolved discrepancies must be investigated and documented within 24 hours of system restoration</w:t>
      </w:r>
    </w:p>
    <w:p>
      <w:pPr>
        <w:pStyle w:val="ListParagraph"/>
        <w:numPr>
          <w:ilvl w:val="0"/>
          <w:numId w:val="2"/>
        </w:numPr>
        <w:spacing w:before="60" w:after="60"/>
      </w:pPr>
      <w:r>
        <w:rPr>
          <w:rFonts w:ascii="Arial" w:cs="Arial" w:eastAsia="Arial" w:hAnsi="Arial"/>
          <w:color w:val="1A1A2E"/>
          <w:sz w:val="21"/>
          <w:szCs w:val="21"/>
        </w:rPr>
        <w:t xml:space="preserve">A post-incident report summarizing root cause, duration, impact, and corrective actions must be submitted to institutional leadership within 72 hours</w:t>
      </w:r>
    </w:p>
    <w:p>
      <w:pPr>
        <w:pBdr>
          <w:bottom w:val="single" w:color="0057A8" w:sz="8" w:space="6"/>
        </w:pBdr>
        <w:spacing w:before="360" w:after="120"/>
      </w:pPr>
      <w:r>
        <w:rPr>
          <w:rFonts w:ascii="Arial" w:cs="Arial" w:eastAsia="Arial" w:hAnsi="Arial"/>
          <w:b/>
          <w:bCs/>
          <w:color w:val="003366"/>
          <w:sz w:val="24"/>
          <w:szCs w:val="24"/>
        </w:rPr>
        <w:t xml:space="preserve">TECHNICAL CONSTRAINTS</w:t>
      </w:r>
    </w:p>
    <w:p>
      <w:pPr>
        <w:spacing w:before="80" w:after="80"/>
        <w:jc w:val="both"/>
      </w:pPr>
      <w:r>
        <w:rPr>
          <w:rFonts w:ascii="Arial" w:cs="Arial" w:eastAsia="Arial" w:hAnsi="Arial"/>
          <w:color w:val="1A1A2E"/>
          <w:sz w:val="21"/>
          <w:szCs w:val="21"/>
        </w:rPr>
        <w:t xml:space="preserve">Like any emerging security platform, SGA operates within a set of current technical boundaries that are important to acknowledge. These constraints do not diminish the system's value — they define the scope of the present build and the roadmap for future development.</w:t>
      </w:r>
    </w:p>
    <w:p>
      <w:pPr>
        <w:spacing w:before="80" w:after="0"/>
      </w:pPr>
    </w:p>
    <w:p>
      <w:pPr>
        <w:spacing w:before="200" w:after="80"/>
      </w:pPr>
      <w:r>
        <w:rPr>
          <w:rFonts w:ascii="Arial" w:cs="Arial" w:eastAsia="Arial" w:hAnsi="Arial"/>
          <w:b/>
          <w:bCs/>
          <w:color w:val="0057A8"/>
          <w:sz w:val="22"/>
          <w:szCs w:val="22"/>
        </w:rPr>
        <w:t xml:space="preserve">No Live Feed from Hampton University's Existing Infrastructure</w:t>
      </w:r>
    </w:p>
    <w:p>
      <w:pPr>
        <w:spacing w:before="80" w:after="80"/>
        <w:jc w:val="both"/>
      </w:pPr>
      <w:r>
        <w:rPr>
          <w:rFonts w:ascii="Arial" w:cs="Arial" w:eastAsia="Arial" w:hAnsi="Arial"/>
          <w:color w:val="1A1A2E"/>
          <w:sz w:val="21"/>
          <w:szCs w:val="21"/>
        </w:rPr>
        <w:t xml:space="preserve">SGA does not currently have access to a real-time vehicle data feed from Hampton University's existing gate or security infrastructure. The system operates on its own independently populated database rather than pulling live or historical entry records from the university's legacy systems. This means initial vehicle registration data must be manually onboarded and maintained. Integration with Hampton University's existing access control or security data pipelines is a high-priority roadmap item pending institutional partnership and API availability.</w:t>
      </w:r>
    </w:p>
    <w:p>
      <w:pPr>
        <w:spacing w:before="60" w:after="0"/>
      </w:pPr>
    </w:p>
    <w:p>
      <w:pPr>
        <w:spacing w:before="200" w:after="80"/>
      </w:pPr>
      <w:r>
        <w:rPr>
          <w:rFonts w:ascii="Arial" w:cs="Arial" w:eastAsia="Arial" w:hAnsi="Arial"/>
          <w:b/>
          <w:bCs/>
          <w:color w:val="0057A8"/>
          <w:sz w:val="22"/>
          <w:szCs w:val="22"/>
        </w:rPr>
        <w:t xml:space="preserve">Database Cold Start</w:t>
      </w:r>
    </w:p>
    <w:p>
      <w:pPr>
        <w:spacing w:before="80" w:after="80"/>
        <w:jc w:val="both"/>
      </w:pPr>
      <w:r>
        <w:rPr>
          <w:rFonts w:ascii="Arial" w:cs="Arial" w:eastAsia="Arial" w:hAnsi="Arial"/>
          <w:color w:val="1A1A2E"/>
          <w:sz w:val="21"/>
          <w:szCs w:val="21"/>
        </w:rPr>
        <w:t xml:space="preserve">On initial deployment, the central database will lack the historical access patterns needed to generate meaningful behavioral baselines or risk scores. Confidence in the matching algorithm and scoring model improves over time as the system accumulates vehicle interaction data. A manual enrollment drive for registered students, faculty, and staff vehicles is recommended prior to go-live to reduce the cold-start window.</w:t>
      </w:r>
    </w:p>
    <w:p>
      <w:pPr>
        <w:spacing w:before="60" w:after="0"/>
      </w:pPr>
    </w:p>
    <w:p>
      <w:pPr>
        <w:spacing w:before="200" w:after="80"/>
      </w:pPr>
      <w:r>
        <w:rPr>
          <w:rFonts w:ascii="Arial" w:cs="Arial" w:eastAsia="Arial" w:hAnsi="Arial"/>
          <w:b/>
          <w:bCs/>
          <w:color w:val="0057A8"/>
          <w:sz w:val="22"/>
          <w:szCs w:val="22"/>
        </w:rPr>
        <w:t xml:space="preserve">Plate Recognition Accuracy Limitations</w:t>
      </w:r>
    </w:p>
    <w:p>
      <w:pPr>
        <w:spacing w:before="80" w:after="80"/>
        <w:jc w:val="both"/>
      </w:pPr>
      <w:r>
        <w:rPr>
          <w:rFonts w:ascii="Arial" w:cs="Arial" w:eastAsia="Arial" w:hAnsi="Arial"/>
          <w:color w:val="1A1A2E"/>
          <w:sz w:val="21"/>
          <w:szCs w:val="21"/>
        </w:rPr>
        <w:t xml:space="preserve">Automated license plate recognition (ALPR) performance is subject to real-world factors including vehicle speed, lighting conditions, weather, plate obstructions, and hardware placement angle. Recognition accuracy in adverse conditions may fall below optimal thresholds, which is why the human-in-the-loop component is not optional — it is a core architectural requirement. Camera placement and hardware specifications should be validated against the specific physical layout of each gate prior to deployment.</w:t>
      </w:r>
    </w:p>
    <w:p>
      <w:pPr>
        <w:spacing w:before="60" w:after="0"/>
      </w:pPr>
    </w:p>
    <w:p>
      <w:pPr>
        <w:spacing w:before="200" w:after="80"/>
      </w:pPr>
      <w:r>
        <w:rPr>
          <w:rFonts w:ascii="Arial" w:cs="Arial" w:eastAsia="Arial" w:hAnsi="Arial"/>
          <w:b/>
          <w:bCs/>
          <w:color w:val="0057A8"/>
          <w:sz w:val="22"/>
          <w:szCs w:val="22"/>
        </w:rPr>
        <w:t xml:space="preserve">No Biometric Integration in Current Build</w:t>
      </w:r>
    </w:p>
    <w:p>
      <w:pPr>
        <w:spacing w:before="80" w:after="80"/>
        <w:jc w:val="both"/>
      </w:pPr>
      <w:r>
        <w:rPr>
          <w:rFonts w:ascii="Arial" w:cs="Arial" w:eastAsia="Arial" w:hAnsi="Arial"/>
          <w:color w:val="1A1A2E"/>
          <w:sz w:val="21"/>
          <w:szCs w:val="21"/>
        </w:rPr>
        <w:t xml:space="preserve">Facial recognition and driver's license correlation are identified as future integration capabilities. The current build does not include biometric matching. These features are dependent on additional hardware, regulatory compliance review, and institutional policy approval before they can be activated.</w:t>
      </w:r>
    </w:p>
    <w:p>
      <w:pPr>
        <w:spacing w:before="60" w:after="0"/>
      </w:pPr>
    </w:p>
    <w:p>
      <w:pPr>
        <w:spacing w:before="200" w:after="80"/>
      </w:pPr>
      <w:r>
        <w:rPr>
          <w:rFonts w:ascii="Arial" w:cs="Arial" w:eastAsia="Arial" w:hAnsi="Arial"/>
          <w:b/>
          <w:bCs/>
          <w:color w:val="0057A8"/>
          <w:sz w:val="22"/>
          <w:szCs w:val="22"/>
        </w:rPr>
        <w:t xml:space="preserve">Network Dependency</w:t>
      </w:r>
    </w:p>
    <w:p>
      <w:pPr>
        <w:spacing w:before="80" w:after="80"/>
        <w:jc w:val="both"/>
      </w:pPr>
      <w:r>
        <w:rPr>
          <w:rFonts w:ascii="Arial" w:cs="Arial" w:eastAsia="Arial" w:hAnsi="Arial"/>
          <w:color w:val="1A1A2E"/>
          <w:sz w:val="21"/>
          <w:szCs w:val="21"/>
        </w:rPr>
        <w:t xml:space="preserve">Real-time database queries and alert notifications require a stable network connection. Gate hardware operating in network-degraded conditions will be unable to perform live lookups, which triggers the analog fallback protocol described in the Contingency Plan. Local edge caching of the most recent database snapshot is recommended to maintain partial functionality during brief connectivity interruptions.</w:t>
      </w:r>
    </w:p>
    <w:p>
      <w:pPr>
        <w:spacing w:before="160" w:after="0"/>
      </w:pPr>
    </w:p>
    <w:p>
      <w:pPr>
        <w:pBdr>
          <w:bottom w:val="single" w:color="0057A8" w:sz="14" w:space="1"/>
        </w:pBdr>
        <w:spacing w:before="0" w:after="220"/>
      </w:pPr>
    </w:p>
    <w:p>
      <w:pPr>
        <w:spacing w:before="120" w:after="0"/>
        <w:jc w:val="center"/>
      </w:pPr>
      <w:r>
        <w:rPr>
          <w:rFonts w:ascii="Arial" w:cs="Arial" w:eastAsia="Arial" w:hAnsi="Arial"/>
          <w:i/>
          <w:iCs/>
          <w:color w:val="4A4A6A"/>
          <w:sz w:val="17"/>
          <w:szCs w:val="17"/>
        </w:rPr>
        <w:t xml:space="preserve">This document is prepared exclusively for authorized Bank of America stakeholder review. All information is confidential and proprietary. Unauthorized distribution is strictly prohibited.</w:t>
      </w:r>
    </w:p>
    <w:sectPr>
      <w:pgSz w:w="12240" w:h="15840" w:orient="portrait"/>
      <w:pgMar w:top="108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2026-03-22T04:18:51.749Z</dcterms:created>
  <dcterms:modified xsi:type="dcterms:W3CDTF">2026-03-22T04:18:51.750Z</dcterms:modified>
</cp:coreProperties>
</file>

<file path=docProps/custom.xml><?xml version="1.0" encoding="utf-8"?>
<Properties xmlns="http://schemas.openxmlformats.org/officeDocument/2006/custom-properties" xmlns:vt="http://schemas.openxmlformats.org/officeDocument/2006/docPropsVTypes"/>
</file>