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5328"/>
        <w:gridCol w:w="5328"/>
      </w:tblGrid>
      <w:tr>
        <w:tc>
          <w:tcPr>
            <w:tcW w:type="dxa" w:w="6200"/>
            <w:shd w:fill="002B66"/>
          </w:tcPr>
          <w:p>
            <w:pPr>
              <w:jc w:val="left"/>
            </w:pPr>
            <w:r>
              <w:rPr>
                <w:rFonts w:ascii="Arial" w:hAnsi="Arial"/>
                <w:b/>
                <w:color w:val="FFFFFF"/>
                <w:sz w:val="24"/>
              </w:rPr>
              <w:t>Ficha de documentación de solución AFOLU-Copernicus</w:t>
            </w:r>
          </w:p>
        </w:tc>
        <w:tc>
          <w:tcPr>
            <w:tcW w:type="dxa" w:w="3000"/>
            <w:shd w:fill="EAF2F8"/>
          </w:tcPr>
          <w:p>
            <w:pPr>
              <w:jc w:val="center"/>
            </w:pPr>
            <w:r>
              <w:rPr>
                <w:rFonts w:ascii="Arial" w:hAnsi="Arial"/>
                <w:b/>
                <w:color w:val="003769"/>
                <w:sz w:val="24"/>
              </w:rPr>
              <w:t>Sala 1</w:t>
            </w:r>
          </w:p>
        </w:tc>
      </w:tr>
    </w:tbl>
    <w:p/>
    <w:p>
      <w:pPr>
        <w:pStyle w:val="Title"/>
        <w:spacing w:before="0" w:after="160"/>
      </w:pPr>
      <w:r>
        <w:rPr>
          <w:rFonts w:ascii="Arial" w:hAnsi="Arial"/>
          <w:b/>
          <w:color w:val="003769"/>
          <w:sz w:val="28"/>
        </w:rPr>
        <w:t>Monitoreo y Control en cambios de la cobertura forestal en proyectos bajo el Programa de Pagos por Servicios Ambientales en Costa Rica</w:t>
      </w:r>
    </w:p>
    <w:tbl>
      <w:tblPr>
        <w:tblW w:type="auto" w:w="0"/>
        <w:tblLayout w:type="autofit"/>
        <w:tblLook w:firstColumn="1" w:firstRow="1" w:lastColumn="0" w:lastRow="0" w:noHBand="0" w:noVBand="1" w:val="04A0"/>
        <w:jc w:val="center"/>
        <w:tblBorders>
          <w:top w:val="single" w:sz="6" w:space="0" w:color="B7C8D6"/>
          <w:left w:val="single" w:sz="6" w:space="0" w:color="B7C8D6"/>
          <w:bottom w:val="single" w:sz="6" w:space="0" w:color="B7C8D6"/>
          <w:right w:val="single" w:sz="6" w:space="0" w:color="B7C8D6"/>
          <w:insideH w:val="single" w:sz="6" w:space="0" w:color="B7C8D6"/>
          <w:insideV w:val="single" w:sz="6" w:space="0" w:color="B7C8D6"/>
        </w:tblBorders>
      </w:tblPr>
      <w:tblGrid>
        <w:gridCol w:w="5328"/>
        <w:gridCol w:w="5328"/>
      </w:tblGrid>
      <w:tr>
        <w:tc>
          <w:tcPr>
            <w:tcW w:type="dxa" w:w="1850"/>
            <w:vAlign w:val="top"/>
            <w:shd w:fill="EAF2F8"/>
          </w:tcPr>
          <w:p>
            <w:pPr>
              <w:spacing w:after="0" w:before="0"/>
            </w:pPr>
            <w:r>
              <w:rPr>
                <w:rFonts w:ascii="Arial" w:hAnsi="Arial"/>
                <w:b/>
                <w:sz w:val="17"/>
              </w:rPr>
              <w:t>Proponente(s)</w:t>
            </w:r>
          </w:p>
        </w:tc>
        <w:tc>
          <w:tcPr>
            <w:tcW w:type="dxa" w:w="7250"/>
            <w:vAlign w:val="top"/>
          </w:tcPr>
          <w:p>
            <w:pPr>
              <w:spacing w:after="0" w:before="0"/>
            </w:pPr>
            <w:r>
              <w:rPr>
                <w:rFonts w:ascii="Arial" w:hAnsi="Arial"/>
                <w:sz w:val="17"/>
              </w:rPr>
              <w:t>Jennifer Hernández Sánchez, Randall Herrera González, Esaud Chaves Picado y Victor Sojo Chaves</w:t>
            </w:r>
          </w:p>
        </w:tc>
      </w:tr>
      <w:tr>
        <w:tc>
          <w:tcPr>
            <w:tcW w:type="dxa" w:w="1850"/>
            <w:vAlign w:val="top"/>
            <w:shd w:fill="EAF2F8"/>
          </w:tcPr>
          <w:p>
            <w:pPr>
              <w:spacing w:after="0" w:before="0"/>
            </w:pPr>
            <w:r>
              <w:rPr>
                <w:rFonts w:ascii="Arial" w:hAnsi="Arial"/>
                <w:b/>
                <w:sz w:val="17"/>
              </w:rPr>
              <w:t>Institución</w:t>
            </w:r>
          </w:p>
        </w:tc>
        <w:tc>
          <w:tcPr>
            <w:tcW w:type="dxa" w:w="7250"/>
            <w:vAlign w:val="top"/>
          </w:tcPr>
          <w:p>
            <w:pPr>
              <w:spacing w:after="0" w:before="0"/>
            </w:pPr>
            <w:r>
              <w:rPr>
                <w:rFonts w:ascii="Arial" w:hAnsi="Arial"/>
                <w:sz w:val="17"/>
              </w:rPr>
              <w:t>Fondo Nacional de Financiamiento Forestal (Fonafifo)</w:t>
            </w:r>
          </w:p>
        </w:tc>
      </w:tr>
      <w:tr>
        <w:tc>
          <w:tcPr>
            <w:tcW w:type="dxa" w:w="1850"/>
            <w:vAlign w:val="top"/>
            <w:shd w:fill="EAF2F8"/>
          </w:tcPr>
          <w:p>
            <w:pPr>
              <w:spacing w:after="0" w:before="0"/>
            </w:pPr>
            <w:r>
              <w:rPr>
                <w:rFonts w:ascii="Arial" w:hAnsi="Arial"/>
                <w:b/>
                <w:sz w:val="17"/>
              </w:rPr>
              <w:t>País(es)</w:t>
            </w:r>
          </w:p>
        </w:tc>
        <w:tc>
          <w:tcPr>
            <w:tcW w:type="dxa" w:w="7250"/>
            <w:vAlign w:val="top"/>
          </w:tcPr>
          <w:p>
            <w:pPr>
              <w:spacing w:after="0" w:before="0"/>
            </w:pPr>
            <w:r>
              <w:rPr>
                <w:rFonts w:ascii="Arial" w:hAnsi="Arial"/>
                <w:sz w:val="17"/>
              </w:rPr>
              <w:t>Costa Rica</w:t>
            </w:r>
          </w:p>
        </w:tc>
      </w:tr>
      <w:tr>
        <w:tc>
          <w:tcPr>
            <w:tcW w:type="dxa" w:w="1850"/>
            <w:vAlign w:val="top"/>
            <w:shd w:fill="EAF2F8"/>
          </w:tcPr>
          <w:p>
            <w:pPr>
              <w:spacing w:after="0" w:before="0"/>
            </w:pPr>
            <w:r>
              <w:rPr>
                <w:rFonts w:ascii="Arial" w:hAnsi="Arial"/>
                <w:b/>
                <w:sz w:val="17"/>
              </w:rPr>
              <w:t>Correo</w:t>
            </w:r>
          </w:p>
        </w:tc>
        <w:tc>
          <w:tcPr>
            <w:tcW w:type="dxa" w:w="7250"/>
            <w:vAlign w:val="top"/>
          </w:tcPr>
          <w:p>
            <w:pPr>
              <w:spacing w:after="0" w:before="0"/>
            </w:pPr>
            <w:r>
              <w:rPr>
                <w:rFonts w:ascii="Arial" w:hAnsi="Arial"/>
                <w:sz w:val="17"/>
              </w:rPr>
              <w:t>esaud.chaves@fonafifo.go.cr</w:t>
            </w:r>
          </w:p>
        </w:tc>
      </w:tr>
      <w:tr>
        <w:tc>
          <w:tcPr>
            <w:tcW w:type="dxa" w:w="1850"/>
            <w:vAlign w:val="top"/>
            <w:shd w:fill="EAF2F8"/>
          </w:tcPr>
          <w:p>
            <w:pPr>
              <w:spacing w:after="0" w:before="0"/>
            </w:pPr>
            <w:r>
              <w:rPr>
                <w:rFonts w:ascii="Arial" w:hAnsi="Arial"/>
                <w:b/>
                <w:sz w:val="17"/>
              </w:rPr>
              <w:t>Grupo de trabajo</w:t>
            </w:r>
          </w:p>
        </w:tc>
        <w:tc>
          <w:tcPr>
            <w:tcW w:type="dxa" w:w="7250"/>
            <w:vAlign w:val="top"/>
          </w:tcPr>
          <w:p>
            <w:pPr>
              <w:spacing w:after="0" w:before="0"/>
            </w:pPr>
            <w:r>
              <w:rPr>
                <w:rFonts w:ascii="Arial" w:hAnsi="Arial"/>
                <w:sz w:val="17"/>
              </w:rPr>
              <w:t>Cobertura, deforestación, cambio de uso y monitoreo forestal territorial</w:t>
            </w:r>
          </w:p>
        </w:tc>
      </w:tr>
      <w:tr>
        <w:tc>
          <w:tcPr>
            <w:tcW w:type="dxa" w:w="1850"/>
            <w:vAlign w:val="top"/>
            <w:shd w:fill="EAF2F8"/>
          </w:tcPr>
          <w:p>
            <w:pPr>
              <w:spacing w:after="0" w:before="0"/>
            </w:pPr>
            <w:r>
              <w:rPr>
                <w:rFonts w:ascii="Arial" w:hAnsi="Arial"/>
                <w:b/>
                <w:sz w:val="17"/>
              </w:rPr>
              <w:t>Sala de discusión</w:t>
            </w:r>
          </w:p>
        </w:tc>
        <w:tc>
          <w:tcPr>
            <w:tcW w:type="dxa" w:w="7250"/>
            <w:vAlign w:val="top"/>
          </w:tcPr>
          <w:p>
            <w:pPr>
              <w:spacing w:after="0" w:before="0"/>
            </w:pPr>
            <w:r>
              <w:rPr>
                <w:rFonts w:ascii="Arial" w:hAnsi="Arial"/>
                <w:sz w:val="17"/>
              </w:rPr>
              <w:t>Sala 1</w:t>
            </w:r>
          </w:p>
        </w:tc>
      </w:tr>
      <w:tr>
        <w:tc>
          <w:tcPr>
            <w:tcW w:type="dxa" w:w="1850"/>
            <w:vAlign w:val="top"/>
            <w:shd w:fill="EAF2F8"/>
          </w:tcPr>
          <w:p>
            <w:pPr>
              <w:spacing w:after="0" w:before="0"/>
            </w:pPr>
            <w:r>
              <w:rPr>
                <w:rFonts w:ascii="Arial" w:hAnsi="Arial"/>
                <w:b/>
                <w:sz w:val="17"/>
              </w:rPr>
              <w:t>Áreas temáticas declaradas</w:t>
            </w:r>
          </w:p>
        </w:tc>
        <w:tc>
          <w:tcPr>
            <w:tcW w:type="dxa" w:w="7250"/>
            <w:vAlign w:val="top"/>
          </w:tcPr>
          <w:p>
            <w:pPr>
              <w:spacing w:after="0" w:before="0"/>
            </w:pPr>
            <w:r>
              <w:rPr>
                <w:rFonts w:ascii="Arial" w:hAnsi="Arial"/>
                <w:sz w:val="17"/>
              </w:rPr>
              <w:t>Deforestación; Degradación forestal; Cambio de uso del suelo / cobertura; Biodiversidad; Agricultura; Ganadería</w:t>
            </w:r>
          </w:p>
        </w:tc>
      </w:tr>
    </w:tbl>
    <w:p>
      <w:pPr>
        <w:pStyle w:val="Heading2"/>
        <w:spacing w:before="160" w:after="80"/>
      </w:pPr>
      <w:r>
        <w:rPr>
          <w:rFonts w:ascii="Arial" w:hAnsi="Arial"/>
          <w:b/>
          <w:color w:val="003769"/>
          <w:sz w:val="24"/>
        </w:rPr>
        <w:t>1. Problema que busca atender</w:t>
      </w:r>
    </w:p>
    <w:p>
      <w:pPr>
        <w:spacing w:after="120"/>
        <w:jc w:val="both"/>
      </w:pPr>
      <w:r>
        <w:rPr>
          <w:rFonts w:ascii="Arial" w:hAnsi="Arial"/>
          <w:sz w:val="19"/>
        </w:rPr>
        <w:t>La rápida identificación  de zonas o áreas que presentan cambio de cobertura en forma automatizada. Obtencion de información para la oportuna toma de decisiones en los proyectos de Pagos de Servicios Ambientales en Costa Rica; identificando oportunamente sitios o áreas con alta incidencia en los cambios de cobertura.</w:t>
      </w:r>
    </w:p>
    <w:p>
      <w:pPr>
        <w:pStyle w:val="Heading2"/>
        <w:spacing w:before="160" w:after="80"/>
      </w:pPr>
      <w:r>
        <w:rPr>
          <w:rFonts w:ascii="Arial" w:hAnsi="Arial"/>
          <w:b/>
          <w:color w:val="003769"/>
          <w:sz w:val="24"/>
        </w:rPr>
        <w:t>2. Relevancia del problema</w:t>
      </w:r>
    </w:p>
    <w:p>
      <w:pPr>
        <w:spacing w:after="120"/>
        <w:jc w:val="both"/>
      </w:pPr>
      <w:r>
        <w:rPr>
          <w:rFonts w:ascii="Arial" w:hAnsi="Arial"/>
          <w:sz w:val="19"/>
        </w:rPr>
        <w:t>Esta herramienta nos brindará una respuesta oportuna en la atención del seguimiento y control de los proyectos de Pagos por Servicios Ambientales, en función de la preservación del estado de la vobertura forestal según los lineamientos y regulaciones del programa.</w:t>
      </w:r>
    </w:p>
    <w:p>
      <w:pPr>
        <w:pStyle w:val="Heading2"/>
        <w:spacing w:before="160" w:after="80"/>
      </w:pPr>
      <w:r>
        <w:rPr>
          <w:rFonts w:ascii="Arial" w:hAnsi="Arial"/>
          <w:b/>
          <w:color w:val="003769"/>
          <w:sz w:val="24"/>
        </w:rPr>
        <w:t>3. Territorio de aplicación y ubicación</w:t>
      </w:r>
    </w:p>
    <w:tbl>
      <w:tblPr>
        <w:tblW w:type="auto" w:w="0"/>
        <w:tblLayout w:type="autofit"/>
        <w:tblLook w:firstColumn="1" w:firstRow="1" w:lastColumn="0" w:lastRow="0" w:noHBand="0" w:noVBand="1" w:val="04A0"/>
        <w:jc w:val="center"/>
        <w:tblBorders>
          <w:top w:val="single" w:sz="6" w:space="0" w:color="B7C8D6"/>
          <w:left w:val="single" w:sz="6" w:space="0" w:color="B7C8D6"/>
          <w:bottom w:val="single" w:sz="6" w:space="0" w:color="B7C8D6"/>
          <w:right w:val="single" w:sz="6" w:space="0" w:color="B7C8D6"/>
          <w:insideH w:val="single" w:sz="6" w:space="0" w:color="B7C8D6"/>
          <w:insideV w:val="single" w:sz="6" w:space="0" w:color="B7C8D6"/>
        </w:tblBorders>
      </w:tblPr>
      <w:tblGrid>
        <w:gridCol w:w="5328"/>
        <w:gridCol w:w="5328"/>
      </w:tblGrid>
      <w:tr>
        <w:tc>
          <w:tcPr>
            <w:tcW w:type="dxa" w:w="1850"/>
            <w:vAlign w:val="top"/>
            <w:shd w:fill="EAF2F8"/>
          </w:tcPr>
          <w:p>
            <w:pPr>
              <w:spacing w:after="0" w:before="0"/>
            </w:pPr>
            <w:r>
              <w:rPr>
                <w:rFonts w:ascii="Arial" w:hAnsi="Arial"/>
                <w:b/>
                <w:sz w:val="17"/>
              </w:rPr>
              <w:t>Territorio de referencia</w:t>
            </w:r>
          </w:p>
        </w:tc>
        <w:tc>
          <w:tcPr>
            <w:tcW w:type="dxa" w:w="7250"/>
            <w:vAlign w:val="top"/>
          </w:tcPr>
          <w:p>
            <w:pPr>
              <w:spacing w:after="0" w:before="0"/>
            </w:pPr>
            <w:r>
              <w:rPr>
                <w:rFonts w:ascii="Arial" w:hAnsi="Arial"/>
                <w:sz w:val="17"/>
              </w:rPr>
              <w:t>Región administrativa Caribe Norte</w:t>
            </w:r>
          </w:p>
        </w:tc>
      </w:tr>
      <w:tr>
        <w:tc>
          <w:tcPr>
            <w:tcW w:type="dxa" w:w="1850"/>
            <w:vAlign w:val="top"/>
            <w:shd w:fill="EAF2F8"/>
          </w:tcPr>
          <w:p>
            <w:pPr>
              <w:spacing w:after="0" w:before="0"/>
            </w:pPr>
            <w:r>
              <w:rPr>
                <w:rFonts w:ascii="Arial" w:hAnsi="Arial"/>
                <w:b/>
                <w:sz w:val="17"/>
              </w:rPr>
              <w:t>Punto aproximado</w:t>
            </w:r>
          </w:p>
        </w:tc>
        <w:tc>
          <w:tcPr>
            <w:tcW w:type="dxa" w:w="7250"/>
            <w:vAlign w:val="top"/>
          </w:tcPr>
          <w:p>
            <w:pPr>
              <w:spacing w:after="0" w:before="0"/>
            </w:pPr>
            <w:r>
              <w:rPr>
                <w:rFonts w:ascii="Arial" w:hAnsi="Arial"/>
                <w:sz w:val="17"/>
              </w:rPr>
              <w:t>10.452067 -84.013352 0 0</w:t>
            </w:r>
          </w:p>
        </w:tc>
      </w:tr>
      <w:tr>
        <w:tc>
          <w:tcPr>
            <w:tcW w:type="dxa" w:w="1850"/>
            <w:vAlign w:val="top"/>
            <w:shd w:fill="EAF2F8"/>
          </w:tcPr>
          <w:p>
            <w:pPr>
              <w:spacing w:after="0" w:before="0"/>
            </w:pPr>
            <w:r>
              <w:rPr>
                <w:rFonts w:ascii="Arial" w:hAnsi="Arial"/>
                <w:b/>
                <w:sz w:val="17"/>
              </w:rPr>
              <w:t>Latitud</w:t>
            </w:r>
          </w:p>
        </w:tc>
        <w:tc>
          <w:tcPr>
            <w:tcW w:type="dxa" w:w="7250"/>
            <w:vAlign w:val="top"/>
          </w:tcPr>
          <w:p>
            <w:pPr>
              <w:spacing w:after="0" w:before="0"/>
            </w:pPr>
            <w:r>
              <w:rPr>
                <w:rFonts w:ascii="Arial" w:hAnsi="Arial"/>
                <w:sz w:val="17"/>
              </w:rPr>
              <w:t>10.452067</w:t>
            </w:r>
          </w:p>
        </w:tc>
      </w:tr>
      <w:tr>
        <w:tc>
          <w:tcPr>
            <w:tcW w:type="dxa" w:w="1850"/>
            <w:vAlign w:val="top"/>
            <w:shd w:fill="EAF2F8"/>
          </w:tcPr>
          <w:p>
            <w:pPr>
              <w:spacing w:after="0" w:before="0"/>
            </w:pPr>
            <w:r>
              <w:rPr>
                <w:rFonts w:ascii="Arial" w:hAnsi="Arial"/>
                <w:b/>
                <w:sz w:val="17"/>
              </w:rPr>
              <w:t>Longitud</w:t>
            </w:r>
          </w:p>
        </w:tc>
        <w:tc>
          <w:tcPr>
            <w:tcW w:type="dxa" w:w="7250"/>
            <w:vAlign w:val="top"/>
          </w:tcPr>
          <w:p>
            <w:pPr>
              <w:spacing w:after="0" w:before="0"/>
            </w:pPr>
            <w:r>
              <w:rPr>
                <w:rFonts w:ascii="Arial" w:hAnsi="Arial"/>
                <w:sz w:val="17"/>
              </w:rPr>
              <w:t>-84.013352</w:t>
            </w:r>
          </w:p>
        </w:tc>
      </w:tr>
      <w:tr>
        <w:tc>
          <w:tcPr>
            <w:tcW w:type="dxa" w:w="1850"/>
            <w:vAlign w:val="top"/>
            <w:shd w:fill="EAF2F8"/>
          </w:tcPr>
          <w:p>
            <w:pPr>
              <w:spacing w:after="0" w:before="0"/>
            </w:pPr>
            <w:r>
              <w:rPr>
                <w:rFonts w:ascii="Arial" w:hAnsi="Arial"/>
                <w:b/>
                <w:sz w:val="17"/>
              </w:rPr>
              <w:t>Polígono aproximado</w:t>
            </w:r>
          </w:p>
        </w:tc>
        <w:tc>
          <w:tcPr>
            <w:tcW w:type="dxa" w:w="7250"/>
            <w:vAlign w:val="top"/>
          </w:tcPr>
          <w:p>
            <w:pPr>
              <w:spacing w:after="0" w:before="0"/>
            </w:pPr>
            <w:r>
              <w:rPr>
                <w:rFonts w:ascii="Arial" w:hAnsi="Arial"/>
                <w:sz w:val="17"/>
              </w:rPr>
              <w:t>No indicado</w:t>
            </w:r>
          </w:p>
        </w:tc>
      </w:tr>
      <w:tr>
        <w:tc>
          <w:tcPr>
            <w:tcW w:type="dxa" w:w="1850"/>
            <w:vAlign w:val="top"/>
            <w:shd w:fill="EAF2F8"/>
          </w:tcPr>
          <w:p>
            <w:pPr>
              <w:spacing w:after="0" w:before="0"/>
            </w:pPr>
            <w:r>
              <w:rPr>
                <w:rFonts w:ascii="Arial" w:hAnsi="Arial"/>
                <w:b/>
                <w:sz w:val="17"/>
              </w:rPr>
              <w:t>Cuenta con límites geoespaciales</w:t>
            </w:r>
          </w:p>
        </w:tc>
        <w:tc>
          <w:tcPr>
            <w:tcW w:type="dxa" w:w="7250"/>
            <w:vAlign w:val="top"/>
          </w:tcPr>
          <w:p>
            <w:pPr>
              <w:spacing w:after="0" w:before="0"/>
            </w:pPr>
            <w:r>
              <w:rPr>
                <w:rFonts w:ascii="Arial" w:hAnsi="Arial"/>
                <w:sz w:val="17"/>
              </w:rPr>
              <w:t>si</w:t>
            </w:r>
          </w:p>
        </w:tc>
      </w:tr>
      <w:tr>
        <w:tc>
          <w:tcPr>
            <w:tcW w:type="dxa" w:w="1850"/>
            <w:vAlign w:val="top"/>
            <w:shd w:fill="EAF2F8"/>
          </w:tcPr>
          <w:p>
            <w:pPr>
              <w:spacing w:after="0" w:before="0"/>
            </w:pPr>
            <w:r>
              <w:rPr>
                <w:rFonts w:ascii="Arial" w:hAnsi="Arial"/>
                <w:b/>
                <w:sz w:val="17"/>
              </w:rPr>
              <w:t>Archivo de límites</w:t>
            </w:r>
          </w:p>
        </w:tc>
        <w:tc>
          <w:tcPr>
            <w:tcW w:type="dxa" w:w="7250"/>
            <w:vAlign w:val="top"/>
          </w:tcPr>
          <w:p>
            <w:pPr>
              <w:spacing w:after="0" w:before="0"/>
            </w:pPr>
            <w:r>
              <w:rPr>
                <w:rFonts w:ascii="Arial" w:hAnsi="Arial"/>
                <w:sz w:val="17"/>
              </w:rPr>
              <w:t>Regional Caribe Norte-10_29_38.zip</w:t>
            </w:r>
          </w:p>
        </w:tc>
      </w:tr>
      <w:tr>
        <w:tc>
          <w:tcPr>
            <w:tcW w:type="dxa" w:w="1850"/>
            <w:vAlign w:val="top"/>
            <w:shd w:fill="EAF2F8"/>
          </w:tcPr>
          <w:p>
            <w:pPr>
              <w:spacing w:after="0" w:before="0"/>
            </w:pPr>
            <w:r>
              <w:rPr>
                <w:rFonts w:ascii="Arial" w:hAnsi="Arial"/>
                <w:b/>
                <w:sz w:val="17"/>
              </w:rPr>
              <w:t>URL archivo de límites</w:t>
            </w:r>
          </w:p>
        </w:tc>
        <w:tc>
          <w:tcPr>
            <w:tcW w:type="dxa" w:w="7250"/>
            <w:vAlign w:val="top"/>
          </w:tcPr>
          <w:p>
            <w:pPr>
              <w:spacing w:after="0" w:before="0"/>
            </w:pPr>
            <w:r>
              <w:rPr>
                <w:rFonts w:ascii="Arial" w:hAnsi="Arial"/>
                <w:sz w:val="17"/>
              </w:rPr>
              <w:t>https://eu.kobotoolbox.org/api/v2/assets/an3xy6gcKXjXsCTiy6cxiK/data/784222553/attachments/attBUPxcTAARS37pNaGDNAgf/</w:t>
            </w:r>
          </w:p>
        </w:tc>
      </w:tr>
    </w:tbl>
    <w:p>
      <w:pPr>
        <w:pStyle w:val="Heading2"/>
        <w:spacing w:before="160" w:after="80"/>
      </w:pPr>
      <w:r>
        <w:rPr>
          <w:rFonts w:ascii="Arial" w:hAnsi="Arial"/>
          <w:b/>
          <w:color w:val="003769"/>
          <w:sz w:val="24"/>
        </w:rPr>
        <w:t>4. Usuarios finales y decisión que se quiere apoyar</w:t>
      </w:r>
    </w:p>
    <w:tbl>
      <w:tblPr>
        <w:tblW w:type="auto" w:w="0"/>
        <w:tblLayout w:type="autofit"/>
        <w:tblLook w:firstColumn="1" w:firstRow="1" w:lastColumn="0" w:lastRow="0" w:noHBand="0" w:noVBand="1" w:val="04A0"/>
        <w:jc w:val="center"/>
        <w:tblBorders>
          <w:top w:val="single" w:sz="6" w:space="0" w:color="B7C8D6"/>
          <w:left w:val="single" w:sz="6" w:space="0" w:color="B7C8D6"/>
          <w:bottom w:val="single" w:sz="6" w:space="0" w:color="B7C8D6"/>
          <w:right w:val="single" w:sz="6" w:space="0" w:color="B7C8D6"/>
          <w:insideH w:val="single" w:sz="6" w:space="0" w:color="B7C8D6"/>
          <w:insideV w:val="single" w:sz="6" w:space="0" w:color="B7C8D6"/>
        </w:tblBorders>
      </w:tblPr>
      <w:tblGrid>
        <w:gridCol w:w="5328"/>
        <w:gridCol w:w="5328"/>
      </w:tblGrid>
      <w:tr>
        <w:tc>
          <w:tcPr>
            <w:tcW w:type="dxa" w:w="1850"/>
            <w:vAlign w:val="top"/>
            <w:shd w:fill="EAF2F8"/>
          </w:tcPr>
          <w:p>
            <w:pPr>
              <w:spacing w:after="0" w:before="0"/>
            </w:pPr>
            <w:r>
              <w:rPr>
                <w:rFonts w:ascii="Arial" w:hAnsi="Arial"/>
                <w:b/>
                <w:sz w:val="17"/>
              </w:rPr>
              <w:t>Tipo(s) de usuario</w:t>
            </w:r>
          </w:p>
        </w:tc>
        <w:tc>
          <w:tcPr>
            <w:tcW w:type="dxa" w:w="7250"/>
            <w:vAlign w:val="top"/>
          </w:tcPr>
          <w:p>
            <w:pPr>
              <w:spacing w:after="0" w:before="0"/>
            </w:pPr>
            <w:r>
              <w:rPr>
                <w:rFonts w:ascii="Arial" w:hAnsi="Arial"/>
                <w:sz w:val="17"/>
              </w:rPr>
              <w:t>Autoridad ambiental; ONG / organización conservacionista; Sector privado; Otro; Productos de servicios ecosistémicos y Públicos en general</w:t>
            </w:r>
          </w:p>
        </w:tc>
      </w:tr>
      <w:tr>
        <w:tc>
          <w:tcPr>
            <w:tcW w:type="dxa" w:w="1850"/>
            <w:vAlign w:val="top"/>
            <w:shd w:fill="EAF2F8"/>
          </w:tcPr>
          <w:p>
            <w:pPr>
              <w:spacing w:after="0" w:before="0"/>
            </w:pPr>
            <w:r>
              <w:rPr>
                <w:rFonts w:ascii="Arial" w:hAnsi="Arial"/>
                <w:b/>
                <w:sz w:val="17"/>
              </w:rPr>
              <w:t>Usuario final descrito</w:t>
            </w:r>
          </w:p>
        </w:tc>
        <w:tc>
          <w:tcPr>
            <w:tcW w:type="dxa" w:w="7250"/>
            <w:vAlign w:val="top"/>
          </w:tcPr>
          <w:p>
            <w:pPr>
              <w:spacing w:after="0" w:before="0"/>
            </w:pPr>
            <w:r>
              <w:rPr>
                <w:rFonts w:ascii="Arial" w:hAnsi="Arial"/>
                <w:sz w:val="17"/>
              </w:rPr>
              <w:t>Dirección de Servicios Ambientales - Fonafifo</w:t>
            </w:r>
          </w:p>
        </w:tc>
      </w:tr>
      <w:tr>
        <w:tc>
          <w:tcPr>
            <w:tcW w:type="dxa" w:w="1850"/>
            <w:vAlign w:val="top"/>
            <w:shd w:fill="EAF2F8"/>
          </w:tcPr>
          <w:p>
            <w:pPr>
              <w:spacing w:after="0" w:before="0"/>
            </w:pPr>
            <w:r>
              <w:rPr>
                <w:rFonts w:ascii="Arial" w:hAnsi="Arial"/>
                <w:b/>
                <w:sz w:val="17"/>
              </w:rPr>
              <w:t>Decisión que busca apoyar</w:t>
            </w:r>
          </w:p>
        </w:tc>
        <w:tc>
          <w:tcPr>
            <w:tcW w:type="dxa" w:w="7250"/>
            <w:vAlign w:val="top"/>
          </w:tcPr>
          <w:p>
            <w:pPr>
              <w:spacing w:after="0" w:before="0"/>
            </w:pPr>
            <w:r>
              <w:rPr>
                <w:rFonts w:ascii="Arial" w:hAnsi="Arial"/>
                <w:sz w:val="17"/>
              </w:rPr>
              <w:t>Se quiere apoyar en la restauración, verificar alertas, planificar acciones de campo, realización de acciones de seguimiento y control a los proyectos de Pagos por Servicios Ambientales, entre otros.</w:t>
            </w:r>
          </w:p>
        </w:tc>
      </w:tr>
    </w:tbl>
    <w:p>
      <w:pPr>
        <w:pStyle w:val="Heading2"/>
        <w:spacing w:before="160" w:after="80"/>
      </w:pPr>
      <w:r>
        <w:rPr>
          <w:rFonts w:ascii="Arial" w:hAnsi="Arial"/>
          <w:b/>
          <w:color w:val="003769"/>
          <w:sz w:val="24"/>
        </w:rPr>
        <w:t>5. Producto, entregable y despliegue esperado</w:t>
      </w:r>
    </w:p>
    <w:tbl>
      <w:tblPr>
        <w:tblW w:type="auto" w:w="0"/>
        <w:tblLayout w:type="autofit"/>
        <w:tblLook w:firstColumn="1" w:firstRow="1" w:lastColumn="0" w:lastRow="0" w:noHBand="0" w:noVBand="1" w:val="04A0"/>
        <w:jc w:val="center"/>
        <w:tblBorders>
          <w:top w:val="single" w:sz="6" w:space="0" w:color="B7C8D6"/>
          <w:left w:val="single" w:sz="6" w:space="0" w:color="B7C8D6"/>
          <w:bottom w:val="single" w:sz="6" w:space="0" w:color="B7C8D6"/>
          <w:right w:val="single" w:sz="6" w:space="0" w:color="B7C8D6"/>
          <w:insideH w:val="single" w:sz="6" w:space="0" w:color="B7C8D6"/>
          <w:insideV w:val="single" w:sz="6" w:space="0" w:color="B7C8D6"/>
        </w:tblBorders>
      </w:tblPr>
      <w:tblGrid>
        <w:gridCol w:w="5328"/>
        <w:gridCol w:w="5328"/>
      </w:tblGrid>
      <w:tr>
        <w:tc>
          <w:tcPr>
            <w:tcW w:type="dxa" w:w="1850"/>
            <w:vAlign w:val="top"/>
            <w:shd w:fill="EAF2F8"/>
          </w:tcPr>
          <w:p>
            <w:pPr>
              <w:spacing w:after="0" w:before="0"/>
            </w:pPr>
            <w:r>
              <w:rPr>
                <w:rFonts w:ascii="Arial" w:hAnsi="Arial"/>
                <w:b/>
                <w:sz w:val="17"/>
              </w:rPr>
              <w:t>Tipo de entregable</w:t>
            </w:r>
          </w:p>
        </w:tc>
        <w:tc>
          <w:tcPr>
            <w:tcW w:type="dxa" w:w="7250"/>
            <w:vAlign w:val="top"/>
          </w:tcPr>
          <w:p>
            <w:pPr>
              <w:spacing w:after="0" w:before="0"/>
            </w:pPr>
            <w:r>
              <w:rPr>
                <w:rFonts w:ascii="Arial" w:hAnsi="Arial"/>
                <w:sz w:val="17"/>
              </w:rPr>
              <w:t>Mapa; Capa geoespacial; Script; Flujo de trabajo; Reporte; Dashboard / tablero; Visor web; Aplicación; Base de datos</w:t>
            </w:r>
          </w:p>
        </w:tc>
      </w:tr>
      <w:tr>
        <w:tc>
          <w:tcPr>
            <w:tcW w:type="dxa" w:w="1850"/>
            <w:vAlign w:val="top"/>
            <w:shd w:fill="EAF2F8"/>
          </w:tcPr>
          <w:p>
            <w:pPr>
              <w:spacing w:after="0" w:before="0"/>
            </w:pPr>
            <w:r>
              <w:rPr>
                <w:rFonts w:ascii="Arial" w:hAnsi="Arial"/>
                <w:b/>
                <w:sz w:val="17"/>
              </w:rPr>
              <w:t>Descripción del producto</w:t>
            </w:r>
          </w:p>
        </w:tc>
        <w:tc>
          <w:tcPr>
            <w:tcW w:type="dxa" w:w="7250"/>
            <w:vAlign w:val="top"/>
          </w:tcPr>
          <w:p>
            <w:pPr>
              <w:spacing w:after="0" w:before="0"/>
            </w:pPr>
            <w:r>
              <w:rPr>
                <w:rFonts w:ascii="Arial" w:hAnsi="Arial"/>
                <w:sz w:val="17"/>
              </w:rPr>
              <w:t>Capas SIG para el analisis de la cobertura en el caso de detectarse una alerta dentro del área de interes, además de un dashboar que permita la visualizacion de un desgloce de las alertas segun prioridades definidas y la localizacion de las mismas.</w:t>
            </w:r>
          </w:p>
        </w:tc>
      </w:tr>
      <w:tr>
        <w:tc>
          <w:tcPr>
            <w:tcW w:type="dxa" w:w="1850"/>
            <w:vAlign w:val="top"/>
            <w:shd w:fill="EAF2F8"/>
          </w:tcPr>
          <w:p>
            <w:pPr>
              <w:spacing w:after="0" w:before="0"/>
            </w:pPr>
            <w:r>
              <w:rPr>
                <w:rFonts w:ascii="Arial" w:hAnsi="Arial"/>
                <w:b/>
                <w:sz w:val="17"/>
              </w:rPr>
              <w:t>Avance esperado en la jornada presencial</w:t>
            </w:r>
          </w:p>
        </w:tc>
        <w:tc>
          <w:tcPr>
            <w:tcW w:type="dxa" w:w="7250"/>
            <w:vAlign w:val="top"/>
          </w:tcPr>
          <w:p>
            <w:pPr>
              <w:spacing w:after="0" w:before="0"/>
            </w:pPr>
            <w:r>
              <w:rPr>
                <w:rFonts w:ascii="Arial" w:hAnsi="Arial"/>
                <w:sz w:val="17"/>
              </w:rPr>
              <w:t>Script reproducible</w:t>
            </w:r>
          </w:p>
        </w:tc>
      </w:tr>
      <w:tr>
        <w:tc>
          <w:tcPr>
            <w:tcW w:type="dxa" w:w="1850"/>
            <w:vAlign w:val="top"/>
            <w:shd w:fill="EAF2F8"/>
          </w:tcPr>
          <w:p>
            <w:pPr>
              <w:spacing w:after="0" w:before="0"/>
            </w:pPr>
            <w:r>
              <w:rPr>
                <w:rFonts w:ascii="Arial" w:hAnsi="Arial"/>
                <w:b/>
                <w:sz w:val="17"/>
              </w:rPr>
              <w:t>Nivel de acceso previsto</w:t>
            </w:r>
          </w:p>
        </w:tc>
        <w:tc>
          <w:tcPr>
            <w:tcW w:type="dxa" w:w="7250"/>
            <w:vAlign w:val="top"/>
          </w:tcPr>
          <w:p>
            <w:pPr>
              <w:spacing w:after="0" w:before="0"/>
            </w:pPr>
            <w:r>
              <w:rPr>
                <w:rFonts w:ascii="Arial" w:hAnsi="Arial"/>
                <w:sz w:val="17"/>
              </w:rPr>
              <w:t>institucional</w:t>
            </w:r>
          </w:p>
        </w:tc>
      </w:tr>
      <w:tr>
        <w:tc>
          <w:tcPr>
            <w:tcW w:type="dxa" w:w="1850"/>
            <w:vAlign w:val="top"/>
            <w:shd w:fill="EAF2F8"/>
          </w:tcPr>
          <w:p>
            <w:pPr>
              <w:spacing w:after="0" w:before="0"/>
            </w:pPr>
            <w:r>
              <w:rPr>
                <w:rFonts w:ascii="Arial" w:hAnsi="Arial"/>
                <w:b/>
                <w:sz w:val="17"/>
              </w:rPr>
              <w:t>Componentes de despliegue</w:t>
            </w:r>
          </w:p>
        </w:tc>
        <w:tc>
          <w:tcPr>
            <w:tcW w:type="dxa" w:w="7250"/>
            <w:vAlign w:val="top"/>
          </w:tcPr>
          <w:p>
            <w:pPr>
              <w:spacing w:after="0" w:before="0"/>
            </w:pPr>
            <w:r>
              <w:rPr>
                <w:rFonts w:ascii="Arial" w:hAnsi="Arial"/>
                <w:sz w:val="17"/>
              </w:rPr>
              <w:t>Repositorio GitHub; Google Earth Engine App; Dashboard; Visor web; GeoServer u otro servidor geoespacial; API / servicio de datos</w:t>
            </w:r>
          </w:p>
        </w:tc>
      </w:tr>
      <w:tr>
        <w:tc>
          <w:tcPr>
            <w:tcW w:type="dxa" w:w="1850"/>
            <w:vAlign w:val="top"/>
            <w:shd w:fill="EAF2F8"/>
          </w:tcPr>
          <w:p>
            <w:pPr>
              <w:spacing w:after="0" w:before="0"/>
            </w:pPr>
            <w:r>
              <w:rPr>
                <w:rFonts w:ascii="Arial" w:hAnsi="Arial"/>
                <w:b/>
                <w:sz w:val="17"/>
              </w:rPr>
              <w:t>Forma de uso</w:t>
            </w:r>
          </w:p>
        </w:tc>
        <w:tc>
          <w:tcPr>
            <w:tcW w:type="dxa" w:w="7250"/>
            <w:vAlign w:val="top"/>
          </w:tcPr>
          <w:p>
            <w:pPr>
              <w:spacing w:after="0" w:before="0"/>
            </w:pPr>
            <w:r>
              <w:rPr>
                <w:rFonts w:ascii="Arial" w:hAnsi="Arial"/>
                <w:sz w:val="17"/>
              </w:rPr>
              <w:t>El producto será desarrollado para la toma de decisiones de la institución y de los profesioneles forestales que brindan asesoría a los dueños de la tierra que se encuentran en el Programa de Pago por Servicios Ambientales.</w:t>
            </w:r>
          </w:p>
        </w:tc>
      </w:tr>
      <w:tr>
        <w:tc>
          <w:tcPr>
            <w:tcW w:type="dxa" w:w="1850"/>
            <w:vAlign w:val="top"/>
            <w:shd w:fill="EAF2F8"/>
          </w:tcPr>
          <w:p>
            <w:pPr>
              <w:spacing w:after="0" w:before="0"/>
            </w:pPr>
            <w:r>
              <w:rPr>
                <w:rFonts w:ascii="Arial" w:hAnsi="Arial"/>
                <w:b/>
                <w:sz w:val="17"/>
              </w:rPr>
              <w:t>Requiere actualización</w:t>
            </w:r>
          </w:p>
        </w:tc>
        <w:tc>
          <w:tcPr>
            <w:tcW w:type="dxa" w:w="7250"/>
            <w:vAlign w:val="top"/>
          </w:tcPr>
          <w:p>
            <w:pPr>
              <w:spacing w:after="0" w:before="0"/>
            </w:pPr>
            <w:r>
              <w:rPr>
                <w:rFonts w:ascii="Arial" w:hAnsi="Arial"/>
                <w:sz w:val="17"/>
              </w:rPr>
              <w:t>si</w:t>
            </w:r>
          </w:p>
        </w:tc>
      </w:tr>
      <w:tr>
        <w:tc>
          <w:tcPr>
            <w:tcW w:type="dxa" w:w="1850"/>
            <w:vAlign w:val="top"/>
            <w:shd w:fill="EAF2F8"/>
          </w:tcPr>
          <w:p>
            <w:pPr>
              <w:spacing w:after="0" w:before="0"/>
            </w:pPr>
            <w:r>
              <w:rPr>
                <w:rFonts w:ascii="Arial" w:hAnsi="Arial"/>
                <w:b/>
                <w:sz w:val="17"/>
              </w:rPr>
              <w:t>Descripción de actualización</w:t>
            </w:r>
          </w:p>
        </w:tc>
        <w:tc>
          <w:tcPr>
            <w:tcW w:type="dxa" w:w="7250"/>
            <w:vAlign w:val="top"/>
          </w:tcPr>
          <w:p>
            <w:pPr>
              <w:spacing w:after="0" w:before="0"/>
            </w:pPr>
            <w:r>
              <w:rPr>
                <w:rFonts w:ascii="Arial" w:hAnsi="Arial"/>
                <w:sz w:val="17"/>
              </w:rPr>
              <w:t>Manual - mensual</w:t>
            </w:r>
          </w:p>
        </w:tc>
      </w:tr>
    </w:tbl>
    <w:p>
      <w:pPr>
        <w:pStyle w:val="Heading2"/>
        <w:spacing w:before="160" w:after="80"/>
      </w:pPr>
      <w:r>
        <w:rPr>
          <w:rFonts w:ascii="Arial" w:hAnsi="Arial"/>
          <w:b/>
          <w:color w:val="003769"/>
          <w:sz w:val="24"/>
        </w:rPr>
        <w:t>6. Datos e insumos identificados</w:t>
      </w:r>
    </w:p>
    <w:tbl>
      <w:tblPr>
        <w:tblW w:type="auto" w:w="0"/>
        <w:tblLayout w:type="autofit"/>
        <w:tblLook w:firstColumn="1" w:firstRow="1" w:lastColumn="0" w:lastRow="0" w:noHBand="0" w:noVBand="1" w:val="04A0"/>
        <w:jc w:val="center"/>
        <w:tblBorders>
          <w:top w:val="single" w:sz="6" w:space="0" w:color="B7C8D6"/>
          <w:left w:val="single" w:sz="6" w:space="0" w:color="B7C8D6"/>
          <w:bottom w:val="single" w:sz="6" w:space="0" w:color="B7C8D6"/>
          <w:right w:val="single" w:sz="6" w:space="0" w:color="B7C8D6"/>
          <w:insideH w:val="single" w:sz="6" w:space="0" w:color="B7C8D6"/>
          <w:insideV w:val="single" w:sz="6" w:space="0" w:color="B7C8D6"/>
        </w:tblBorders>
      </w:tblPr>
      <w:tblGrid>
        <w:gridCol w:w="5328"/>
        <w:gridCol w:w="5328"/>
      </w:tblGrid>
      <w:tr>
        <w:tc>
          <w:tcPr>
            <w:tcW w:type="dxa" w:w="1850"/>
            <w:vAlign w:val="top"/>
            <w:shd w:fill="EAF2F8"/>
          </w:tcPr>
          <w:p>
            <w:pPr>
              <w:spacing w:after="0" w:before="0"/>
            </w:pPr>
            <w:r>
              <w:rPr>
                <w:rFonts w:ascii="Arial" w:hAnsi="Arial"/>
                <w:b/>
                <w:sz w:val="17"/>
              </w:rPr>
              <w:t>Datos satelitales / fuentes</w:t>
            </w:r>
          </w:p>
        </w:tc>
        <w:tc>
          <w:tcPr>
            <w:tcW w:type="dxa" w:w="7250"/>
            <w:vAlign w:val="top"/>
          </w:tcPr>
          <w:p>
            <w:pPr>
              <w:spacing w:after="0" w:before="0"/>
            </w:pPr>
            <w:r>
              <w:rPr>
                <w:rFonts w:ascii="Arial" w:hAnsi="Arial"/>
                <w:sz w:val="17"/>
              </w:rPr>
              <w:t>Sentinel-1 / radar SAR; Sentinel-2 / óptico; Copernicus Land Monitoring Service; Copernicus DEM; Productos de vegetación</w:t>
            </w:r>
          </w:p>
        </w:tc>
      </w:tr>
      <w:tr>
        <w:tc>
          <w:tcPr>
            <w:tcW w:type="dxa" w:w="1850"/>
            <w:vAlign w:val="top"/>
            <w:shd w:fill="EAF2F8"/>
          </w:tcPr>
          <w:p>
            <w:pPr>
              <w:spacing w:after="0" w:before="0"/>
            </w:pPr>
            <w:r>
              <w:rPr>
                <w:rFonts w:ascii="Arial" w:hAnsi="Arial"/>
                <w:b/>
                <w:sz w:val="17"/>
              </w:rPr>
              <w:t>Datos disponibles</w:t>
            </w:r>
          </w:p>
        </w:tc>
        <w:tc>
          <w:tcPr>
            <w:tcW w:type="dxa" w:w="7250"/>
            <w:vAlign w:val="top"/>
          </w:tcPr>
          <w:p>
            <w:pPr>
              <w:spacing w:after="0" w:before="0"/>
            </w:pPr>
            <w:r>
              <w:rPr>
                <w:rFonts w:ascii="Arial" w:hAnsi="Arial"/>
                <w:sz w:val="17"/>
              </w:rPr>
              <w:t>Límites institucionales y administrativos, shape de proyectos con identificacion de tipos de usos, mapas de cobertura.</w:t>
            </w:r>
          </w:p>
        </w:tc>
      </w:tr>
      <w:tr>
        <w:tc>
          <w:tcPr>
            <w:tcW w:type="dxa" w:w="1850"/>
            <w:vAlign w:val="top"/>
            <w:shd w:fill="EAF2F8"/>
          </w:tcPr>
          <w:p>
            <w:pPr>
              <w:spacing w:after="0" w:before="0"/>
            </w:pPr>
            <w:r>
              <w:rPr>
                <w:rFonts w:ascii="Arial" w:hAnsi="Arial"/>
                <w:b/>
                <w:sz w:val="17"/>
              </w:rPr>
              <w:t>Datos faltantes</w:t>
            </w:r>
          </w:p>
        </w:tc>
        <w:tc>
          <w:tcPr>
            <w:tcW w:type="dxa" w:w="7250"/>
            <w:vAlign w:val="top"/>
          </w:tcPr>
          <w:p>
            <w:pPr>
              <w:spacing w:after="0" w:before="0"/>
            </w:pPr>
            <w:r>
              <w:rPr>
                <w:rFonts w:ascii="Arial" w:hAnsi="Arial"/>
                <w:sz w:val="17"/>
              </w:rPr>
              <w:t>No indicado</w:t>
            </w:r>
          </w:p>
        </w:tc>
      </w:tr>
      <w:tr>
        <w:tc>
          <w:tcPr>
            <w:tcW w:type="dxa" w:w="1850"/>
            <w:vAlign w:val="top"/>
            <w:shd w:fill="EAF2F8"/>
          </w:tcPr>
          <w:p>
            <w:pPr>
              <w:spacing w:after="0" w:before="0"/>
            </w:pPr>
            <w:r>
              <w:rPr>
                <w:rFonts w:ascii="Arial" w:hAnsi="Arial"/>
                <w:b/>
                <w:sz w:val="17"/>
              </w:rPr>
              <w:t>Documento relacionado</w:t>
            </w:r>
          </w:p>
        </w:tc>
        <w:tc>
          <w:tcPr>
            <w:tcW w:type="dxa" w:w="7250"/>
            <w:vAlign w:val="top"/>
          </w:tcPr>
          <w:p>
            <w:pPr>
              <w:spacing w:after="0" w:before="0"/>
            </w:pPr>
            <w:r>
              <w:rPr>
                <w:rFonts w:ascii="Arial" w:hAnsi="Arial"/>
                <w:sz w:val="17"/>
              </w:rPr>
              <w:t>AREA DE INFLUENCIA PROYECTO-10_36_9.pdf</w:t>
            </w:r>
          </w:p>
        </w:tc>
      </w:tr>
      <w:tr>
        <w:tc>
          <w:tcPr>
            <w:tcW w:type="dxa" w:w="1850"/>
            <w:vAlign w:val="top"/>
            <w:shd w:fill="EAF2F8"/>
          </w:tcPr>
          <w:p>
            <w:pPr>
              <w:spacing w:after="0" w:before="0"/>
            </w:pPr>
            <w:r>
              <w:rPr>
                <w:rFonts w:ascii="Arial" w:hAnsi="Arial"/>
                <w:b/>
                <w:sz w:val="17"/>
              </w:rPr>
              <w:t>URL del documento</w:t>
            </w:r>
          </w:p>
        </w:tc>
        <w:tc>
          <w:tcPr>
            <w:tcW w:type="dxa" w:w="7250"/>
            <w:vAlign w:val="top"/>
          </w:tcPr>
          <w:p>
            <w:pPr>
              <w:spacing w:after="0" w:before="0"/>
            </w:pPr>
            <w:r>
              <w:rPr>
                <w:rFonts w:ascii="Arial" w:hAnsi="Arial"/>
                <w:sz w:val="17"/>
              </w:rPr>
              <w:t>https://eu.kobotoolbox.org/api/v2/assets/an3xy6gcKXjXsCTiy6cxiK/data/784222553/attachments/attqE4ExrUNKeikrSy5Rpsfo/</w:t>
            </w:r>
          </w:p>
        </w:tc>
      </w:tr>
      <w:tr>
        <w:tc>
          <w:tcPr>
            <w:tcW w:type="dxa" w:w="1850"/>
            <w:vAlign w:val="top"/>
            <w:shd w:fill="EAF2F8"/>
          </w:tcPr>
          <w:p>
            <w:pPr>
              <w:spacing w:after="0" w:before="0"/>
            </w:pPr>
            <w:r>
              <w:rPr>
                <w:rFonts w:ascii="Arial" w:hAnsi="Arial"/>
                <w:b/>
                <w:sz w:val="17"/>
              </w:rPr>
              <w:t>Enlace a recurso externo</w:t>
            </w:r>
          </w:p>
        </w:tc>
        <w:tc>
          <w:tcPr>
            <w:tcW w:type="dxa" w:w="7250"/>
            <w:vAlign w:val="top"/>
          </w:tcPr>
          <w:p>
            <w:pPr>
              <w:spacing w:after="0" w:before="0"/>
            </w:pPr>
            <w:r>
              <w:rPr>
                <w:rFonts w:ascii="Arial" w:hAnsi="Arial"/>
                <w:sz w:val="17"/>
              </w:rPr>
              <w:t>No indicado</w:t>
            </w:r>
          </w:p>
        </w:tc>
      </w:tr>
    </w:tbl>
    <w:p>
      <w:pPr>
        <w:pStyle w:val="Heading2"/>
        <w:spacing w:before="160" w:after="80"/>
      </w:pPr>
      <w:r>
        <w:rPr>
          <w:rFonts w:ascii="Arial" w:hAnsi="Arial"/>
          <w:b/>
          <w:color w:val="003769"/>
          <w:sz w:val="24"/>
        </w:rPr>
        <w:t>7. Método o flujo de trabajo imaginado</w:t>
      </w:r>
    </w:p>
    <w:tbl>
      <w:tblPr>
        <w:tblW w:type="auto" w:w="0"/>
        <w:tblLayout w:type="autofit"/>
        <w:tblLook w:firstColumn="1" w:firstRow="1" w:lastColumn="0" w:lastRow="0" w:noHBand="0" w:noVBand="1" w:val="04A0"/>
        <w:jc w:val="center"/>
        <w:tblBorders>
          <w:top w:val="single" w:sz="6" w:space="0" w:color="B7C8D6"/>
          <w:left w:val="single" w:sz="6" w:space="0" w:color="B7C8D6"/>
          <w:bottom w:val="single" w:sz="6" w:space="0" w:color="B7C8D6"/>
          <w:right w:val="single" w:sz="6" w:space="0" w:color="B7C8D6"/>
          <w:insideH w:val="single" w:sz="6" w:space="0" w:color="B7C8D6"/>
          <w:insideV w:val="single" w:sz="6" w:space="0" w:color="B7C8D6"/>
        </w:tblBorders>
      </w:tblPr>
      <w:tblGrid>
        <w:gridCol w:w="5328"/>
        <w:gridCol w:w="5328"/>
      </w:tblGrid>
      <w:tr>
        <w:tc>
          <w:tcPr>
            <w:tcW w:type="dxa" w:w="1850"/>
            <w:vAlign w:val="top"/>
            <w:shd w:fill="EAF2F8"/>
          </w:tcPr>
          <w:p>
            <w:pPr>
              <w:spacing w:after="0" w:before="0"/>
            </w:pPr>
            <w:r>
              <w:rPr>
                <w:rFonts w:ascii="Arial" w:hAnsi="Arial"/>
                <w:b/>
                <w:sz w:val="17"/>
              </w:rPr>
              <w:t>Métodos posibles</w:t>
            </w:r>
          </w:p>
        </w:tc>
        <w:tc>
          <w:tcPr>
            <w:tcW w:type="dxa" w:w="7250"/>
            <w:vAlign w:val="top"/>
          </w:tcPr>
          <w:p>
            <w:pPr>
              <w:spacing w:after="0" w:before="0"/>
            </w:pPr>
            <w:r>
              <w:rPr>
                <w:rFonts w:ascii="Arial" w:hAnsi="Arial"/>
                <w:sz w:val="17"/>
              </w:rPr>
              <w:t>Comparación entre fechas; Índices de vegetación; Radar / SAR; Clasificación de cobertura / uso del suelo; Detección de cambios; Series temporales; Análisis de riesgo; Visualización / tablero</w:t>
            </w:r>
          </w:p>
        </w:tc>
      </w:tr>
      <w:tr>
        <w:tc>
          <w:tcPr>
            <w:tcW w:type="dxa" w:w="1850"/>
            <w:vAlign w:val="top"/>
            <w:shd w:fill="EAF2F8"/>
          </w:tcPr>
          <w:p>
            <w:pPr>
              <w:spacing w:after="0" w:before="0"/>
            </w:pPr>
            <w:r>
              <w:rPr>
                <w:rFonts w:ascii="Arial" w:hAnsi="Arial"/>
                <w:b/>
                <w:sz w:val="17"/>
              </w:rPr>
              <w:t>Flujo imaginado</w:t>
            </w:r>
          </w:p>
        </w:tc>
        <w:tc>
          <w:tcPr>
            <w:tcW w:type="dxa" w:w="7250"/>
            <w:vAlign w:val="top"/>
          </w:tcPr>
          <w:p>
            <w:pPr>
              <w:spacing w:after="0" w:before="0"/>
            </w:pPr>
            <w:r>
              <w:rPr>
                <w:rFonts w:ascii="Arial" w:hAnsi="Arial"/>
                <w:sz w:val="17"/>
              </w:rPr>
              <w:t>Seleccion de área de interes - adquisición de Imagenes - procesamiento automatizado para la identificacion de cambios en la cobertura mediante indices NDVI, NDMI, NBR, etc- motor de deteccion de cambios - Generar alerta - Validación técnica</w:t>
            </w:r>
          </w:p>
        </w:tc>
      </w:tr>
      <w:tr>
        <w:tc>
          <w:tcPr>
            <w:tcW w:type="dxa" w:w="1850"/>
            <w:vAlign w:val="top"/>
            <w:shd w:fill="EAF2F8"/>
          </w:tcPr>
          <w:p>
            <w:pPr>
              <w:spacing w:after="0" w:before="0"/>
            </w:pPr>
            <w:r>
              <w:rPr>
                <w:rFonts w:ascii="Arial" w:hAnsi="Arial"/>
                <w:b/>
                <w:sz w:val="17"/>
              </w:rPr>
              <w:t>Índices / algoritmos mencionados</w:t>
            </w:r>
          </w:p>
        </w:tc>
        <w:tc>
          <w:tcPr>
            <w:tcW w:type="dxa" w:w="7250"/>
            <w:vAlign w:val="top"/>
          </w:tcPr>
          <w:p>
            <w:pPr>
              <w:spacing w:after="0" w:before="0"/>
            </w:pPr>
            <w:r>
              <w:rPr>
                <w:rFonts w:ascii="Arial" w:hAnsi="Arial"/>
                <w:sz w:val="17"/>
              </w:rPr>
              <w:t>indices NDVI, NDMI, NBR, dNBR, clasificacion supervisada, métricas de paisaje, Google Earth Engine, Qgis</w:t>
            </w:r>
          </w:p>
        </w:tc>
      </w:tr>
      <w:tr>
        <w:tc>
          <w:tcPr>
            <w:tcW w:type="dxa" w:w="1850"/>
            <w:vAlign w:val="top"/>
            <w:shd w:fill="EAF2F8"/>
          </w:tcPr>
          <w:p>
            <w:pPr>
              <w:spacing w:after="0" w:before="0"/>
            </w:pPr>
            <w:r>
              <w:rPr>
                <w:rFonts w:ascii="Arial" w:hAnsi="Arial"/>
                <w:b/>
                <w:sz w:val="17"/>
              </w:rPr>
              <w:t>Frecuencia de actualización</w:t>
            </w:r>
          </w:p>
        </w:tc>
        <w:tc>
          <w:tcPr>
            <w:tcW w:type="dxa" w:w="7250"/>
            <w:vAlign w:val="top"/>
          </w:tcPr>
          <w:p>
            <w:pPr>
              <w:spacing w:after="0" w:before="0"/>
            </w:pPr>
            <w:r>
              <w:rPr>
                <w:rFonts w:ascii="Arial" w:hAnsi="Arial"/>
                <w:sz w:val="17"/>
              </w:rPr>
              <w:t>mensual</w:t>
            </w:r>
          </w:p>
        </w:tc>
      </w:tr>
    </w:tbl>
    <w:p>
      <w:pPr>
        <w:pStyle w:val="Heading2"/>
        <w:spacing w:before="160" w:after="80"/>
      </w:pPr>
      <w:r>
        <w:rPr>
          <w:rFonts w:ascii="Arial" w:hAnsi="Arial"/>
          <w:b/>
          <w:color w:val="003769"/>
          <w:sz w:val="24"/>
        </w:rPr>
        <w:t>8. Preguntas para la asesoría de la Sesión 6</w:t>
      </w:r>
    </w:p>
    <w:tbl>
      <w:tblPr>
        <w:tblW w:type="auto" w:w="0"/>
        <w:tblLayout w:type="autofit"/>
        <w:tblLook w:firstColumn="1" w:firstRow="1" w:lastColumn="0" w:lastRow="0" w:noHBand="0" w:noVBand="1" w:val="04A0"/>
        <w:jc w:val="center"/>
        <w:tblBorders>
          <w:top w:val="single" w:sz="6" w:space="0" w:color="B7C8D6"/>
          <w:left w:val="single" w:sz="6" w:space="0" w:color="B7C8D6"/>
          <w:bottom w:val="single" w:sz="6" w:space="0" w:color="B7C8D6"/>
          <w:right w:val="single" w:sz="6" w:space="0" w:color="B7C8D6"/>
          <w:insideH w:val="single" w:sz="6" w:space="0" w:color="B7C8D6"/>
          <w:insideV w:val="single" w:sz="6" w:space="0" w:color="B7C8D6"/>
        </w:tblBorders>
      </w:tblPr>
      <w:tblGrid>
        <w:gridCol w:w="5328"/>
        <w:gridCol w:w="5328"/>
      </w:tblGrid>
      <w:tr>
        <w:tc>
          <w:tcPr>
            <w:tcW w:type="dxa" w:w="1850"/>
            <w:vAlign w:val="top"/>
            <w:shd w:fill="EAF2F8"/>
          </w:tcPr>
          <w:p>
            <w:pPr>
              <w:spacing w:after="0" w:before="0"/>
            </w:pPr>
            <w:r>
              <w:rPr>
                <w:rFonts w:ascii="Arial" w:hAnsi="Arial"/>
                <w:b/>
                <w:sz w:val="17"/>
              </w:rPr>
              <w:t>Pregunta principal</w:t>
            </w:r>
          </w:p>
        </w:tc>
        <w:tc>
          <w:tcPr>
            <w:tcW w:type="dxa" w:w="7250"/>
            <w:vAlign w:val="top"/>
          </w:tcPr>
          <w:p>
            <w:pPr>
              <w:spacing w:after="0" w:before="0"/>
            </w:pPr>
            <w:r>
              <w:rPr>
                <w:rFonts w:ascii="Arial" w:hAnsi="Arial"/>
                <w:sz w:val="17"/>
              </w:rPr>
              <w:t>¿Qué metodología recomiendan para detectar cambios recientes de cobertura forestal en mi territorio?</w:t>
            </w:r>
          </w:p>
        </w:tc>
      </w:tr>
      <w:tr>
        <w:tc>
          <w:tcPr>
            <w:tcW w:type="dxa" w:w="1850"/>
            <w:vAlign w:val="top"/>
            <w:shd w:fill="EAF2F8"/>
          </w:tcPr>
          <w:p>
            <w:pPr>
              <w:spacing w:after="0" w:before="0"/>
            </w:pPr>
            <w:r>
              <w:rPr>
                <w:rFonts w:ascii="Arial" w:hAnsi="Arial"/>
                <w:b/>
                <w:sz w:val="17"/>
              </w:rPr>
              <w:t>Áreas de asesoría solicitadas</w:t>
            </w:r>
          </w:p>
        </w:tc>
        <w:tc>
          <w:tcPr>
            <w:tcW w:type="dxa" w:w="7250"/>
            <w:vAlign w:val="top"/>
          </w:tcPr>
          <w:p>
            <w:pPr>
              <w:spacing w:after="0" w:before="0"/>
            </w:pPr>
            <w:r>
              <w:rPr>
                <w:rFonts w:ascii="Arial" w:hAnsi="Arial"/>
                <w:sz w:val="17"/>
              </w:rPr>
              <w:t>Alcance y producto mínimo viable; Datos e insumos; Metodología y análisis geoespacial; Validación y control de calidad; Producto esperado y visualización; Despliegue digital; Sostenibilidad institucional</w:t>
            </w:r>
          </w:p>
        </w:tc>
      </w:tr>
      <w:tr>
        <w:tc>
          <w:tcPr>
            <w:tcW w:type="dxa" w:w="1850"/>
            <w:vAlign w:val="top"/>
            <w:shd w:fill="EAF2F8"/>
          </w:tcPr>
          <w:p>
            <w:pPr>
              <w:spacing w:after="0" w:before="0"/>
            </w:pPr>
            <w:r>
              <w:rPr>
                <w:rFonts w:ascii="Arial" w:hAnsi="Arial"/>
                <w:b/>
                <w:sz w:val="17"/>
              </w:rPr>
              <w:t>Preguntas sobre datos</w:t>
            </w:r>
          </w:p>
        </w:tc>
        <w:tc>
          <w:tcPr>
            <w:tcW w:type="dxa" w:w="7250"/>
            <w:vAlign w:val="top"/>
          </w:tcPr>
          <w:p>
            <w:pPr>
              <w:spacing w:after="0" w:before="0"/>
            </w:pPr>
            <w:r>
              <w:rPr>
                <w:rFonts w:ascii="Arial" w:hAnsi="Arial"/>
                <w:sz w:val="17"/>
              </w:rPr>
              <w:t>¿Que datos disponibles y necesarios debería de obtener para el desarrollo de la herramienta de evaluación?</w:t>
            </w:r>
          </w:p>
        </w:tc>
      </w:tr>
      <w:tr>
        <w:tc>
          <w:tcPr>
            <w:tcW w:type="dxa" w:w="1850"/>
            <w:vAlign w:val="top"/>
            <w:shd w:fill="EAF2F8"/>
          </w:tcPr>
          <w:p>
            <w:pPr>
              <w:spacing w:after="0" w:before="0"/>
            </w:pPr>
            <w:r>
              <w:rPr>
                <w:rFonts w:ascii="Arial" w:hAnsi="Arial"/>
                <w:b/>
                <w:sz w:val="17"/>
              </w:rPr>
              <w:t>Preguntas sobre metodología</w:t>
            </w:r>
          </w:p>
        </w:tc>
        <w:tc>
          <w:tcPr>
            <w:tcW w:type="dxa" w:w="7250"/>
            <w:vAlign w:val="top"/>
          </w:tcPr>
          <w:p>
            <w:pPr>
              <w:spacing w:after="0" w:before="0"/>
            </w:pPr>
            <w:r>
              <w:rPr>
                <w:rFonts w:ascii="Arial" w:hAnsi="Arial"/>
                <w:sz w:val="17"/>
              </w:rPr>
              <w:t>¿Cual sería la mejor frecuencia de corrida y actualización de la herramienta?</w:t>
            </w:r>
          </w:p>
        </w:tc>
      </w:tr>
      <w:tr>
        <w:tc>
          <w:tcPr>
            <w:tcW w:type="dxa" w:w="1850"/>
            <w:vAlign w:val="top"/>
            <w:shd w:fill="EAF2F8"/>
          </w:tcPr>
          <w:p>
            <w:pPr>
              <w:spacing w:after="0" w:before="0"/>
            </w:pPr>
            <w:r>
              <w:rPr>
                <w:rFonts w:ascii="Arial" w:hAnsi="Arial"/>
                <w:b/>
                <w:sz w:val="17"/>
              </w:rPr>
              <w:t>Preguntas sobre validación</w:t>
            </w:r>
          </w:p>
        </w:tc>
        <w:tc>
          <w:tcPr>
            <w:tcW w:type="dxa" w:w="7250"/>
            <w:vAlign w:val="top"/>
          </w:tcPr>
          <w:p>
            <w:pPr>
              <w:spacing w:after="0" w:before="0"/>
            </w:pPr>
            <w:r>
              <w:rPr>
                <w:rFonts w:ascii="Arial" w:hAnsi="Arial"/>
                <w:sz w:val="17"/>
              </w:rPr>
              <w:t>¿Como podría replicar la herramienta a diferentes zonas del país?</w:t>
            </w:r>
          </w:p>
        </w:tc>
      </w:tr>
      <w:tr>
        <w:tc>
          <w:tcPr>
            <w:tcW w:type="dxa" w:w="1850"/>
            <w:vAlign w:val="top"/>
            <w:shd w:fill="EAF2F8"/>
          </w:tcPr>
          <w:p>
            <w:pPr>
              <w:spacing w:after="0" w:before="0"/>
            </w:pPr>
            <w:r>
              <w:rPr>
                <w:rFonts w:ascii="Arial" w:hAnsi="Arial"/>
                <w:b/>
                <w:sz w:val="17"/>
              </w:rPr>
              <w:t>Preguntas sobre producto</w:t>
            </w:r>
          </w:p>
        </w:tc>
        <w:tc>
          <w:tcPr>
            <w:tcW w:type="dxa" w:w="7250"/>
            <w:vAlign w:val="top"/>
          </w:tcPr>
          <w:p>
            <w:pPr>
              <w:spacing w:after="0" w:before="0"/>
            </w:pPr>
            <w:r>
              <w:rPr>
                <w:rFonts w:ascii="Arial" w:hAnsi="Arial"/>
                <w:sz w:val="17"/>
              </w:rPr>
              <w:t>¿Que tipo de producto adicional a una capa SIG podría generar como complemento del análisis?</w:t>
            </w:r>
          </w:p>
        </w:tc>
      </w:tr>
      <w:tr>
        <w:tc>
          <w:tcPr>
            <w:tcW w:type="dxa" w:w="1850"/>
            <w:vAlign w:val="top"/>
            <w:shd w:fill="EAF2F8"/>
          </w:tcPr>
          <w:p>
            <w:pPr>
              <w:spacing w:after="0" w:before="0"/>
            </w:pPr>
            <w:r>
              <w:rPr>
                <w:rFonts w:ascii="Arial" w:hAnsi="Arial"/>
                <w:b/>
                <w:sz w:val="17"/>
              </w:rPr>
              <w:t>Preguntas sobre despliegue</w:t>
            </w:r>
          </w:p>
        </w:tc>
        <w:tc>
          <w:tcPr>
            <w:tcW w:type="dxa" w:w="7250"/>
            <w:vAlign w:val="top"/>
          </w:tcPr>
          <w:p>
            <w:pPr>
              <w:spacing w:after="0" w:before="0"/>
            </w:pPr>
            <w:r>
              <w:rPr>
                <w:rFonts w:ascii="Arial" w:hAnsi="Arial"/>
                <w:sz w:val="17"/>
              </w:rPr>
              <w:t>¿Como puedo desarrollar una herramienta que sea de fácil aplicación al público general?</w:t>
            </w:r>
          </w:p>
        </w:tc>
      </w:tr>
    </w:tbl>
    <w:sectPr w:rsidR="00FC693F" w:rsidRPr="0006063C" w:rsidSect="00034616">
      <w:footerReference w:type="default" r:id="rId9"/>
      <w:pgSz w:w="12240" w:h="15840"/>
      <w:pgMar w:top="648" w:right="792" w:bottom="648"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6464"/>
        <w:sz w:val="16"/>
      </w:rPr>
      <w:t>Clúster Copernicus Centroamérica AFOLU II</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