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328"/>
        <w:gridCol w:w="5328"/>
      </w:tblGrid>
      <w:tr>
        <w:tc>
          <w:tcPr>
            <w:tcW w:type="dxa" w:w="6200"/>
            <w:shd w:fill="002B66"/>
          </w:tcPr>
          <w:p>
            <w:pPr>
              <w:jc w:val="left"/>
            </w:pPr>
            <w:r>
              <w:rPr>
                <w:rFonts w:ascii="Arial" w:hAnsi="Arial"/>
                <w:b/>
                <w:color w:val="FFFFFF"/>
                <w:sz w:val="24"/>
              </w:rPr>
              <w:t>Ficha de documentación de solución AFOLU-Copernicus</w:t>
            </w:r>
          </w:p>
        </w:tc>
        <w:tc>
          <w:tcPr>
            <w:tcW w:type="dxa" w:w="3000"/>
            <w:shd w:fill="EAF2F8"/>
          </w:tcPr>
          <w:p>
            <w:pPr>
              <w:jc w:val="center"/>
            </w:pPr>
            <w:r>
              <w:rPr>
                <w:rFonts w:ascii="Arial" w:hAnsi="Arial"/>
                <w:b/>
                <w:color w:val="003769"/>
                <w:sz w:val="24"/>
              </w:rPr>
              <w:t>Sala 2</w:t>
            </w:r>
          </w:p>
        </w:tc>
      </w:tr>
    </w:tbl>
    <w:p/>
    <w:p>
      <w:pPr>
        <w:pStyle w:val="Title"/>
        <w:spacing w:before="0" w:after="160"/>
      </w:pPr>
      <w:r>
        <w:rPr>
          <w:rFonts w:ascii="Arial" w:hAnsi="Arial"/>
          <w:b/>
          <w:color w:val="003769"/>
          <w:sz w:val="28"/>
        </w:rPr>
        <w:t>Monitoreo de incendios en áreas protegidas  del departamento de Petén.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Proponente(s)</w:t>
            </w:r>
          </w:p>
        </w:tc>
        <w:tc>
          <w:tcPr>
            <w:tcW w:type="dxa" w:w="7250"/>
            <w:vAlign w:val="top"/>
          </w:tcPr>
          <w:p>
            <w:pPr>
              <w:spacing w:after="0" w:before="0"/>
            </w:pPr>
            <w:r>
              <w:rPr>
                <w:rFonts w:ascii="Arial" w:hAnsi="Arial"/>
                <w:sz w:val="17"/>
              </w:rPr>
              <w:t>Alvin Mayen y Greysi Gonzalez</w:t>
            </w:r>
          </w:p>
        </w:tc>
      </w:tr>
      <w:tr>
        <w:tc>
          <w:tcPr>
            <w:tcW w:type="dxa" w:w="1850"/>
            <w:vAlign w:val="top"/>
            <w:shd w:fill="EAF2F8"/>
          </w:tcPr>
          <w:p>
            <w:pPr>
              <w:spacing w:after="0" w:before="0"/>
            </w:pPr>
            <w:r>
              <w:rPr>
                <w:rFonts w:ascii="Arial" w:hAnsi="Arial"/>
                <w:b/>
                <w:sz w:val="17"/>
              </w:rPr>
              <w:t>Institución</w:t>
            </w:r>
          </w:p>
        </w:tc>
        <w:tc>
          <w:tcPr>
            <w:tcW w:type="dxa" w:w="7250"/>
            <w:vAlign w:val="top"/>
          </w:tcPr>
          <w:p>
            <w:pPr>
              <w:spacing w:after="0" w:before="0"/>
            </w:pPr>
            <w:r>
              <w:rPr>
                <w:rFonts w:ascii="Arial" w:hAnsi="Arial"/>
                <w:sz w:val="17"/>
              </w:rPr>
              <w:t>CONAP</w:t>
            </w:r>
          </w:p>
        </w:tc>
      </w:tr>
      <w:tr>
        <w:tc>
          <w:tcPr>
            <w:tcW w:type="dxa" w:w="1850"/>
            <w:vAlign w:val="top"/>
            <w:shd w:fill="EAF2F8"/>
          </w:tcPr>
          <w:p>
            <w:pPr>
              <w:spacing w:after="0" w:before="0"/>
            </w:pPr>
            <w:r>
              <w:rPr>
                <w:rFonts w:ascii="Arial" w:hAnsi="Arial"/>
                <w:b/>
                <w:sz w:val="17"/>
              </w:rPr>
              <w:t>País(es)</w:t>
            </w:r>
          </w:p>
        </w:tc>
        <w:tc>
          <w:tcPr>
            <w:tcW w:type="dxa" w:w="7250"/>
            <w:vAlign w:val="top"/>
          </w:tcPr>
          <w:p>
            <w:pPr>
              <w:spacing w:after="0" w:before="0"/>
            </w:pPr>
            <w:r>
              <w:rPr>
                <w:rFonts w:ascii="Arial" w:hAnsi="Arial"/>
                <w:sz w:val="17"/>
              </w:rPr>
              <w:t>Guatemala</w:t>
            </w:r>
          </w:p>
        </w:tc>
      </w:tr>
      <w:tr>
        <w:tc>
          <w:tcPr>
            <w:tcW w:type="dxa" w:w="1850"/>
            <w:vAlign w:val="top"/>
            <w:shd w:fill="EAF2F8"/>
          </w:tcPr>
          <w:p>
            <w:pPr>
              <w:spacing w:after="0" w:before="0"/>
            </w:pPr>
            <w:r>
              <w:rPr>
                <w:rFonts w:ascii="Arial" w:hAnsi="Arial"/>
                <w:b/>
                <w:sz w:val="17"/>
              </w:rPr>
              <w:t>Correo</w:t>
            </w:r>
          </w:p>
        </w:tc>
        <w:tc>
          <w:tcPr>
            <w:tcW w:type="dxa" w:w="7250"/>
            <w:vAlign w:val="top"/>
          </w:tcPr>
          <w:p>
            <w:pPr>
              <w:spacing w:after="0" w:before="0"/>
            </w:pPr>
            <w:r>
              <w:rPr>
                <w:rFonts w:ascii="Arial" w:hAnsi="Arial"/>
                <w:sz w:val="17"/>
              </w:rPr>
              <w:t>greygonza@yahoo.es</w:t>
            </w:r>
          </w:p>
        </w:tc>
      </w:tr>
      <w:tr>
        <w:tc>
          <w:tcPr>
            <w:tcW w:type="dxa" w:w="1850"/>
            <w:vAlign w:val="top"/>
            <w:shd w:fill="EAF2F8"/>
          </w:tcPr>
          <w:p>
            <w:pPr>
              <w:spacing w:after="0" w:before="0"/>
            </w:pPr>
            <w:r>
              <w:rPr>
                <w:rFonts w:ascii="Arial" w:hAnsi="Arial"/>
                <w:b/>
                <w:sz w:val="17"/>
              </w:rPr>
              <w:t>Grupo de trabajo</w:t>
            </w:r>
          </w:p>
        </w:tc>
        <w:tc>
          <w:tcPr>
            <w:tcW w:type="dxa" w:w="7250"/>
            <w:vAlign w:val="top"/>
          </w:tcPr>
          <w:p>
            <w:pPr>
              <w:spacing w:after="0" w:before="0"/>
            </w:pPr>
            <w:r>
              <w:rPr>
                <w:rFonts w:ascii="Arial" w:hAnsi="Arial"/>
                <w:sz w:val="17"/>
              </w:rPr>
              <w:t>Alertas, MRV nacional, sistemas de monitoreo e incendios forestales</w:t>
            </w:r>
          </w:p>
        </w:tc>
      </w:tr>
      <w:tr>
        <w:tc>
          <w:tcPr>
            <w:tcW w:type="dxa" w:w="1850"/>
            <w:vAlign w:val="top"/>
            <w:shd w:fill="EAF2F8"/>
          </w:tcPr>
          <w:p>
            <w:pPr>
              <w:spacing w:after="0" w:before="0"/>
            </w:pPr>
            <w:r>
              <w:rPr>
                <w:rFonts w:ascii="Arial" w:hAnsi="Arial"/>
                <w:b/>
                <w:sz w:val="17"/>
              </w:rPr>
              <w:t>Sala de discusión</w:t>
            </w:r>
          </w:p>
        </w:tc>
        <w:tc>
          <w:tcPr>
            <w:tcW w:type="dxa" w:w="7250"/>
            <w:vAlign w:val="top"/>
          </w:tcPr>
          <w:p>
            <w:pPr>
              <w:spacing w:after="0" w:before="0"/>
            </w:pPr>
            <w:r>
              <w:rPr>
                <w:rFonts w:ascii="Arial" w:hAnsi="Arial"/>
                <w:sz w:val="17"/>
              </w:rPr>
              <w:t>Sala 2</w:t>
            </w:r>
          </w:p>
        </w:tc>
      </w:tr>
      <w:tr>
        <w:tc>
          <w:tcPr>
            <w:tcW w:type="dxa" w:w="1850"/>
            <w:vAlign w:val="top"/>
            <w:shd w:fill="EAF2F8"/>
          </w:tcPr>
          <w:p>
            <w:pPr>
              <w:spacing w:after="0" w:before="0"/>
            </w:pPr>
            <w:r>
              <w:rPr>
                <w:rFonts w:ascii="Arial" w:hAnsi="Arial"/>
                <w:b/>
                <w:sz w:val="17"/>
              </w:rPr>
              <w:t>Áreas temáticas declaradas</w:t>
            </w:r>
          </w:p>
        </w:tc>
        <w:tc>
          <w:tcPr>
            <w:tcW w:type="dxa" w:w="7250"/>
            <w:vAlign w:val="top"/>
          </w:tcPr>
          <w:p>
            <w:pPr>
              <w:spacing w:after="0" w:before="0"/>
            </w:pPr>
            <w:r>
              <w:rPr>
                <w:rFonts w:ascii="Arial" w:hAnsi="Arial"/>
                <w:sz w:val="17"/>
              </w:rPr>
              <w:t>Deforestación; Degradación forestal; Incendios forestales; Cambio de uso del suelo / cobertura; Restauración; Conectividad ecológica; Carbono y biomasa; Biodiversidad</w:t>
            </w:r>
          </w:p>
        </w:tc>
      </w:tr>
    </w:tbl>
    <w:p>
      <w:pPr>
        <w:pStyle w:val="Heading2"/>
        <w:spacing w:before="160" w:after="80"/>
      </w:pPr>
      <w:r>
        <w:rPr>
          <w:rFonts w:ascii="Arial" w:hAnsi="Arial"/>
          <w:b/>
          <w:color w:val="003769"/>
          <w:sz w:val="24"/>
        </w:rPr>
        <w:t>1. Problema que busca atender</w:t>
      </w:r>
    </w:p>
    <w:p>
      <w:pPr>
        <w:spacing w:after="120"/>
        <w:jc w:val="both"/>
      </w:pPr>
      <w:r>
        <w:rPr>
          <w:rFonts w:ascii="Arial" w:hAnsi="Arial"/>
          <w:sz w:val="19"/>
        </w:rPr>
        <w:t>actualmente esa ocurriendo el avance de la frontera agricola, incendios forestales, cambio de uso del suelo, degradacion forestal,deforestacion, perdida de conectividad ecologica, crecimiento no contralado en areas protegidas. Se necesita un sistema de monitoreo automatizado para los tomadores de decisiones.</w:t>
      </w:r>
    </w:p>
    <w:p>
      <w:pPr>
        <w:pStyle w:val="Heading2"/>
        <w:spacing w:before="160" w:after="80"/>
      </w:pPr>
      <w:r>
        <w:rPr>
          <w:rFonts w:ascii="Arial" w:hAnsi="Arial"/>
          <w:b/>
          <w:color w:val="003769"/>
          <w:sz w:val="24"/>
        </w:rPr>
        <w:t>2. Relevancia del problema</w:t>
      </w:r>
    </w:p>
    <w:p>
      <w:pPr>
        <w:spacing w:after="120"/>
        <w:jc w:val="both"/>
      </w:pPr>
      <w:r>
        <w:rPr>
          <w:rFonts w:ascii="Arial" w:hAnsi="Arial"/>
          <w:sz w:val="19"/>
        </w:rPr>
        <w:t>Este problema afecta directamente la conservación de la Reserva de la Biosfera Maya, ya que la falta de información oportuna limita la capacidad de respuesta ante la deforestación, incendios forestales y cambios de uso del suelo. Contar con un sistema automatizado de monitoreo fortalecerá la toma de decisiones, la protección de los recursos naturales y la planificación territorial basada en evidencia.</w:t>
      </w:r>
    </w:p>
    <w:p>
      <w:pPr>
        <w:pStyle w:val="Heading2"/>
        <w:spacing w:before="160" w:after="80"/>
      </w:pPr>
      <w:r>
        <w:rPr>
          <w:rFonts w:ascii="Arial" w:hAnsi="Arial"/>
          <w:b/>
          <w:color w:val="003769"/>
          <w:sz w:val="24"/>
        </w:rPr>
        <w:t>3. Territorio de aplicación y ubicación</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Territorio de referencia</w:t>
            </w:r>
          </w:p>
        </w:tc>
        <w:tc>
          <w:tcPr>
            <w:tcW w:type="dxa" w:w="7250"/>
            <w:vAlign w:val="top"/>
          </w:tcPr>
          <w:p>
            <w:pPr>
              <w:spacing w:after="0" w:before="0"/>
            </w:pPr>
            <w:r>
              <w:rPr>
                <w:rFonts w:ascii="Arial" w:hAnsi="Arial"/>
                <w:sz w:val="17"/>
              </w:rPr>
              <w:t>Reserva de la Biosfera Maya, Peten, Guatemala.</w:t>
            </w:r>
          </w:p>
        </w:tc>
      </w:tr>
      <w:tr>
        <w:tc>
          <w:tcPr>
            <w:tcW w:type="dxa" w:w="1850"/>
            <w:vAlign w:val="top"/>
            <w:shd w:fill="EAF2F8"/>
          </w:tcPr>
          <w:p>
            <w:pPr>
              <w:spacing w:after="0" w:before="0"/>
            </w:pPr>
            <w:r>
              <w:rPr>
                <w:rFonts w:ascii="Arial" w:hAnsi="Arial"/>
                <w:b/>
                <w:sz w:val="17"/>
              </w:rPr>
              <w:t>Punto aproximado</w:t>
            </w:r>
          </w:p>
        </w:tc>
        <w:tc>
          <w:tcPr>
            <w:tcW w:type="dxa" w:w="7250"/>
            <w:vAlign w:val="top"/>
          </w:tcPr>
          <w:p>
            <w:pPr>
              <w:spacing w:after="0" w:before="0"/>
            </w:pPr>
            <w:r>
              <w:rPr>
                <w:rFonts w:ascii="Arial" w:hAnsi="Arial"/>
                <w:sz w:val="17"/>
              </w:rPr>
              <w:t>17.245744 -89.974722 227 0</w:t>
            </w:r>
          </w:p>
        </w:tc>
      </w:tr>
      <w:tr>
        <w:tc>
          <w:tcPr>
            <w:tcW w:type="dxa" w:w="1850"/>
            <w:vAlign w:val="top"/>
            <w:shd w:fill="EAF2F8"/>
          </w:tcPr>
          <w:p>
            <w:pPr>
              <w:spacing w:after="0" w:before="0"/>
            </w:pPr>
            <w:r>
              <w:rPr>
                <w:rFonts w:ascii="Arial" w:hAnsi="Arial"/>
                <w:b/>
                <w:sz w:val="17"/>
              </w:rPr>
              <w:t>Latitud</w:t>
            </w:r>
          </w:p>
        </w:tc>
        <w:tc>
          <w:tcPr>
            <w:tcW w:type="dxa" w:w="7250"/>
            <w:vAlign w:val="top"/>
          </w:tcPr>
          <w:p>
            <w:pPr>
              <w:spacing w:after="0" w:before="0"/>
            </w:pPr>
            <w:r>
              <w:rPr>
                <w:rFonts w:ascii="Arial" w:hAnsi="Arial"/>
                <w:sz w:val="17"/>
              </w:rPr>
              <w:t>17.245744</w:t>
            </w:r>
          </w:p>
        </w:tc>
      </w:tr>
      <w:tr>
        <w:tc>
          <w:tcPr>
            <w:tcW w:type="dxa" w:w="1850"/>
            <w:vAlign w:val="top"/>
            <w:shd w:fill="EAF2F8"/>
          </w:tcPr>
          <w:p>
            <w:pPr>
              <w:spacing w:after="0" w:before="0"/>
            </w:pPr>
            <w:r>
              <w:rPr>
                <w:rFonts w:ascii="Arial" w:hAnsi="Arial"/>
                <w:b/>
                <w:sz w:val="17"/>
              </w:rPr>
              <w:t>Longitud</w:t>
            </w:r>
          </w:p>
        </w:tc>
        <w:tc>
          <w:tcPr>
            <w:tcW w:type="dxa" w:w="7250"/>
            <w:vAlign w:val="top"/>
          </w:tcPr>
          <w:p>
            <w:pPr>
              <w:spacing w:after="0" w:before="0"/>
            </w:pPr>
            <w:r>
              <w:rPr>
                <w:rFonts w:ascii="Arial" w:hAnsi="Arial"/>
                <w:sz w:val="17"/>
              </w:rPr>
              <w:t>-89.974722</w:t>
            </w:r>
          </w:p>
        </w:tc>
      </w:tr>
      <w:tr>
        <w:tc>
          <w:tcPr>
            <w:tcW w:type="dxa" w:w="1850"/>
            <w:vAlign w:val="top"/>
            <w:shd w:fill="EAF2F8"/>
          </w:tcPr>
          <w:p>
            <w:pPr>
              <w:spacing w:after="0" w:before="0"/>
            </w:pPr>
            <w:r>
              <w:rPr>
                <w:rFonts w:ascii="Arial" w:hAnsi="Arial"/>
                <w:b/>
                <w:sz w:val="17"/>
              </w:rPr>
              <w:t>Polígono aproximado</w:t>
            </w:r>
          </w:p>
        </w:tc>
        <w:tc>
          <w:tcPr>
            <w:tcW w:type="dxa" w:w="7250"/>
            <w:vAlign w:val="top"/>
          </w:tcPr>
          <w:p>
            <w:pPr>
              <w:spacing w:after="0" w:before="0"/>
            </w:pPr>
            <w:r>
              <w:rPr>
                <w:rFonts w:ascii="Arial" w:hAnsi="Arial"/>
                <w:sz w:val="17"/>
              </w:rPr>
              <w:t>17.790535 -90.985923 0 0;17.790535 -89.116657 0 0;15.876809 -89.157004 0 0;15.845105 -89.413446 0 0;16.024696 -89.513122 0 0;15.897942 -89.787978 0 0;16.014136 -90.106811 0 0;16.077486 -90.447632 0 0;16.415009 -90.403655 0 0;16.488765 -90.54658 0 0;16.60461 -90.62354 0 0;16.762468 -90.766465 0 0;16.85712 -90.920384 0 0;16.941215 -91.074304 0 0;17.025273 -91.184215 0 0;17.130292 -91.25014 0 0;17.161786 -91.360059 0 0;17.256236 -91.414991 0 0;17.298199 -90.953217 0 0;17.790535 -90.985923 0 0</w:t>
            </w:r>
          </w:p>
        </w:tc>
      </w:tr>
      <w:tr>
        <w:tc>
          <w:tcPr>
            <w:tcW w:type="dxa" w:w="1850"/>
            <w:vAlign w:val="top"/>
            <w:shd w:fill="EAF2F8"/>
          </w:tcPr>
          <w:p>
            <w:pPr>
              <w:spacing w:after="0" w:before="0"/>
            </w:pPr>
            <w:r>
              <w:rPr>
                <w:rFonts w:ascii="Arial" w:hAnsi="Arial"/>
                <w:b/>
                <w:sz w:val="17"/>
              </w:rPr>
              <w:t>Cuenta con límites geoespaciales</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Archivo de límites</w:t>
            </w:r>
          </w:p>
        </w:tc>
        <w:tc>
          <w:tcPr>
            <w:tcW w:type="dxa" w:w="7250"/>
            <w:vAlign w:val="top"/>
          </w:tcPr>
          <w:p>
            <w:pPr>
              <w:spacing w:after="0" w:before="0"/>
            </w:pPr>
            <w:r>
              <w:rPr>
                <w:rFonts w:ascii="Arial" w:hAnsi="Arial"/>
                <w:sz w:val="17"/>
              </w:rPr>
              <w:t>SHAPE_PETEN-10_27_30.rar</w:t>
            </w:r>
          </w:p>
        </w:tc>
      </w:tr>
      <w:tr>
        <w:tc>
          <w:tcPr>
            <w:tcW w:type="dxa" w:w="1850"/>
            <w:vAlign w:val="top"/>
            <w:shd w:fill="EAF2F8"/>
          </w:tcPr>
          <w:p>
            <w:pPr>
              <w:spacing w:after="0" w:before="0"/>
            </w:pPr>
            <w:r>
              <w:rPr>
                <w:rFonts w:ascii="Arial" w:hAnsi="Arial"/>
                <w:b/>
                <w:sz w:val="17"/>
              </w:rPr>
              <w:t>URL archivo de límites</w:t>
            </w:r>
          </w:p>
        </w:tc>
        <w:tc>
          <w:tcPr>
            <w:tcW w:type="dxa" w:w="7250"/>
            <w:vAlign w:val="top"/>
          </w:tcPr>
          <w:p>
            <w:pPr>
              <w:spacing w:after="0" w:before="0"/>
            </w:pPr>
            <w:r>
              <w:rPr>
                <w:rFonts w:ascii="Arial" w:hAnsi="Arial"/>
                <w:sz w:val="17"/>
              </w:rPr>
              <w:t>https://eu.kobotoolbox.org/api/v2/assets/an3xy6gcKXjXsCTiy6cxiK/data/784256311/attachments/attzh8epRWQ9T6cPjTtv4sag/</w:t>
            </w:r>
          </w:p>
        </w:tc>
      </w:tr>
    </w:tbl>
    <w:p>
      <w:pPr>
        <w:pStyle w:val="Heading2"/>
        <w:spacing w:before="160" w:after="80"/>
      </w:pPr>
      <w:r>
        <w:rPr>
          <w:rFonts w:ascii="Arial" w:hAnsi="Arial"/>
          <w:b/>
          <w:color w:val="003769"/>
          <w:sz w:val="24"/>
        </w:rPr>
        <w:t>4. Usuarios finales y decisión que se quiere apoyar</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Tipo(s) de usuario</w:t>
            </w:r>
          </w:p>
        </w:tc>
        <w:tc>
          <w:tcPr>
            <w:tcW w:type="dxa" w:w="7250"/>
            <w:vAlign w:val="top"/>
          </w:tcPr>
          <w:p>
            <w:pPr>
              <w:spacing w:after="0" w:before="0"/>
            </w:pPr>
            <w:r>
              <w:rPr>
                <w:rFonts w:ascii="Arial" w:hAnsi="Arial"/>
                <w:sz w:val="17"/>
              </w:rPr>
              <w:t>Autoridad ambiental; Gobierno local; Área protegida; Comunidad / pueblos indígenas; ONG / organización conservacionista; Academia; Productores / cooperativas; Proyecto de cooperación; Sector privado</w:t>
            </w:r>
          </w:p>
        </w:tc>
      </w:tr>
      <w:tr>
        <w:tc>
          <w:tcPr>
            <w:tcW w:type="dxa" w:w="1850"/>
            <w:vAlign w:val="top"/>
            <w:shd w:fill="EAF2F8"/>
          </w:tcPr>
          <w:p>
            <w:pPr>
              <w:spacing w:after="0" w:before="0"/>
            </w:pPr>
            <w:r>
              <w:rPr>
                <w:rFonts w:ascii="Arial" w:hAnsi="Arial"/>
                <w:b/>
                <w:sz w:val="17"/>
              </w:rPr>
              <w:t>Usuario final descrito</w:t>
            </w:r>
          </w:p>
        </w:tc>
        <w:tc>
          <w:tcPr>
            <w:tcW w:type="dxa" w:w="7250"/>
            <w:vAlign w:val="top"/>
          </w:tcPr>
          <w:p>
            <w:pPr>
              <w:spacing w:after="0" w:before="0"/>
            </w:pPr>
            <w:r>
              <w:rPr>
                <w:rFonts w:ascii="Arial" w:hAnsi="Arial"/>
                <w:sz w:val="17"/>
              </w:rPr>
              <w:t>CEMEC_CONAP</w:t>
            </w:r>
          </w:p>
        </w:tc>
      </w:tr>
      <w:tr>
        <w:tc>
          <w:tcPr>
            <w:tcW w:type="dxa" w:w="1850"/>
            <w:vAlign w:val="top"/>
            <w:shd w:fill="EAF2F8"/>
          </w:tcPr>
          <w:p>
            <w:pPr>
              <w:spacing w:after="0" w:before="0"/>
            </w:pPr>
            <w:r>
              <w:rPr>
                <w:rFonts w:ascii="Arial" w:hAnsi="Arial"/>
                <w:b/>
                <w:sz w:val="17"/>
              </w:rPr>
              <w:t>Decisión que busca apoyar</w:t>
            </w:r>
          </w:p>
        </w:tc>
        <w:tc>
          <w:tcPr>
            <w:tcW w:type="dxa" w:w="7250"/>
            <w:vAlign w:val="top"/>
          </w:tcPr>
          <w:p>
            <w:pPr>
              <w:spacing w:after="0" w:before="0"/>
            </w:pPr>
            <w:r>
              <w:rPr>
                <w:rFonts w:ascii="Arial" w:hAnsi="Arial"/>
                <w:sz w:val="17"/>
              </w:rPr>
              <w:t>Proveer información oportuna para la toma de decisiones sobre incendios forestales, permitiendo una respuesta rápida y eficiente por parte de los equipos técnicos y de control.</w:t>
            </w:r>
          </w:p>
        </w:tc>
      </w:tr>
    </w:tbl>
    <w:p>
      <w:pPr>
        <w:pStyle w:val="Heading2"/>
        <w:spacing w:before="160" w:after="80"/>
      </w:pPr>
      <w:r>
        <w:rPr>
          <w:rFonts w:ascii="Arial" w:hAnsi="Arial"/>
          <w:b/>
          <w:color w:val="003769"/>
          <w:sz w:val="24"/>
        </w:rPr>
        <w:t>5. Producto, entregable y despliegue esperado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Tipo de entregable</w:t>
            </w:r>
          </w:p>
        </w:tc>
        <w:tc>
          <w:tcPr>
            <w:tcW w:type="dxa" w:w="7250"/>
            <w:vAlign w:val="top"/>
          </w:tcPr>
          <w:p>
            <w:pPr>
              <w:spacing w:after="0" w:before="0"/>
            </w:pPr>
            <w:r>
              <w:rPr>
                <w:rFonts w:ascii="Arial" w:hAnsi="Arial"/>
                <w:sz w:val="17"/>
              </w:rPr>
              <w:t>Mapa; Capa geoespacial; Indicador; Script; Flujo de trabajo; Dashboard / tablero; Visor web; Aplicación; Repositorio técnico</w:t>
            </w:r>
          </w:p>
        </w:tc>
      </w:tr>
      <w:tr>
        <w:tc>
          <w:tcPr>
            <w:tcW w:type="dxa" w:w="1850"/>
            <w:vAlign w:val="top"/>
            <w:shd w:fill="EAF2F8"/>
          </w:tcPr>
          <w:p>
            <w:pPr>
              <w:spacing w:after="0" w:before="0"/>
            </w:pPr>
            <w:r>
              <w:rPr>
                <w:rFonts w:ascii="Arial" w:hAnsi="Arial"/>
                <w:b/>
                <w:sz w:val="17"/>
              </w:rPr>
              <w:t>Descripción del producto</w:t>
            </w:r>
          </w:p>
        </w:tc>
        <w:tc>
          <w:tcPr>
            <w:tcW w:type="dxa" w:w="7250"/>
            <w:vAlign w:val="top"/>
          </w:tcPr>
          <w:p>
            <w:pPr>
              <w:spacing w:after="0" w:before="0"/>
            </w:pPr>
            <w:r>
              <w:rPr>
                <w:rFonts w:ascii="Arial" w:hAnsi="Arial"/>
                <w:sz w:val="17"/>
              </w:rPr>
              <w:t>La herramienta permitirá visualizar áreas afectadas por incendios forestales, generar mapas temáticos, consultar estadísticas por período, descargar información geoespacial y apoyar la toma de decisiones para la prevención, control y restauración de áreas afectadas en la Reserva de la Biosfera Maya.</w:t>
            </w:r>
          </w:p>
        </w:tc>
      </w:tr>
      <w:tr>
        <w:tc>
          <w:tcPr>
            <w:tcW w:type="dxa" w:w="1850"/>
            <w:vAlign w:val="top"/>
            <w:shd w:fill="EAF2F8"/>
          </w:tcPr>
          <w:p>
            <w:pPr>
              <w:spacing w:after="0" w:before="0"/>
            </w:pPr>
            <w:r>
              <w:rPr>
                <w:rFonts w:ascii="Arial" w:hAnsi="Arial"/>
                <w:b/>
                <w:sz w:val="17"/>
              </w:rPr>
              <w:t>Avance esperado en la jornada presencial</w:t>
            </w:r>
          </w:p>
        </w:tc>
        <w:tc>
          <w:tcPr>
            <w:tcW w:type="dxa" w:w="7250"/>
            <w:vAlign w:val="top"/>
          </w:tcPr>
          <w:p>
            <w:pPr>
              <w:spacing w:after="0" w:before="0"/>
            </w:pPr>
            <w:r>
              <w:rPr>
                <w:rFonts w:ascii="Arial" w:hAnsi="Arial"/>
                <w:sz w:val="17"/>
              </w:rPr>
              <w:t>Identificar de manera oportuna las áreas afectadas por incendios forestales para priorizar acciones de control, evaluación de daños, restauración ecológica y monitoreo de la recuperación de la cobertura forestal</w:t>
            </w:r>
          </w:p>
        </w:tc>
      </w:tr>
      <w:tr>
        <w:tc>
          <w:tcPr>
            <w:tcW w:type="dxa" w:w="1850"/>
            <w:vAlign w:val="top"/>
            <w:shd w:fill="EAF2F8"/>
          </w:tcPr>
          <w:p>
            <w:pPr>
              <w:spacing w:after="0" w:before="0"/>
            </w:pPr>
            <w:r>
              <w:rPr>
                <w:rFonts w:ascii="Arial" w:hAnsi="Arial"/>
                <w:b/>
                <w:sz w:val="17"/>
              </w:rPr>
              <w:t>Nivel de acceso previsto</w:t>
            </w:r>
          </w:p>
        </w:tc>
        <w:tc>
          <w:tcPr>
            <w:tcW w:type="dxa" w:w="7250"/>
            <w:vAlign w:val="top"/>
          </w:tcPr>
          <w:p>
            <w:pPr>
              <w:spacing w:after="0" w:before="0"/>
            </w:pPr>
            <w:r>
              <w:rPr>
                <w:rFonts w:ascii="Arial" w:hAnsi="Arial"/>
                <w:sz w:val="17"/>
              </w:rPr>
              <w:t>mixto</w:t>
            </w:r>
          </w:p>
        </w:tc>
      </w:tr>
      <w:tr>
        <w:tc>
          <w:tcPr>
            <w:tcW w:type="dxa" w:w="1850"/>
            <w:vAlign w:val="top"/>
            <w:shd w:fill="EAF2F8"/>
          </w:tcPr>
          <w:p>
            <w:pPr>
              <w:spacing w:after="0" w:before="0"/>
            </w:pPr>
            <w:r>
              <w:rPr>
                <w:rFonts w:ascii="Arial" w:hAnsi="Arial"/>
                <w:b/>
                <w:sz w:val="17"/>
              </w:rPr>
              <w:t>Componentes de despliegue</w:t>
            </w:r>
          </w:p>
        </w:tc>
        <w:tc>
          <w:tcPr>
            <w:tcW w:type="dxa" w:w="7250"/>
            <w:vAlign w:val="top"/>
          </w:tcPr>
          <w:p>
            <w:pPr>
              <w:spacing w:after="0" w:before="0"/>
            </w:pPr>
            <w:r>
              <w:rPr>
                <w:rFonts w:ascii="Arial" w:hAnsi="Arial"/>
                <w:sz w:val="17"/>
              </w:rPr>
              <w:t>Google Earth Engine App; Dashboard; Visor web; GeoServer u otro servidor geoespacial</w:t>
            </w:r>
          </w:p>
        </w:tc>
      </w:tr>
      <w:tr>
        <w:tc>
          <w:tcPr>
            <w:tcW w:type="dxa" w:w="1850"/>
            <w:vAlign w:val="top"/>
            <w:shd w:fill="EAF2F8"/>
          </w:tcPr>
          <w:p>
            <w:pPr>
              <w:spacing w:after="0" w:before="0"/>
            </w:pPr>
            <w:r>
              <w:rPr>
                <w:rFonts w:ascii="Arial" w:hAnsi="Arial"/>
                <w:b/>
                <w:sz w:val="17"/>
              </w:rPr>
              <w:t>Forma de uso</w:t>
            </w:r>
          </w:p>
        </w:tc>
        <w:tc>
          <w:tcPr>
            <w:tcW w:type="dxa" w:w="7250"/>
            <w:vAlign w:val="top"/>
          </w:tcPr>
          <w:p>
            <w:pPr>
              <w:spacing w:after="0" w:before="0"/>
            </w:pPr>
            <w:r>
              <w:rPr>
                <w:rFonts w:ascii="Arial" w:hAnsi="Arial"/>
                <w:sz w:val="17"/>
              </w:rPr>
              <w:t>Se utilizaria reuniones tecnicas, instituciones, academia, tomadores de desiciones (gobierno)</w:t>
            </w:r>
          </w:p>
        </w:tc>
      </w:tr>
      <w:tr>
        <w:tc>
          <w:tcPr>
            <w:tcW w:type="dxa" w:w="1850"/>
            <w:vAlign w:val="top"/>
            <w:shd w:fill="EAF2F8"/>
          </w:tcPr>
          <w:p>
            <w:pPr>
              <w:spacing w:after="0" w:before="0"/>
            </w:pPr>
            <w:r>
              <w:rPr>
                <w:rFonts w:ascii="Arial" w:hAnsi="Arial"/>
                <w:b/>
                <w:sz w:val="17"/>
              </w:rPr>
              <w:t>Requiere actualización</w:t>
            </w:r>
          </w:p>
        </w:tc>
        <w:tc>
          <w:tcPr>
            <w:tcW w:type="dxa" w:w="7250"/>
            <w:vAlign w:val="top"/>
          </w:tcPr>
          <w:p>
            <w:pPr>
              <w:spacing w:after="0" w:before="0"/>
            </w:pPr>
            <w:r>
              <w:rPr>
                <w:rFonts w:ascii="Arial" w:hAnsi="Arial"/>
                <w:sz w:val="17"/>
              </w:rPr>
              <w:t>si</w:t>
            </w:r>
          </w:p>
        </w:tc>
      </w:tr>
      <w:tr>
        <w:tc>
          <w:tcPr>
            <w:tcW w:type="dxa" w:w="1850"/>
            <w:vAlign w:val="top"/>
            <w:shd w:fill="EAF2F8"/>
          </w:tcPr>
          <w:p>
            <w:pPr>
              <w:spacing w:after="0" w:before="0"/>
            </w:pPr>
            <w:r>
              <w:rPr>
                <w:rFonts w:ascii="Arial" w:hAnsi="Arial"/>
                <w:b/>
                <w:sz w:val="17"/>
              </w:rPr>
              <w:t>Descripción de actualización</w:t>
            </w:r>
          </w:p>
        </w:tc>
        <w:tc>
          <w:tcPr>
            <w:tcW w:type="dxa" w:w="7250"/>
            <w:vAlign w:val="top"/>
          </w:tcPr>
          <w:p>
            <w:pPr>
              <w:spacing w:after="0" w:before="0"/>
            </w:pPr>
            <w:r>
              <w:rPr>
                <w:rFonts w:ascii="Arial" w:hAnsi="Arial"/>
                <w:sz w:val="17"/>
              </w:rPr>
              <w:t>Se realizaria de forma semiautomatica de manera continua.</w:t>
            </w:r>
          </w:p>
        </w:tc>
      </w:tr>
    </w:tbl>
    <w:p>
      <w:pPr>
        <w:pStyle w:val="Heading2"/>
        <w:spacing w:before="160" w:after="80"/>
      </w:pPr>
      <w:r>
        <w:rPr>
          <w:rFonts w:ascii="Arial" w:hAnsi="Arial"/>
          <w:b/>
          <w:color w:val="003769"/>
          <w:sz w:val="24"/>
        </w:rPr>
        <w:t>6. Datos e insumos identificados</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Datos satelitales / fuentes</w:t>
            </w:r>
          </w:p>
        </w:tc>
        <w:tc>
          <w:tcPr>
            <w:tcW w:type="dxa" w:w="7250"/>
            <w:vAlign w:val="top"/>
          </w:tcPr>
          <w:p>
            <w:pPr>
              <w:spacing w:after="0" w:before="0"/>
            </w:pPr>
            <w:r>
              <w:rPr>
                <w:rFonts w:ascii="Arial" w:hAnsi="Arial"/>
                <w:sz w:val="17"/>
              </w:rPr>
              <w:t>Sentinel-1 / radar SAR; Sentinel-2 / óptico; Sentinel-3; Copernicus Land Monitoring Service; Productos de incendios; Productos de vegetación; Límites locales / institucionales</w:t>
            </w:r>
          </w:p>
        </w:tc>
      </w:tr>
      <w:tr>
        <w:tc>
          <w:tcPr>
            <w:tcW w:type="dxa" w:w="1850"/>
            <w:vAlign w:val="top"/>
            <w:shd w:fill="EAF2F8"/>
          </w:tcPr>
          <w:p>
            <w:pPr>
              <w:spacing w:after="0" w:before="0"/>
            </w:pPr>
            <w:r>
              <w:rPr>
                <w:rFonts w:ascii="Arial" w:hAnsi="Arial"/>
                <w:b/>
                <w:sz w:val="17"/>
              </w:rPr>
              <w:t>Datos disponibles</w:t>
            </w:r>
          </w:p>
        </w:tc>
        <w:tc>
          <w:tcPr>
            <w:tcW w:type="dxa" w:w="7250"/>
            <w:vAlign w:val="top"/>
          </w:tcPr>
          <w:p>
            <w:pPr>
              <w:spacing w:after="0" w:before="0"/>
            </w:pPr>
            <w:r>
              <w:rPr>
                <w:rFonts w:ascii="Arial" w:hAnsi="Arial"/>
                <w:sz w:val="17"/>
              </w:rPr>
              <w:t>Shape de limites nacionales, departamentales,municipales, asentamientos humanos dentro y fuera de areas protegidas, limites de areas protegidas, cuerpos de agua,rios, caminos y presencia interistitucional.</w:t>
            </w:r>
          </w:p>
        </w:tc>
      </w:tr>
      <w:tr>
        <w:tc>
          <w:tcPr>
            <w:tcW w:type="dxa" w:w="1850"/>
            <w:vAlign w:val="top"/>
            <w:shd w:fill="EAF2F8"/>
          </w:tcPr>
          <w:p>
            <w:pPr>
              <w:spacing w:after="0" w:before="0"/>
            </w:pPr>
            <w:r>
              <w:rPr>
                <w:rFonts w:ascii="Arial" w:hAnsi="Arial"/>
                <w:b/>
                <w:sz w:val="17"/>
              </w:rPr>
              <w:t>Datos faltantes</w:t>
            </w:r>
          </w:p>
        </w:tc>
        <w:tc>
          <w:tcPr>
            <w:tcW w:type="dxa" w:w="7250"/>
            <w:vAlign w:val="top"/>
          </w:tcPr>
          <w:p>
            <w:pPr>
              <w:spacing w:after="0" w:before="0"/>
            </w:pPr>
            <w:r>
              <w:rPr>
                <w:rFonts w:ascii="Arial" w:hAnsi="Arial"/>
                <w:sz w:val="17"/>
              </w:rPr>
              <w:t>Datos geoespaciales de COPERNICOS.</w:t>
            </w:r>
          </w:p>
        </w:tc>
      </w:tr>
      <w:tr>
        <w:tc>
          <w:tcPr>
            <w:tcW w:type="dxa" w:w="1850"/>
            <w:vAlign w:val="top"/>
            <w:shd w:fill="EAF2F8"/>
          </w:tcPr>
          <w:p>
            <w:pPr>
              <w:spacing w:after="0" w:before="0"/>
            </w:pPr>
            <w:r>
              <w:rPr>
                <w:rFonts w:ascii="Arial" w:hAnsi="Arial"/>
                <w:b/>
                <w:sz w:val="17"/>
              </w:rPr>
              <w:t>Documento relacionado</w:t>
            </w:r>
          </w:p>
        </w:tc>
        <w:tc>
          <w:tcPr>
            <w:tcW w:type="dxa" w:w="7250"/>
            <w:vAlign w:val="top"/>
          </w:tcPr>
          <w:p>
            <w:pPr>
              <w:spacing w:after="0" w:before="0"/>
            </w:pPr>
            <w:r>
              <w:rPr>
                <w:rFonts w:ascii="Arial" w:hAnsi="Arial"/>
                <w:sz w:val="17"/>
              </w:rPr>
              <w:t>Informe_Incendios_2025-12_42_5.pdf</w:t>
            </w:r>
          </w:p>
        </w:tc>
      </w:tr>
      <w:tr>
        <w:tc>
          <w:tcPr>
            <w:tcW w:type="dxa" w:w="1850"/>
            <w:vAlign w:val="top"/>
            <w:shd w:fill="EAF2F8"/>
          </w:tcPr>
          <w:p>
            <w:pPr>
              <w:spacing w:after="0" w:before="0"/>
            </w:pPr>
            <w:r>
              <w:rPr>
                <w:rFonts w:ascii="Arial" w:hAnsi="Arial"/>
                <w:b/>
                <w:sz w:val="17"/>
              </w:rPr>
              <w:t>URL del documento</w:t>
            </w:r>
          </w:p>
        </w:tc>
        <w:tc>
          <w:tcPr>
            <w:tcW w:type="dxa" w:w="7250"/>
            <w:vAlign w:val="top"/>
          </w:tcPr>
          <w:p>
            <w:pPr>
              <w:spacing w:after="0" w:before="0"/>
            </w:pPr>
            <w:r>
              <w:rPr>
                <w:rFonts w:ascii="Arial" w:hAnsi="Arial"/>
                <w:sz w:val="17"/>
              </w:rPr>
              <w:t>https://eu.kobotoolbox.org/api/v2/assets/an3xy6gcKXjXsCTiy6cxiK/data/784256311/attachments/att6exdUBg3KJxpXiBqZgSyt/</w:t>
            </w:r>
          </w:p>
        </w:tc>
      </w:tr>
      <w:tr>
        <w:tc>
          <w:tcPr>
            <w:tcW w:type="dxa" w:w="1850"/>
            <w:vAlign w:val="top"/>
            <w:shd w:fill="EAF2F8"/>
          </w:tcPr>
          <w:p>
            <w:pPr>
              <w:spacing w:after="0" w:before="0"/>
            </w:pPr>
            <w:r>
              <w:rPr>
                <w:rFonts w:ascii="Arial" w:hAnsi="Arial"/>
                <w:b/>
                <w:sz w:val="17"/>
              </w:rPr>
              <w:t>Enlace a recurso externo</w:t>
            </w:r>
          </w:p>
        </w:tc>
        <w:tc>
          <w:tcPr>
            <w:tcW w:type="dxa" w:w="7250"/>
            <w:vAlign w:val="top"/>
          </w:tcPr>
          <w:p>
            <w:pPr>
              <w:spacing w:after="0" w:before="0"/>
            </w:pPr>
            <w:r>
              <w:rPr>
                <w:rFonts w:ascii="Arial" w:hAnsi="Arial"/>
                <w:sz w:val="17"/>
              </w:rPr>
              <w:t>No indicado</w:t>
            </w:r>
          </w:p>
        </w:tc>
      </w:tr>
    </w:tbl>
    <w:p>
      <w:pPr>
        <w:pStyle w:val="Heading2"/>
        <w:spacing w:before="160" w:after="80"/>
      </w:pPr>
      <w:r>
        <w:rPr>
          <w:rFonts w:ascii="Arial" w:hAnsi="Arial"/>
          <w:b/>
          <w:color w:val="003769"/>
          <w:sz w:val="24"/>
        </w:rPr>
        <w:t>7. Método o flujo de trabajo imaginado</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Métodos posibles</w:t>
            </w:r>
          </w:p>
        </w:tc>
        <w:tc>
          <w:tcPr>
            <w:tcW w:type="dxa" w:w="7250"/>
            <w:vAlign w:val="top"/>
          </w:tcPr>
          <w:p>
            <w:pPr>
              <w:spacing w:after="0" w:before="0"/>
            </w:pPr>
            <w:r>
              <w:rPr>
                <w:rFonts w:ascii="Arial" w:hAnsi="Arial"/>
                <w:sz w:val="17"/>
              </w:rPr>
              <w:t>Comparación entre fechas; Índices de vegetación; Radar / SAR; Clasificación de cobertura / uso del suelo; Detección de cambios; Series temporales; Validación de campo</w:t>
            </w:r>
          </w:p>
        </w:tc>
      </w:tr>
      <w:tr>
        <w:tc>
          <w:tcPr>
            <w:tcW w:type="dxa" w:w="1850"/>
            <w:vAlign w:val="top"/>
            <w:shd w:fill="EAF2F8"/>
          </w:tcPr>
          <w:p>
            <w:pPr>
              <w:spacing w:after="0" w:before="0"/>
            </w:pPr>
            <w:r>
              <w:rPr>
                <w:rFonts w:ascii="Arial" w:hAnsi="Arial"/>
                <w:b/>
                <w:sz w:val="17"/>
              </w:rPr>
              <w:t>Flujo imaginado</w:t>
            </w:r>
          </w:p>
        </w:tc>
        <w:tc>
          <w:tcPr>
            <w:tcW w:type="dxa" w:w="7250"/>
            <w:vAlign w:val="top"/>
          </w:tcPr>
          <w:p>
            <w:pPr>
              <w:spacing w:after="0" w:before="0"/>
            </w:pPr>
            <w:r>
              <w:rPr>
                <w:rFonts w:ascii="Arial" w:hAnsi="Arial"/>
                <w:sz w:val="17"/>
              </w:rPr>
              <w:t xml:space="preserve">Seleccion de imagenes (con el 30% de nubes),mascara de nubes,mosaico de imagenes seleccionadas, generacion de grid de las imagenes, seleccion de muestras, edicion manual (pixel editor), capa final. </w:t>
              <w:br/>
              <w:t>Quemado, no quemado.</w:t>
            </w:r>
          </w:p>
        </w:tc>
      </w:tr>
      <w:tr>
        <w:tc>
          <w:tcPr>
            <w:tcW w:type="dxa" w:w="1850"/>
            <w:vAlign w:val="top"/>
            <w:shd w:fill="EAF2F8"/>
          </w:tcPr>
          <w:p>
            <w:pPr>
              <w:spacing w:after="0" w:before="0"/>
            </w:pPr>
            <w:r>
              <w:rPr>
                <w:rFonts w:ascii="Arial" w:hAnsi="Arial"/>
                <w:b/>
                <w:sz w:val="17"/>
              </w:rPr>
              <w:t>Índices / algoritmos mencionados</w:t>
            </w:r>
          </w:p>
        </w:tc>
        <w:tc>
          <w:tcPr>
            <w:tcW w:type="dxa" w:w="7250"/>
            <w:vAlign w:val="top"/>
          </w:tcPr>
          <w:p>
            <w:pPr>
              <w:spacing w:after="0" w:before="0"/>
            </w:pPr>
            <w:r>
              <w:rPr>
                <w:rFonts w:ascii="Arial" w:hAnsi="Arial"/>
                <w:sz w:val="17"/>
              </w:rPr>
              <w:t>Google Earth Engine,NDVI.</w:t>
            </w:r>
          </w:p>
        </w:tc>
      </w:tr>
      <w:tr>
        <w:tc>
          <w:tcPr>
            <w:tcW w:type="dxa" w:w="1850"/>
            <w:vAlign w:val="top"/>
            <w:shd w:fill="EAF2F8"/>
          </w:tcPr>
          <w:p>
            <w:pPr>
              <w:spacing w:after="0" w:before="0"/>
            </w:pPr>
            <w:r>
              <w:rPr>
                <w:rFonts w:ascii="Arial" w:hAnsi="Arial"/>
                <w:b/>
                <w:sz w:val="17"/>
              </w:rPr>
              <w:t>Frecuencia de actualización</w:t>
            </w:r>
          </w:p>
        </w:tc>
        <w:tc>
          <w:tcPr>
            <w:tcW w:type="dxa" w:w="7250"/>
            <w:vAlign w:val="top"/>
          </w:tcPr>
          <w:p>
            <w:pPr>
              <w:spacing w:after="0" w:before="0"/>
            </w:pPr>
            <w:r>
              <w:rPr>
                <w:rFonts w:ascii="Arial" w:hAnsi="Arial"/>
                <w:sz w:val="17"/>
              </w:rPr>
              <w:t>continua</w:t>
            </w:r>
          </w:p>
        </w:tc>
      </w:tr>
    </w:tbl>
    <w:p>
      <w:pPr>
        <w:pStyle w:val="Heading2"/>
        <w:spacing w:before="160" w:after="80"/>
      </w:pPr>
      <w:r>
        <w:rPr>
          <w:rFonts w:ascii="Arial" w:hAnsi="Arial"/>
          <w:b/>
          <w:color w:val="003769"/>
          <w:sz w:val="24"/>
        </w:rPr>
        <w:t>8. Preguntas para la asesoría de la Sesión 6</w:t>
      </w:r>
    </w:p>
    <w:tbl>
      <w:tblPr>
        <w:tblW w:type="auto" w:w="0"/>
        <w:tblLayout w:type="autofit"/>
        <w:tblLook w:firstColumn="1" w:firstRow="1" w:lastColumn="0" w:lastRow="0" w:noHBand="0" w:noVBand="1" w:val="04A0"/>
        <w:jc w:val="center"/>
        <w:tblBorders>
          <w:top w:val="single" w:sz="6" w:space="0" w:color="B7C8D6"/>
          <w:left w:val="single" w:sz="6" w:space="0" w:color="B7C8D6"/>
          <w:bottom w:val="single" w:sz="6" w:space="0" w:color="B7C8D6"/>
          <w:right w:val="single" w:sz="6" w:space="0" w:color="B7C8D6"/>
          <w:insideH w:val="single" w:sz="6" w:space="0" w:color="B7C8D6"/>
          <w:insideV w:val="single" w:sz="6" w:space="0" w:color="B7C8D6"/>
        </w:tblBorders>
      </w:tblPr>
      <w:tblGrid>
        <w:gridCol w:w="5328"/>
        <w:gridCol w:w="5328"/>
      </w:tblGrid>
      <w:tr>
        <w:tc>
          <w:tcPr>
            <w:tcW w:type="dxa" w:w="1850"/>
            <w:vAlign w:val="top"/>
            <w:shd w:fill="EAF2F8"/>
          </w:tcPr>
          <w:p>
            <w:pPr>
              <w:spacing w:after="0" w:before="0"/>
            </w:pPr>
            <w:r>
              <w:rPr>
                <w:rFonts w:ascii="Arial" w:hAnsi="Arial"/>
                <w:b/>
                <w:sz w:val="17"/>
              </w:rPr>
              <w:t>Pregunta principal</w:t>
            </w:r>
          </w:p>
        </w:tc>
        <w:tc>
          <w:tcPr>
            <w:tcW w:type="dxa" w:w="7250"/>
            <w:vAlign w:val="top"/>
          </w:tcPr>
          <w:p>
            <w:pPr>
              <w:spacing w:after="0" w:before="0"/>
            </w:pPr>
            <w:r>
              <w:rPr>
                <w:rFonts w:ascii="Arial" w:hAnsi="Arial"/>
                <w:sz w:val="17"/>
              </w:rPr>
              <w:t>se busca la automatizacion el analisis  de cicatrices de forma inmediata y eficiente.</w:t>
            </w:r>
          </w:p>
        </w:tc>
      </w:tr>
      <w:tr>
        <w:tc>
          <w:tcPr>
            <w:tcW w:type="dxa" w:w="1850"/>
            <w:vAlign w:val="top"/>
            <w:shd w:fill="EAF2F8"/>
          </w:tcPr>
          <w:p>
            <w:pPr>
              <w:spacing w:after="0" w:before="0"/>
            </w:pPr>
            <w:r>
              <w:rPr>
                <w:rFonts w:ascii="Arial" w:hAnsi="Arial"/>
                <w:b/>
                <w:sz w:val="17"/>
              </w:rPr>
              <w:t>Áreas de asesoría solicitadas</w:t>
            </w:r>
          </w:p>
        </w:tc>
        <w:tc>
          <w:tcPr>
            <w:tcW w:type="dxa" w:w="7250"/>
            <w:vAlign w:val="top"/>
          </w:tcPr>
          <w:p>
            <w:pPr>
              <w:spacing w:after="0" w:before="0"/>
            </w:pPr>
            <w:r>
              <w:rPr>
                <w:rFonts w:ascii="Arial" w:hAnsi="Arial"/>
                <w:sz w:val="17"/>
              </w:rPr>
              <w:t>Datos e insumos; Sostenibilidad institucional</w:t>
            </w:r>
          </w:p>
        </w:tc>
      </w:tr>
      <w:tr>
        <w:tc>
          <w:tcPr>
            <w:tcW w:type="dxa" w:w="1850"/>
            <w:vAlign w:val="top"/>
            <w:shd w:fill="EAF2F8"/>
          </w:tcPr>
          <w:p>
            <w:pPr>
              <w:spacing w:after="0" w:before="0"/>
            </w:pPr>
            <w:r>
              <w:rPr>
                <w:rFonts w:ascii="Arial" w:hAnsi="Arial"/>
                <w:b/>
                <w:sz w:val="17"/>
              </w:rPr>
              <w:t>Preguntas sobre datos</w:t>
            </w:r>
          </w:p>
        </w:tc>
        <w:tc>
          <w:tcPr>
            <w:tcW w:type="dxa" w:w="7250"/>
            <w:vAlign w:val="top"/>
          </w:tcPr>
          <w:p>
            <w:pPr>
              <w:spacing w:after="0" w:before="0"/>
            </w:pPr>
            <w:r>
              <w:rPr>
                <w:rFonts w:ascii="Arial" w:hAnsi="Arial"/>
                <w:sz w:val="17"/>
              </w:rPr>
              <w:t>Que se puede hacer en caso que no contemos con datos disponibles para la temporada de incidencia.</w:t>
            </w:r>
          </w:p>
        </w:tc>
      </w:tr>
      <w:tr>
        <w:tc>
          <w:tcPr>
            <w:tcW w:type="dxa" w:w="1850"/>
            <w:vAlign w:val="top"/>
            <w:shd w:fill="EAF2F8"/>
          </w:tcPr>
          <w:p>
            <w:pPr>
              <w:spacing w:after="0" w:before="0"/>
            </w:pPr>
            <w:r>
              <w:rPr>
                <w:rFonts w:ascii="Arial" w:hAnsi="Arial"/>
                <w:b/>
                <w:sz w:val="17"/>
              </w:rPr>
              <w:t>Preguntas sobre sostenibilidad</w:t>
            </w:r>
          </w:p>
        </w:tc>
        <w:tc>
          <w:tcPr>
            <w:tcW w:type="dxa" w:w="7250"/>
            <w:vAlign w:val="top"/>
          </w:tcPr>
          <w:p>
            <w:pPr>
              <w:spacing w:after="0" w:before="0"/>
            </w:pPr>
            <w:r>
              <w:rPr>
                <w:rFonts w:ascii="Arial" w:hAnsi="Arial"/>
                <w:sz w:val="17"/>
              </w:rPr>
              <w:t>Existe un acuerdo interistitucional desde el año  2025, donde Google Earth Engine, es la  herramienta oficial para elaborar los informes de incendios para el gobierno de Guatemala.</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Clúster Copernicus Centroamérica AFOLU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