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328"/>
        <w:gridCol w:w="5328"/>
      </w:tblGrid>
      <w:tr>
        <w:tc>
          <w:tcPr>
            <w:tcW w:type="dxa" w:w="6200"/>
            <w:shd w:fill="002B66"/>
          </w:tcPr>
          <w:p>
            <w:pPr>
              <w:jc w:val="left"/>
            </w:pPr>
            <w:r>
              <w:rPr>
                <w:rFonts w:ascii="Arial" w:hAnsi="Arial"/>
                <w:b/>
                <w:color w:val="FFFFFF"/>
                <w:sz w:val="24"/>
              </w:rPr>
              <w:t>Ficha de documentación de solución AFOLU-Copernicus</w:t>
            </w:r>
          </w:p>
        </w:tc>
        <w:tc>
          <w:tcPr>
            <w:tcW w:type="dxa" w:w="3000"/>
            <w:shd w:fill="EAF2F8"/>
          </w:tcPr>
          <w:p>
            <w:pPr>
              <w:jc w:val="center"/>
            </w:pPr>
            <w:r>
              <w:rPr>
                <w:rFonts w:ascii="Arial" w:hAnsi="Arial"/>
                <w:b/>
                <w:color w:val="003769"/>
                <w:sz w:val="24"/>
              </w:rPr>
              <w:t>Sala 2</w:t>
            </w:r>
          </w:p>
        </w:tc>
      </w:tr>
    </w:tbl>
    <w:p/>
    <w:p>
      <w:pPr>
        <w:pStyle w:val="Title"/>
        <w:spacing w:before="0" w:after="160"/>
      </w:pPr>
      <w:r>
        <w:rPr>
          <w:rFonts w:ascii="Arial" w:hAnsi="Arial"/>
          <w:b/>
          <w:color w:val="003769"/>
          <w:sz w:val="28"/>
        </w:rPr>
        <w:t>Sistema de Detección Temprana de Cambio de Uso de Suelo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Proponente(s)</w:t>
            </w:r>
          </w:p>
        </w:tc>
        <w:tc>
          <w:tcPr>
            <w:tcW w:type="dxa" w:w="7250"/>
            <w:vAlign w:val="top"/>
          </w:tcPr>
          <w:p>
            <w:pPr>
              <w:spacing w:after="0" w:before="0"/>
            </w:pPr>
            <w:r>
              <w:rPr>
                <w:rFonts w:ascii="Arial" w:hAnsi="Arial"/>
                <w:sz w:val="17"/>
              </w:rPr>
              <w:t>Antonio Clemente</w:t>
            </w:r>
          </w:p>
        </w:tc>
      </w:tr>
      <w:tr>
        <w:tc>
          <w:tcPr>
            <w:tcW w:type="dxa" w:w="1850"/>
            <w:vAlign w:val="top"/>
            <w:shd w:fill="EAF2F8"/>
          </w:tcPr>
          <w:p>
            <w:pPr>
              <w:spacing w:after="0" w:before="0"/>
            </w:pPr>
            <w:r>
              <w:rPr>
                <w:rFonts w:ascii="Arial" w:hAnsi="Arial"/>
                <w:b/>
                <w:sz w:val="17"/>
              </w:rPr>
              <w:t>Institución</w:t>
            </w:r>
          </w:p>
        </w:tc>
        <w:tc>
          <w:tcPr>
            <w:tcW w:type="dxa" w:w="7250"/>
            <w:vAlign w:val="top"/>
          </w:tcPr>
          <w:p>
            <w:pPr>
              <w:spacing w:after="0" w:before="0"/>
            </w:pPr>
            <w:r>
              <w:rPr>
                <w:rFonts w:ascii="Arial" w:hAnsi="Arial"/>
                <w:sz w:val="17"/>
              </w:rPr>
              <w:t>Asociación Nacional para la Conservación de la Naturaleza (ANCON)</w:t>
            </w:r>
          </w:p>
        </w:tc>
      </w:tr>
      <w:tr>
        <w:tc>
          <w:tcPr>
            <w:tcW w:type="dxa" w:w="1850"/>
            <w:vAlign w:val="top"/>
            <w:shd w:fill="EAF2F8"/>
          </w:tcPr>
          <w:p>
            <w:pPr>
              <w:spacing w:after="0" w:before="0"/>
            </w:pPr>
            <w:r>
              <w:rPr>
                <w:rFonts w:ascii="Arial" w:hAnsi="Arial"/>
                <w:b/>
                <w:sz w:val="17"/>
              </w:rPr>
              <w:t>País(es)</w:t>
            </w:r>
          </w:p>
        </w:tc>
        <w:tc>
          <w:tcPr>
            <w:tcW w:type="dxa" w:w="7250"/>
            <w:vAlign w:val="top"/>
          </w:tcPr>
          <w:p>
            <w:pPr>
              <w:spacing w:after="0" w:before="0"/>
            </w:pPr>
            <w:r>
              <w:rPr>
                <w:rFonts w:ascii="Arial" w:hAnsi="Arial"/>
                <w:sz w:val="17"/>
              </w:rPr>
              <w:t>Panamá</w:t>
            </w:r>
          </w:p>
        </w:tc>
      </w:tr>
      <w:tr>
        <w:tc>
          <w:tcPr>
            <w:tcW w:type="dxa" w:w="1850"/>
            <w:vAlign w:val="top"/>
            <w:shd w:fill="EAF2F8"/>
          </w:tcPr>
          <w:p>
            <w:pPr>
              <w:spacing w:after="0" w:before="0"/>
            </w:pPr>
            <w:r>
              <w:rPr>
                <w:rFonts w:ascii="Arial" w:hAnsi="Arial"/>
                <w:b/>
                <w:sz w:val="17"/>
              </w:rPr>
              <w:t>Correo</w:t>
            </w:r>
          </w:p>
        </w:tc>
        <w:tc>
          <w:tcPr>
            <w:tcW w:type="dxa" w:w="7250"/>
            <w:vAlign w:val="top"/>
          </w:tcPr>
          <w:p>
            <w:pPr>
              <w:spacing w:after="0" w:before="0"/>
            </w:pPr>
            <w:r>
              <w:rPr>
                <w:rFonts w:ascii="Arial" w:hAnsi="Arial"/>
                <w:sz w:val="17"/>
              </w:rPr>
              <w:t>antonio.clemente@ancon.org</w:t>
            </w:r>
          </w:p>
        </w:tc>
      </w:tr>
      <w:tr>
        <w:tc>
          <w:tcPr>
            <w:tcW w:type="dxa" w:w="1850"/>
            <w:vAlign w:val="top"/>
            <w:shd w:fill="EAF2F8"/>
          </w:tcPr>
          <w:p>
            <w:pPr>
              <w:spacing w:after="0" w:before="0"/>
            </w:pPr>
            <w:r>
              <w:rPr>
                <w:rFonts w:ascii="Arial" w:hAnsi="Arial"/>
                <w:b/>
                <w:sz w:val="17"/>
              </w:rPr>
              <w:t>Grupo de trabajo</w:t>
            </w:r>
          </w:p>
        </w:tc>
        <w:tc>
          <w:tcPr>
            <w:tcW w:type="dxa" w:w="7250"/>
            <w:vAlign w:val="top"/>
          </w:tcPr>
          <w:p>
            <w:pPr>
              <w:spacing w:after="0" w:before="0"/>
            </w:pPr>
            <w:r>
              <w:rPr>
                <w:rFonts w:ascii="Arial" w:hAnsi="Arial"/>
                <w:sz w:val="17"/>
              </w:rPr>
              <w:t>Alertas, MRV nacional, sistemas de monitoreo e incendios forestales</w:t>
            </w:r>
          </w:p>
        </w:tc>
      </w:tr>
      <w:tr>
        <w:tc>
          <w:tcPr>
            <w:tcW w:type="dxa" w:w="1850"/>
            <w:vAlign w:val="top"/>
            <w:shd w:fill="EAF2F8"/>
          </w:tcPr>
          <w:p>
            <w:pPr>
              <w:spacing w:after="0" w:before="0"/>
            </w:pPr>
            <w:r>
              <w:rPr>
                <w:rFonts w:ascii="Arial" w:hAnsi="Arial"/>
                <w:b/>
                <w:sz w:val="17"/>
              </w:rPr>
              <w:t>Sala de discusión</w:t>
            </w:r>
          </w:p>
        </w:tc>
        <w:tc>
          <w:tcPr>
            <w:tcW w:type="dxa" w:w="7250"/>
            <w:vAlign w:val="top"/>
          </w:tcPr>
          <w:p>
            <w:pPr>
              <w:spacing w:after="0" w:before="0"/>
            </w:pPr>
            <w:r>
              <w:rPr>
                <w:rFonts w:ascii="Arial" w:hAnsi="Arial"/>
                <w:sz w:val="17"/>
              </w:rPr>
              <w:t>Sala 2</w:t>
            </w:r>
          </w:p>
        </w:tc>
      </w:tr>
      <w:tr>
        <w:tc>
          <w:tcPr>
            <w:tcW w:type="dxa" w:w="1850"/>
            <w:vAlign w:val="top"/>
            <w:shd w:fill="EAF2F8"/>
          </w:tcPr>
          <w:p>
            <w:pPr>
              <w:spacing w:after="0" w:before="0"/>
            </w:pPr>
            <w:r>
              <w:rPr>
                <w:rFonts w:ascii="Arial" w:hAnsi="Arial"/>
                <w:b/>
                <w:sz w:val="17"/>
              </w:rPr>
              <w:t>Áreas temáticas declaradas</w:t>
            </w:r>
          </w:p>
        </w:tc>
        <w:tc>
          <w:tcPr>
            <w:tcW w:type="dxa" w:w="7250"/>
            <w:vAlign w:val="top"/>
          </w:tcPr>
          <w:p>
            <w:pPr>
              <w:spacing w:after="0" w:before="0"/>
            </w:pPr>
            <w:r>
              <w:rPr>
                <w:rFonts w:ascii="Arial" w:hAnsi="Arial"/>
                <w:sz w:val="17"/>
              </w:rPr>
              <w:t>Deforestación; Cambio de uso del suelo / cobertura; Monitoreo comunitario</w:t>
            </w:r>
          </w:p>
        </w:tc>
      </w:tr>
    </w:tbl>
    <w:p>
      <w:pPr>
        <w:pStyle w:val="Heading2"/>
        <w:spacing w:before="160" w:after="80"/>
      </w:pPr>
      <w:r>
        <w:rPr>
          <w:rFonts w:ascii="Arial" w:hAnsi="Arial"/>
          <w:b/>
          <w:color w:val="003769"/>
          <w:sz w:val="24"/>
        </w:rPr>
        <w:t>1. Problema que busca atender</w:t>
      </w:r>
    </w:p>
    <w:p>
      <w:pPr>
        <w:spacing w:after="120"/>
        <w:jc w:val="both"/>
      </w:pPr>
      <w:r>
        <w:rPr>
          <w:rFonts w:ascii="Arial" w:hAnsi="Arial"/>
          <w:sz w:val="19"/>
        </w:rPr>
        <w:t>La deforestación ilegal amenaza la biodiversidad y servicios ecosistémicos de uno de los bosques tropicales más ricos del mundo en Darién, Panamá. Identificar los casos de deforestación oportunamente representa un condición habilitadora para atender los ilícitos y motivar a las comunidades a transaccionar de prácticas extractivas a métodos productivas sostenibles.</w:t>
      </w:r>
    </w:p>
    <w:p>
      <w:pPr>
        <w:pStyle w:val="Heading2"/>
        <w:spacing w:before="160" w:after="80"/>
      </w:pPr>
      <w:r>
        <w:rPr>
          <w:rFonts w:ascii="Arial" w:hAnsi="Arial"/>
          <w:b/>
          <w:color w:val="003769"/>
          <w:sz w:val="24"/>
        </w:rPr>
        <w:t>2. Relevancia del problema</w:t>
      </w:r>
    </w:p>
    <w:p>
      <w:pPr>
        <w:spacing w:after="120"/>
        <w:jc w:val="both"/>
      </w:pPr>
      <w:r>
        <w:rPr>
          <w:rFonts w:ascii="Arial" w:hAnsi="Arial"/>
          <w:sz w:val="19"/>
        </w:rPr>
        <w:t>ANCON cuenca con décadas trabajando en Darién y actualmente labora para impulsar la transformación de medios de vida necesaria para consolidar un modelo económico compatible con la sostenibilidad de la riqueza ecosistémica de la provincia.</w:t>
      </w:r>
    </w:p>
    <w:p>
      <w:pPr>
        <w:pStyle w:val="Heading2"/>
        <w:spacing w:before="160" w:after="80"/>
      </w:pPr>
      <w:r>
        <w:rPr>
          <w:rFonts w:ascii="Arial" w:hAnsi="Arial"/>
          <w:b/>
          <w:color w:val="003769"/>
          <w:sz w:val="24"/>
        </w:rPr>
        <w:t>3. Territorio de aplicación y ubicación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Territorio de referencia</w:t>
            </w:r>
          </w:p>
        </w:tc>
        <w:tc>
          <w:tcPr>
            <w:tcW w:type="dxa" w:w="7250"/>
            <w:vAlign w:val="top"/>
          </w:tcPr>
          <w:p>
            <w:pPr>
              <w:spacing w:after="0" w:before="0"/>
            </w:pPr>
            <w:r>
              <w:rPr>
                <w:rFonts w:ascii="Arial" w:hAnsi="Arial"/>
                <w:sz w:val="17"/>
              </w:rPr>
              <w:t>Darien</w:t>
            </w:r>
          </w:p>
        </w:tc>
      </w:tr>
      <w:tr>
        <w:tc>
          <w:tcPr>
            <w:tcW w:type="dxa" w:w="1850"/>
            <w:vAlign w:val="top"/>
            <w:shd w:fill="EAF2F8"/>
          </w:tcPr>
          <w:p>
            <w:pPr>
              <w:spacing w:after="0" w:before="0"/>
            </w:pPr>
            <w:r>
              <w:rPr>
                <w:rFonts w:ascii="Arial" w:hAnsi="Arial"/>
                <w:b/>
                <w:sz w:val="17"/>
              </w:rPr>
              <w:t>Punto aproximado</w:t>
            </w:r>
          </w:p>
        </w:tc>
        <w:tc>
          <w:tcPr>
            <w:tcW w:type="dxa" w:w="7250"/>
            <w:vAlign w:val="top"/>
          </w:tcPr>
          <w:p>
            <w:pPr>
              <w:spacing w:after="0" w:before="0"/>
            </w:pPr>
            <w:r>
              <w:rPr>
                <w:rFonts w:ascii="Arial" w:hAnsi="Arial"/>
                <w:sz w:val="17"/>
              </w:rPr>
              <w:t>8.391254 -77.873767 0 100</w:t>
            </w:r>
          </w:p>
        </w:tc>
      </w:tr>
      <w:tr>
        <w:tc>
          <w:tcPr>
            <w:tcW w:type="dxa" w:w="1850"/>
            <w:vAlign w:val="top"/>
            <w:shd w:fill="EAF2F8"/>
          </w:tcPr>
          <w:p>
            <w:pPr>
              <w:spacing w:after="0" w:before="0"/>
            </w:pPr>
            <w:r>
              <w:rPr>
                <w:rFonts w:ascii="Arial" w:hAnsi="Arial"/>
                <w:b/>
                <w:sz w:val="17"/>
              </w:rPr>
              <w:t>Latitud</w:t>
            </w:r>
          </w:p>
        </w:tc>
        <w:tc>
          <w:tcPr>
            <w:tcW w:type="dxa" w:w="7250"/>
            <w:vAlign w:val="top"/>
          </w:tcPr>
          <w:p>
            <w:pPr>
              <w:spacing w:after="0" w:before="0"/>
            </w:pPr>
            <w:r>
              <w:rPr>
                <w:rFonts w:ascii="Arial" w:hAnsi="Arial"/>
                <w:sz w:val="17"/>
              </w:rPr>
              <w:t>8.391254</w:t>
            </w:r>
          </w:p>
        </w:tc>
      </w:tr>
      <w:tr>
        <w:tc>
          <w:tcPr>
            <w:tcW w:type="dxa" w:w="1850"/>
            <w:vAlign w:val="top"/>
            <w:shd w:fill="EAF2F8"/>
          </w:tcPr>
          <w:p>
            <w:pPr>
              <w:spacing w:after="0" w:before="0"/>
            </w:pPr>
            <w:r>
              <w:rPr>
                <w:rFonts w:ascii="Arial" w:hAnsi="Arial"/>
                <w:b/>
                <w:sz w:val="17"/>
              </w:rPr>
              <w:t>Longitud</w:t>
            </w:r>
          </w:p>
        </w:tc>
        <w:tc>
          <w:tcPr>
            <w:tcW w:type="dxa" w:w="7250"/>
            <w:vAlign w:val="top"/>
          </w:tcPr>
          <w:p>
            <w:pPr>
              <w:spacing w:after="0" w:before="0"/>
            </w:pPr>
            <w:r>
              <w:rPr>
                <w:rFonts w:ascii="Arial" w:hAnsi="Arial"/>
                <w:sz w:val="17"/>
              </w:rPr>
              <w:t>-77.873767</w:t>
            </w:r>
          </w:p>
        </w:tc>
      </w:tr>
      <w:tr>
        <w:tc>
          <w:tcPr>
            <w:tcW w:type="dxa" w:w="1850"/>
            <w:vAlign w:val="top"/>
            <w:shd w:fill="EAF2F8"/>
          </w:tcPr>
          <w:p>
            <w:pPr>
              <w:spacing w:after="0" w:before="0"/>
            </w:pPr>
            <w:r>
              <w:rPr>
                <w:rFonts w:ascii="Arial" w:hAnsi="Arial"/>
                <w:b/>
                <w:sz w:val="17"/>
              </w:rPr>
              <w:t>Polígono aproximado</w:t>
            </w:r>
          </w:p>
        </w:tc>
        <w:tc>
          <w:tcPr>
            <w:tcW w:type="dxa" w:w="7250"/>
            <w:vAlign w:val="top"/>
          </w:tcPr>
          <w:p>
            <w:pPr>
              <w:spacing w:after="0" w:before="0"/>
            </w:pPr>
            <w:r>
              <w:rPr>
                <w:rFonts w:ascii="Arial" w:hAnsi="Arial"/>
                <w:sz w:val="17"/>
              </w:rPr>
              <w:t>7.258167 -77.928319 0 0;8.046798 -78.491496 0 0;8.868014 -78.521853 0 0;9.150135 -78.038565 0 0;8.629127 -77.412436 0 0;7.933338 -77.126798 0 0;7.48775 -77.552411 0 0;7.258167 -77.928319 0 0</w:t>
            </w:r>
          </w:p>
        </w:tc>
      </w:tr>
      <w:tr>
        <w:tc>
          <w:tcPr>
            <w:tcW w:type="dxa" w:w="1850"/>
            <w:vAlign w:val="top"/>
            <w:shd w:fill="EAF2F8"/>
          </w:tcPr>
          <w:p>
            <w:pPr>
              <w:spacing w:after="0" w:before="0"/>
            </w:pPr>
            <w:r>
              <w:rPr>
                <w:rFonts w:ascii="Arial" w:hAnsi="Arial"/>
                <w:b/>
                <w:sz w:val="17"/>
              </w:rPr>
              <w:t>Cuenta con límites geoespaciales</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Archivo de límites</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URL archivo de límites</w:t>
            </w:r>
          </w:p>
        </w:tc>
        <w:tc>
          <w:tcPr>
            <w:tcW w:type="dxa" w:w="7250"/>
            <w:vAlign w:val="top"/>
          </w:tcPr>
          <w:p>
            <w:pPr>
              <w:spacing w:after="0" w:before="0"/>
            </w:pPr>
            <w:r>
              <w:rPr>
                <w:rFonts w:ascii="Arial" w:hAnsi="Arial"/>
                <w:sz w:val="17"/>
              </w:rPr>
              <w:t>No indicado</w:t>
            </w:r>
          </w:p>
        </w:tc>
      </w:tr>
    </w:tbl>
    <w:p>
      <w:pPr>
        <w:pStyle w:val="Heading2"/>
        <w:spacing w:before="160" w:after="80"/>
      </w:pPr>
      <w:r>
        <w:rPr>
          <w:rFonts w:ascii="Arial" w:hAnsi="Arial"/>
          <w:b/>
          <w:color w:val="003769"/>
          <w:sz w:val="24"/>
        </w:rPr>
        <w:t>4. Usuarios finales y decisión que se quiere apoyar</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Tipo(s) de usuario</w:t>
            </w:r>
          </w:p>
        </w:tc>
        <w:tc>
          <w:tcPr>
            <w:tcW w:type="dxa" w:w="7250"/>
            <w:vAlign w:val="top"/>
          </w:tcPr>
          <w:p>
            <w:pPr>
              <w:spacing w:after="0" w:before="0"/>
            </w:pPr>
            <w:r>
              <w:rPr>
                <w:rFonts w:ascii="Arial" w:hAnsi="Arial"/>
                <w:sz w:val="17"/>
              </w:rPr>
              <w:t>Autoridad ambiental; Gobierno local; Área protegida; Comunidad / pueblos indígenas; Organización liderada por mujeres; ONG / organización conservacionista; Academia; Productores / cooperativas; Proyecto de cooperación</w:t>
            </w:r>
          </w:p>
        </w:tc>
      </w:tr>
      <w:tr>
        <w:tc>
          <w:tcPr>
            <w:tcW w:type="dxa" w:w="1850"/>
            <w:vAlign w:val="top"/>
            <w:shd w:fill="EAF2F8"/>
          </w:tcPr>
          <w:p>
            <w:pPr>
              <w:spacing w:after="0" w:before="0"/>
            </w:pPr>
            <w:r>
              <w:rPr>
                <w:rFonts w:ascii="Arial" w:hAnsi="Arial"/>
                <w:b/>
                <w:sz w:val="17"/>
              </w:rPr>
              <w:t>Usuario final descrito</w:t>
            </w:r>
          </w:p>
        </w:tc>
        <w:tc>
          <w:tcPr>
            <w:tcW w:type="dxa" w:w="7250"/>
            <w:vAlign w:val="top"/>
          </w:tcPr>
          <w:p>
            <w:pPr>
              <w:spacing w:after="0" w:before="0"/>
            </w:pPr>
            <w:r>
              <w:rPr>
                <w:rFonts w:ascii="Arial" w:hAnsi="Arial"/>
                <w:sz w:val="17"/>
              </w:rPr>
              <w:t>MiAMBIENTE, Municipios de Pinogana, Chepigna y Santa Fe, actores locales, academia</w:t>
            </w:r>
          </w:p>
        </w:tc>
      </w:tr>
      <w:tr>
        <w:tc>
          <w:tcPr>
            <w:tcW w:type="dxa" w:w="1850"/>
            <w:vAlign w:val="top"/>
            <w:shd w:fill="EAF2F8"/>
          </w:tcPr>
          <w:p>
            <w:pPr>
              <w:spacing w:after="0" w:before="0"/>
            </w:pPr>
            <w:r>
              <w:rPr>
                <w:rFonts w:ascii="Arial" w:hAnsi="Arial"/>
                <w:b/>
                <w:sz w:val="17"/>
              </w:rPr>
              <w:t>Decisión que busca apoyar</w:t>
            </w:r>
          </w:p>
        </w:tc>
        <w:tc>
          <w:tcPr>
            <w:tcW w:type="dxa" w:w="7250"/>
            <w:vAlign w:val="top"/>
          </w:tcPr>
          <w:p>
            <w:pPr>
              <w:spacing w:after="0" w:before="0"/>
            </w:pPr>
            <w:r>
              <w:rPr>
                <w:rFonts w:ascii="Arial" w:hAnsi="Arial"/>
                <w:sz w:val="17"/>
              </w:rPr>
              <w:t>planificar inspecciones (MiAMBIENTE), reportar impacto, incidir en presionar autoridades y actores locales en tomar acción para proteger los bosques y combatir la deforestación</w:t>
            </w:r>
          </w:p>
        </w:tc>
      </w:tr>
    </w:tbl>
    <w:p>
      <w:pPr>
        <w:pStyle w:val="Heading2"/>
        <w:spacing w:before="160" w:after="80"/>
      </w:pPr>
      <w:r>
        <w:rPr>
          <w:rFonts w:ascii="Arial" w:hAnsi="Arial"/>
          <w:b/>
          <w:color w:val="003769"/>
          <w:sz w:val="24"/>
        </w:rPr>
        <w:t>5. Producto, entregable y despliegue esperado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 de entregable</w:t>
            </w:r>
          </w:p>
        </w:tc>
        <w:tc>
          <w:tcPr>
            <w:tcW w:type="dxa" w:w="7250"/>
            <w:vAlign w:val="top"/>
          </w:tcPr>
          <w:p>
            <w:pPr>
              <w:spacing w:after="0" w:before="0"/>
            </w:pPr>
            <w:r>
              <w:rPr>
                <w:rFonts w:ascii="Arial" w:hAnsi="Arial"/>
                <w:sz w:val="17"/>
              </w:rPr>
              <w:t>Flujo de trabajo; Reporte; Visor web; Aplicación; Repositorio técnico</w:t>
            </w:r>
          </w:p>
        </w:tc>
      </w:tr>
      <w:tr>
        <w:tc>
          <w:tcPr>
            <w:tcW w:type="dxa" w:w="1850"/>
            <w:vAlign w:val="top"/>
            <w:shd w:fill="EAF2F8"/>
          </w:tcPr>
          <w:p>
            <w:pPr>
              <w:spacing w:after="0" w:before="0"/>
            </w:pPr>
            <w:r>
              <w:rPr>
                <w:rFonts w:ascii="Arial" w:hAnsi="Arial"/>
                <w:b/>
                <w:sz w:val="17"/>
              </w:rPr>
              <w:t>Descripción del producto</w:t>
            </w:r>
          </w:p>
        </w:tc>
        <w:tc>
          <w:tcPr>
            <w:tcW w:type="dxa" w:w="7250"/>
            <w:vAlign w:val="top"/>
          </w:tcPr>
          <w:p>
            <w:pPr>
              <w:spacing w:after="0" w:before="0"/>
            </w:pPr>
            <w:r>
              <w:rPr>
                <w:rFonts w:ascii="Arial" w:hAnsi="Arial"/>
                <w:sz w:val="17"/>
              </w:rPr>
              <w:t>Los polígonos de sitios deforestadas con vistas de las imágenes, presentados de manera accionable y dinámica por medio de un visor web que contenga todo el creciente conjunto de productos y análisis derivados (superficie, cuenca, área protegida, uso de suelo anterior al cambio, etc.), también reportes estáticos generados automáticamente</w:t>
            </w:r>
          </w:p>
        </w:tc>
      </w:tr>
      <w:tr>
        <w:tc>
          <w:tcPr>
            <w:tcW w:type="dxa" w:w="1850"/>
            <w:vAlign w:val="top"/>
            <w:shd w:fill="EAF2F8"/>
          </w:tcPr>
          <w:p>
            <w:pPr>
              <w:spacing w:after="0" w:before="0"/>
            </w:pPr>
            <w:r>
              <w:rPr>
                <w:rFonts w:ascii="Arial" w:hAnsi="Arial"/>
                <w:b/>
                <w:sz w:val="17"/>
              </w:rPr>
              <w:t>Avance esperado en la jornada presencial</w:t>
            </w:r>
          </w:p>
        </w:tc>
        <w:tc>
          <w:tcPr>
            <w:tcW w:type="dxa" w:w="7250"/>
            <w:vAlign w:val="top"/>
          </w:tcPr>
          <w:p>
            <w:pPr>
              <w:spacing w:after="0" w:before="0"/>
            </w:pPr>
            <w:r>
              <w:rPr>
                <w:rFonts w:ascii="Arial" w:hAnsi="Arial"/>
                <w:sz w:val="17"/>
              </w:rPr>
              <w:t>algoritmo de machine learning entrenado para identificar deforestación en imágenes RGB de muy alta resolución</w:t>
            </w:r>
          </w:p>
        </w:tc>
      </w:tr>
      <w:tr>
        <w:tc>
          <w:tcPr>
            <w:tcW w:type="dxa" w:w="1850"/>
            <w:vAlign w:val="top"/>
            <w:shd w:fill="EAF2F8"/>
          </w:tcPr>
          <w:p>
            <w:pPr>
              <w:spacing w:after="0" w:before="0"/>
            </w:pPr>
            <w:r>
              <w:rPr>
                <w:rFonts w:ascii="Arial" w:hAnsi="Arial"/>
                <w:b/>
                <w:sz w:val="17"/>
              </w:rPr>
              <w:t>Nivel de acceso previsto</w:t>
            </w:r>
          </w:p>
        </w:tc>
        <w:tc>
          <w:tcPr>
            <w:tcW w:type="dxa" w:w="7250"/>
            <w:vAlign w:val="top"/>
          </w:tcPr>
          <w:p>
            <w:pPr>
              <w:spacing w:after="0" w:before="0"/>
            </w:pPr>
            <w:r>
              <w:rPr>
                <w:rFonts w:ascii="Arial" w:hAnsi="Arial"/>
                <w:sz w:val="17"/>
              </w:rPr>
              <w:t>publico</w:t>
            </w:r>
          </w:p>
        </w:tc>
      </w:tr>
      <w:tr>
        <w:tc>
          <w:tcPr>
            <w:tcW w:type="dxa" w:w="1850"/>
            <w:vAlign w:val="top"/>
            <w:shd w:fill="EAF2F8"/>
          </w:tcPr>
          <w:p>
            <w:pPr>
              <w:spacing w:after="0" w:before="0"/>
            </w:pPr>
            <w:r>
              <w:rPr>
                <w:rFonts w:ascii="Arial" w:hAnsi="Arial"/>
                <w:b/>
                <w:sz w:val="17"/>
              </w:rPr>
              <w:t>Componentes de despliegue</w:t>
            </w:r>
          </w:p>
        </w:tc>
        <w:tc>
          <w:tcPr>
            <w:tcW w:type="dxa" w:w="7250"/>
            <w:vAlign w:val="top"/>
          </w:tcPr>
          <w:p>
            <w:pPr>
              <w:spacing w:after="0" w:before="0"/>
            </w:pPr>
            <w:r>
              <w:rPr>
                <w:rFonts w:ascii="Arial" w:hAnsi="Arial"/>
                <w:sz w:val="17"/>
              </w:rPr>
              <w:t>Google Earth Engine App; Visor web; GeoServer u otro servidor geoespacial</w:t>
            </w:r>
          </w:p>
        </w:tc>
      </w:tr>
      <w:tr>
        <w:tc>
          <w:tcPr>
            <w:tcW w:type="dxa" w:w="1850"/>
            <w:vAlign w:val="top"/>
            <w:shd w:fill="EAF2F8"/>
          </w:tcPr>
          <w:p>
            <w:pPr>
              <w:spacing w:after="0" w:before="0"/>
            </w:pPr>
            <w:r>
              <w:rPr>
                <w:rFonts w:ascii="Arial" w:hAnsi="Arial"/>
                <w:b/>
                <w:sz w:val="17"/>
              </w:rPr>
              <w:t>Forma de uso</w:t>
            </w:r>
          </w:p>
        </w:tc>
        <w:tc>
          <w:tcPr>
            <w:tcW w:type="dxa" w:w="7250"/>
            <w:vAlign w:val="top"/>
          </w:tcPr>
          <w:p>
            <w:pPr>
              <w:spacing w:after="0" w:before="0"/>
            </w:pPr>
            <w:r>
              <w:rPr>
                <w:rFonts w:ascii="Arial" w:hAnsi="Arial"/>
                <w:sz w:val="17"/>
              </w:rPr>
              <w:t>El visor sería consultado en línea por funcionarios y ciudadanos, a la vez que reportes estáticos serían creados y enviados automáticamente a autoridades.</w:t>
            </w:r>
          </w:p>
        </w:tc>
      </w:tr>
      <w:tr>
        <w:tc>
          <w:tcPr>
            <w:tcW w:type="dxa" w:w="1850"/>
            <w:vAlign w:val="top"/>
            <w:shd w:fill="EAF2F8"/>
          </w:tcPr>
          <w:p>
            <w:pPr>
              <w:spacing w:after="0" w:before="0"/>
            </w:pPr>
            <w:r>
              <w:rPr>
                <w:rFonts w:ascii="Arial" w:hAnsi="Arial"/>
                <w:b/>
                <w:sz w:val="17"/>
              </w:rPr>
              <w:t>Requiere actualización</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Descripción de actualización</w:t>
            </w:r>
          </w:p>
        </w:tc>
        <w:tc>
          <w:tcPr>
            <w:tcW w:type="dxa" w:w="7250"/>
            <w:vAlign w:val="top"/>
          </w:tcPr>
          <w:p>
            <w:pPr>
              <w:spacing w:after="0" w:before="0"/>
            </w:pPr>
            <w:r>
              <w:rPr>
                <w:rFonts w:ascii="Arial" w:hAnsi="Arial"/>
                <w:sz w:val="17"/>
              </w:rPr>
              <w:t>Esta por definirse que tan automático termina siendo todo el flujo - cada vez que se agrega una imagen nueva se deben determinar los casos de cambio de uso de suelo y generar y enviar los reportes</w:t>
            </w:r>
          </w:p>
        </w:tc>
      </w:tr>
    </w:tbl>
    <w:p>
      <w:pPr>
        <w:pStyle w:val="Heading2"/>
        <w:spacing w:before="160" w:after="80"/>
      </w:pPr>
      <w:r>
        <w:rPr>
          <w:rFonts w:ascii="Arial" w:hAnsi="Arial"/>
          <w:b/>
          <w:color w:val="003769"/>
          <w:sz w:val="24"/>
        </w:rPr>
        <w:t>6. Datos e insumos identificados</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Datos satelitales / fuentes</w:t>
            </w:r>
          </w:p>
        </w:tc>
        <w:tc>
          <w:tcPr>
            <w:tcW w:type="dxa" w:w="7250"/>
            <w:vAlign w:val="top"/>
          </w:tcPr>
          <w:p>
            <w:pPr>
              <w:spacing w:after="0" w:before="0"/>
            </w:pPr>
            <w:r>
              <w:rPr>
                <w:rFonts w:ascii="Arial" w:hAnsi="Arial"/>
                <w:sz w:val="17"/>
              </w:rPr>
              <w:t>Otro; imágenes WorldView y Legion reconstruidas de image tiles RGB</w:t>
            </w:r>
          </w:p>
        </w:tc>
      </w:tr>
      <w:tr>
        <w:tc>
          <w:tcPr>
            <w:tcW w:type="dxa" w:w="1850"/>
            <w:vAlign w:val="top"/>
            <w:shd w:fill="EAF2F8"/>
          </w:tcPr>
          <w:p>
            <w:pPr>
              <w:spacing w:after="0" w:before="0"/>
            </w:pPr>
            <w:r>
              <w:rPr>
                <w:rFonts w:ascii="Arial" w:hAnsi="Arial"/>
                <w:b/>
                <w:sz w:val="17"/>
              </w:rPr>
              <w:t>Datos disponibles</w:t>
            </w:r>
          </w:p>
        </w:tc>
        <w:tc>
          <w:tcPr>
            <w:tcW w:type="dxa" w:w="7250"/>
            <w:vAlign w:val="top"/>
          </w:tcPr>
          <w:p>
            <w:pPr>
              <w:spacing w:after="0" w:before="0"/>
            </w:pPr>
            <w:r>
              <w:rPr>
                <w:rFonts w:ascii="Arial" w:hAnsi="Arial"/>
                <w:sz w:val="17"/>
              </w:rPr>
              <w:t>si, muchos</w:t>
            </w:r>
          </w:p>
        </w:tc>
      </w:tr>
      <w:tr>
        <w:tc>
          <w:tcPr>
            <w:tcW w:type="dxa" w:w="1850"/>
            <w:vAlign w:val="top"/>
            <w:shd w:fill="EAF2F8"/>
          </w:tcPr>
          <w:p>
            <w:pPr>
              <w:spacing w:after="0" w:before="0"/>
            </w:pPr>
            <w:r>
              <w:rPr>
                <w:rFonts w:ascii="Arial" w:hAnsi="Arial"/>
                <w:b/>
                <w:sz w:val="17"/>
              </w:rPr>
              <w:t>Datos faltantes</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Documento relacionado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URL del documento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Enlace a recurso externo</w:t>
            </w:r>
          </w:p>
        </w:tc>
        <w:tc>
          <w:tcPr>
            <w:tcW w:type="dxa" w:w="7250"/>
            <w:vAlign w:val="top"/>
          </w:tcPr>
          <w:p>
            <w:pPr>
              <w:spacing w:after="0" w:before="0"/>
            </w:pPr>
            <w:r>
              <w:rPr>
                <w:rFonts w:ascii="Arial" w:hAnsi="Arial"/>
                <w:sz w:val="17"/>
              </w:rPr>
              <w:t>https://experience.arcgis.com/experience/f0e853b4ffba4280b9472b40056af0c7/</w:t>
            </w:r>
          </w:p>
        </w:tc>
      </w:tr>
    </w:tbl>
    <w:p>
      <w:pPr>
        <w:pStyle w:val="Heading2"/>
        <w:spacing w:before="160" w:after="80"/>
      </w:pPr>
      <w:r>
        <w:rPr>
          <w:rFonts w:ascii="Arial" w:hAnsi="Arial"/>
          <w:b/>
          <w:color w:val="003769"/>
          <w:sz w:val="24"/>
        </w:rPr>
        <w:t>7. Método o flujo de trabajo imaginado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Métodos posibles</w:t>
            </w:r>
          </w:p>
        </w:tc>
        <w:tc>
          <w:tcPr>
            <w:tcW w:type="dxa" w:w="7250"/>
            <w:vAlign w:val="top"/>
          </w:tcPr>
          <w:p>
            <w:pPr>
              <w:spacing w:after="0" w:before="0"/>
            </w:pPr>
            <w:r>
              <w:rPr>
                <w:rFonts w:ascii="Arial" w:hAnsi="Arial"/>
                <w:sz w:val="17"/>
              </w:rPr>
              <w:t>Detección de cambios</w:t>
            </w:r>
          </w:p>
        </w:tc>
      </w:tr>
      <w:tr>
        <w:tc>
          <w:tcPr>
            <w:tcW w:type="dxa" w:w="1850"/>
            <w:vAlign w:val="top"/>
            <w:shd w:fill="EAF2F8"/>
          </w:tcPr>
          <w:p>
            <w:pPr>
              <w:spacing w:after="0" w:before="0"/>
            </w:pPr>
            <w:r>
              <w:rPr>
                <w:rFonts w:ascii="Arial" w:hAnsi="Arial"/>
                <w:b/>
                <w:sz w:val="17"/>
              </w:rPr>
              <w:t>Flujo imaginado</w:t>
            </w:r>
          </w:p>
        </w:tc>
        <w:tc>
          <w:tcPr>
            <w:tcW w:type="dxa" w:w="7250"/>
            <w:vAlign w:val="top"/>
          </w:tcPr>
          <w:p>
            <w:pPr>
              <w:spacing w:after="0" w:before="0"/>
            </w:pPr>
            <w:r>
              <w:rPr>
                <w:rFonts w:ascii="Arial" w:hAnsi="Arial"/>
                <w:sz w:val="17"/>
              </w:rPr>
              <w:t>Ya tenemos flujo para descarga y reconstrucción de imágenes de alta resolución. También tenemos experiencia haciendo aplicaciones web con ArcGIS Online. Lo que nos falta es un flujo que use polígonos de entrenamiento para delimitar cambios. No creo que una clasificación tradicional (segmentación, clasificación supervisada) sea lo mejor, por la alta resolución de las imágenes, falta de bandas y por el hecho que los valores de píxel no son reflectancia pura.</w:t>
            </w:r>
          </w:p>
        </w:tc>
      </w:tr>
      <w:tr>
        <w:tc>
          <w:tcPr>
            <w:tcW w:type="dxa" w:w="1850"/>
            <w:vAlign w:val="top"/>
            <w:shd w:fill="EAF2F8"/>
          </w:tcPr>
          <w:p>
            <w:pPr>
              <w:spacing w:after="0" w:before="0"/>
            </w:pPr>
            <w:r>
              <w:rPr>
                <w:rFonts w:ascii="Arial" w:hAnsi="Arial"/>
                <w:b/>
                <w:sz w:val="17"/>
              </w:rPr>
              <w:t>Índices / algoritmos mencionados</w:t>
            </w:r>
          </w:p>
        </w:tc>
        <w:tc>
          <w:tcPr>
            <w:tcW w:type="dxa" w:w="7250"/>
            <w:vAlign w:val="top"/>
          </w:tcPr>
          <w:p>
            <w:pPr>
              <w:spacing w:after="0" w:before="0"/>
            </w:pPr>
            <w:r>
              <w:rPr>
                <w:rFonts w:ascii="Arial" w:hAnsi="Arial"/>
                <w:sz w:val="17"/>
              </w:rPr>
              <w:t>Machine learning en GEE o ArcGIS</w:t>
            </w:r>
          </w:p>
        </w:tc>
      </w:tr>
      <w:tr>
        <w:tc>
          <w:tcPr>
            <w:tcW w:type="dxa" w:w="1850"/>
            <w:vAlign w:val="top"/>
            <w:shd w:fill="EAF2F8"/>
          </w:tcPr>
          <w:p>
            <w:pPr>
              <w:spacing w:after="0" w:before="0"/>
            </w:pPr>
            <w:r>
              <w:rPr>
                <w:rFonts w:ascii="Arial" w:hAnsi="Arial"/>
                <w:b/>
                <w:sz w:val="17"/>
              </w:rPr>
              <w:t>Frecuencia de actualización</w:t>
            </w:r>
          </w:p>
        </w:tc>
        <w:tc>
          <w:tcPr>
            <w:tcW w:type="dxa" w:w="7250"/>
            <w:vAlign w:val="top"/>
          </w:tcPr>
          <w:p>
            <w:pPr>
              <w:spacing w:after="0" w:before="0"/>
            </w:pPr>
            <w:r>
              <w:rPr>
                <w:rFonts w:ascii="Arial" w:hAnsi="Arial"/>
                <w:sz w:val="17"/>
              </w:rPr>
              <w:t>continua</w:t>
            </w:r>
          </w:p>
        </w:tc>
      </w:tr>
    </w:tbl>
    <w:p>
      <w:pPr>
        <w:pStyle w:val="Heading2"/>
        <w:spacing w:before="160" w:after="80"/>
      </w:pPr>
      <w:r>
        <w:rPr>
          <w:rFonts w:ascii="Arial" w:hAnsi="Arial"/>
          <w:b/>
          <w:color w:val="003769"/>
          <w:sz w:val="24"/>
        </w:rPr>
        <w:t>8. Preguntas para la asesoría de la Sesión 6</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Pregunta principal</w:t>
            </w:r>
          </w:p>
        </w:tc>
        <w:tc>
          <w:tcPr>
            <w:tcW w:type="dxa" w:w="7250"/>
            <w:vAlign w:val="top"/>
          </w:tcPr>
          <w:p>
            <w:pPr>
              <w:spacing w:after="0" w:before="0"/>
            </w:pPr>
            <w:r>
              <w:rPr>
                <w:rFonts w:ascii="Arial" w:hAnsi="Arial"/>
                <w:sz w:val="17"/>
              </w:rPr>
              <w:t>Qué herramientas de machiene learning pueden funcionar para esta aplicación, como se entrenan considerando que las imágenes varían en radiometría y tonalidad y como se corren o integran a un flujo en GEE o ArcGIS</w:t>
            </w:r>
          </w:p>
        </w:tc>
      </w:tr>
      <w:tr>
        <w:tc>
          <w:tcPr>
            <w:tcW w:type="dxa" w:w="1850"/>
            <w:vAlign w:val="top"/>
            <w:shd w:fill="EAF2F8"/>
          </w:tcPr>
          <w:p>
            <w:pPr>
              <w:spacing w:after="0" w:before="0"/>
            </w:pPr>
            <w:r>
              <w:rPr>
                <w:rFonts w:ascii="Arial" w:hAnsi="Arial"/>
                <w:b/>
                <w:sz w:val="17"/>
              </w:rPr>
              <w:t>Áreas de asesoría solicitadas</w:t>
            </w:r>
          </w:p>
        </w:tc>
        <w:tc>
          <w:tcPr>
            <w:tcW w:type="dxa" w:w="7250"/>
            <w:vAlign w:val="top"/>
          </w:tcPr>
          <w:p>
            <w:pPr>
              <w:spacing w:after="0" w:before="0"/>
            </w:pPr>
            <w:r>
              <w:rPr>
                <w:rFonts w:ascii="Arial" w:hAnsi="Arial"/>
                <w:sz w:val="17"/>
              </w:rPr>
              <w:t>Metodología y análisis geoespacial</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Clúster Copernicus Centroamérica AFOLU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