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4</w:t>
            </w:r>
          </w:p>
        </w:tc>
      </w:tr>
    </w:tbl>
    <w:p/>
    <w:p>
      <w:pPr>
        <w:pStyle w:val="Title"/>
        <w:spacing w:before="0" w:after="160"/>
      </w:pPr>
      <w:r>
        <w:rPr>
          <w:rFonts w:ascii="Arial" w:hAnsi="Arial"/>
          <w:b/>
          <w:color w:val="003769"/>
          <w:sz w:val="28"/>
        </w:rPr>
        <w:t>Monitoreo de alerta temprana de plaga en musáceae</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Roberto Durán Acuña y Mauricio Gutiérrez Aoki</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Ministerio de Agricultura y Ganadería</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Costa Rica</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mgutierrez@mag.go.cr</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Cadenas productivas, EUDR, agricultura, carbono, plataformas y despliegue digital</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4</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Agricultura; Monitoreo comunitario</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Necesitamos generar un alerta temprana para plagas en el cultivo de musáceae, específicamente la identificación de la plaga Ralstonia solanacearum (raza 2), por medio de SENTINEL 2 o valorar algún otro medio.</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Es una enfermedad bacteriana más destructiva que afecta a los cultivos de banano y plátano y que está presente en Costa Rica y es necesario tener una solución de controlarla y erradicarla.</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Región Huetar Caribe</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10.309515 -83.542619 0 0</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10.309515</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-83.542619</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10.52832 -83.875227 0 0;10.34194 -83.855996 0 0;10.275735 -83.722138 0 0;10.248709 -83.623297 0 0;10.16356 -83.522458 0 0;10.133821 -83.401261 0 0;10.168967 -83.29732 0 0;10.474308 -83.555724 0 0;10.544521 -83.723386 0 0;10.52832 -83.875227 0 0</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Gobierno local; Productores / cooperativas</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Técnicos y Profesionales Fitosanitarios del MAG.</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Planes de acción más puntuales y esfuerzos más canalizados para su control y erradicación.</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Mapa; Capa geoespacial; Script; Flujo de trabajo; Dashboard / tablero; Formulario de campo; Base de datos</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Identificación de bandas por medio de las imágenes SENTINEL 2 para identificar los focos positivos de la plaga y replicarlo en otras áreas o sectores del país.</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Se espera tener una base de diferentes o posibles combinaciones de bandas para identificar dicha plaga.</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institucional</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Repositorio GitHub; Google Earth Engine App; Dashboard; Visor web; Base de datos; GeoServer u otro servidor geoespacial; API / servicio de datos</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Por ahora sería a nivel institucional.</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Utilización de otros imágenes o medio de obtener mejor precisión de identificación de la plaga.</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Sentinel-1 / radar SAR; Sentinel-2 / óptico; Copernicus Land Monitoring Service; Productos de vegetación; Agua / humedad / humedales; Datos de campo; Límites locales / institucionales</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Datos propios del monitoreo de la plaga presente por medio de la geolocalización de la plaga.</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Qué imagen de SENTINEL es factible identificar el comportamiento de esta plaga.</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MAPA_MOKO_2022_NACIONAL-11_22_47.pdf</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https://eu.kobotoolbox.org/api/v2/assets/an3xy6gcKXjXsCTiy6cxiK/data/784244670/attachments/attfdhDcorBWaGpnfVeB2MX9/</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Comparación entre fechas; Índices de vegetación; Radar / SAR; Clasificación de cobertura / uso del suelo; Detección de cambios; Series temporales; Métricas de paisaje / conectividad; Análisis de riesgo; Validación de campo; Integración con bases de datos; Visualización / tablero</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Con base a los puntos de referencia de la identificación de los puntos positivos de la plaga, buscar las imágenes en SENTINEL, revisar los diferentes índices de vegetación, validar en campo, generar la capa shp.</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Probar todos los índices de vegetación, Google Earth Engine, QGIS.</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mensual</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Por donde iniciar en hacer las diferentes pruebas de las imágenes y de los índices de vegetación.</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Alcance y producto mínimo viable; Metodología y análisis geoespacial; Validación y control de calidad; Despliegue digital</w:t>
            </w:r>
          </w:p>
        </w:tc>
      </w:tr>
      <w:tr>
        <w:tc>
          <w:tcPr>
            <w:tcW w:type="dxa" w:w="1850"/>
            <w:vAlign w:val="top"/>
            <w:shd w:fill="EAF2F8"/>
          </w:tcPr>
          <w:p>
            <w:pPr>
              <w:spacing w:after="0" w:before="0"/>
            </w:pPr>
            <w:r>
              <w:rPr>
                <w:rFonts w:ascii="Arial" w:hAnsi="Arial"/>
                <w:b/>
                <w:sz w:val="17"/>
              </w:rPr>
              <w:t>Preguntas sobre alcance</w:t>
            </w:r>
          </w:p>
        </w:tc>
        <w:tc>
          <w:tcPr>
            <w:tcW w:type="dxa" w:w="7250"/>
            <w:vAlign w:val="top"/>
          </w:tcPr>
          <w:p>
            <w:pPr>
              <w:spacing w:after="0" w:before="0"/>
            </w:pPr>
            <w:r>
              <w:rPr>
                <w:rFonts w:ascii="Arial" w:hAnsi="Arial"/>
                <w:sz w:val="17"/>
              </w:rPr>
              <w:t>Si por medio de las imágenes SENTINEL es posible generar la identificación de la plaga.</w:t>
            </w:r>
          </w:p>
        </w:tc>
      </w:tr>
      <w:tr>
        <w:tc>
          <w:tcPr>
            <w:tcW w:type="dxa" w:w="1850"/>
            <w:vAlign w:val="top"/>
            <w:shd w:fill="EAF2F8"/>
          </w:tcPr>
          <w:p>
            <w:pPr>
              <w:spacing w:after="0" w:before="0"/>
            </w:pPr>
            <w:r>
              <w:rPr>
                <w:rFonts w:ascii="Arial" w:hAnsi="Arial"/>
                <w:b/>
                <w:sz w:val="17"/>
              </w:rPr>
              <w:t>Preguntas sobre metodología</w:t>
            </w:r>
          </w:p>
        </w:tc>
        <w:tc>
          <w:tcPr>
            <w:tcW w:type="dxa" w:w="7250"/>
            <w:vAlign w:val="top"/>
          </w:tcPr>
          <w:p>
            <w:pPr>
              <w:spacing w:after="0" w:before="0"/>
            </w:pPr>
            <w:r>
              <w:rPr>
                <w:rFonts w:ascii="Arial" w:hAnsi="Arial"/>
                <w:sz w:val="17"/>
              </w:rPr>
              <w:t>No tenemos ninguna metodología. Empezar de cero.</w:t>
            </w:r>
          </w:p>
        </w:tc>
      </w:tr>
      <w:tr>
        <w:tc>
          <w:tcPr>
            <w:tcW w:type="dxa" w:w="1850"/>
            <w:vAlign w:val="top"/>
            <w:shd w:fill="EAF2F8"/>
          </w:tcPr>
          <w:p>
            <w:pPr>
              <w:spacing w:after="0" w:before="0"/>
            </w:pPr>
            <w:r>
              <w:rPr>
                <w:rFonts w:ascii="Arial" w:hAnsi="Arial"/>
                <w:b/>
                <w:sz w:val="17"/>
              </w:rPr>
              <w:t>Preguntas sobre validación</w:t>
            </w:r>
          </w:p>
        </w:tc>
        <w:tc>
          <w:tcPr>
            <w:tcW w:type="dxa" w:w="7250"/>
            <w:vAlign w:val="top"/>
          </w:tcPr>
          <w:p>
            <w:pPr>
              <w:spacing w:after="0" w:before="0"/>
            </w:pPr>
            <w:r>
              <w:rPr>
                <w:rFonts w:ascii="Arial" w:hAnsi="Arial"/>
                <w:sz w:val="17"/>
              </w:rPr>
              <w:t>Cuando se logre obtener un primer acercamiento del resultado propuesto, iniciar con las respectivas validaciones, tanto campo como escritorio.</w:t>
            </w:r>
          </w:p>
        </w:tc>
      </w:tr>
      <w:tr>
        <w:tc>
          <w:tcPr>
            <w:tcW w:type="dxa" w:w="1850"/>
            <w:vAlign w:val="top"/>
            <w:shd w:fill="EAF2F8"/>
          </w:tcPr>
          <w:p>
            <w:pPr>
              <w:spacing w:after="0" w:before="0"/>
            </w:pPr>
            <w:r>
              <w:rPr>
                <w:rFonts w:ascii="Arial" w:hAnsi="Arial"/>
                <w:b/>
                <w:sz w:val="17"/>
              </w:rPr>
              <w:t>Preguntas sobre despliegue</w:t>
            </w:r>
          </w:p>
        </w:tc>
        <w:tc>
          <w:tcPr>
            <w:tcW w:type="dxa" w:w="7250"/>
            <w:vAlign w:val="top"/>
          </w:tcPr>
          <w:p>
            <w:pPr>
              <w:spacing w:after="0" w:before="0"/>
            </w:pPr>
            <w:r>
              <w:rPr>
                <w:rFonts w:ascii="Arial" w:hAnsi="Arial"/>
                <w:sz w:val="17"/>
              </w:rPr>
              <w:t>Cuál sería la mejor manera de visualizar el resultado obtenido y su divulgación hacia los técnicos fitosanitarios para su gestión pronta en el campo.</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