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328"/>
        <w:gridCol w:w="5328"/>
      </w:tblGrid>
      <w:tr>
        <w:tc>
          <w:tcPr>
            <w:tcW w:type="dxa" w:w="6200"/>
            <w:shd w:fill="002B66"/>
          </w:tcPr>
          <w:p>
            <w:pPr>
              <w:jc w:val="left"/>
            </w:pPr>
            <w:r>
              <w:rPr>
                <w:rFonts w:ascii="Arial" w:hAnsi="Arial"/>
                <w:b/>
                <w:color w:val="FFFFFF"/>
                <w:sz w:val="24"/>
              </w:rPr>
              <w:t>Ficha de documentación de solución AFOLU-Copernicus</w:t>
            </w:r>
          </w:p>
        </w:tc>
        <w:tc>
          <w:tcPr>
            <w:tcW w:type="dxa" w:w="3000"/>
            <w:shd w:fill="EAF2F8"/>
          </w:tcPr>
          <w:p>
            <w:pPr>
              <w:jc w:val="center"/>
            </w:pPr>
            <w:r>
              <w:rPr>
                <w:rFonts w:ascii="Arial" w:hAnsi="Arial"/>
                <w:b/>
                <w:color w:val="003769"/>
                <w:sz w:val="24"/>
              </w:rPr>
              <w:t>Sala 4</w:t>
            </w:r>
          </w:p>
        </w:tc>
      </w:tr>
    </w:tbl>
    <w:p/>
    <w:p>
      <w:pPr>
        <w:pStyle w:val="Title"/>
        <w:spacing w:before="0" w:after="160"/>
      </w:pPr>
      <w:r>
        <w:rPr>
          <w:rFonts w:ascii="Arial" w:hAnsi="Arial"/>
          <w:b/>
          <w:color w:val="003769"/>
          <w:sz w:val="28"/>
        </w:rPr>
        <w:t>Optimización de la estimación de cosecha de café en Guatemala.</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Proponente(s)</w:t>
            </w:r>
          </w:p>
        </w:tc>
        <w:tc>
          <w:tcPr>
            <w:tcW w:type="dxa" w:w="7250"/>
            <w:vAlign w:val="top"/>
          </w:tcPr>
          <w:p>
            <w:pPr>
              <w:spacing w:after="0" w:before="0"/>
            </w:pPr>
            <w:r>
              <w:rPr>
                <w:rFonts w:ascii="Arial" w:hAnsi="Arial"/>
                <w:sz w:val="17"/>
              </w:rPr>
              <w:t>Marco Fernando Rodríguez Barco</w:t>
            </w:r>
          </w:p>
        </w:tc>
      </w:tr>
      <w:tr>
        <w:tc>
          <w:tcPr>
            <w:tcW w:type="dxa" w:w="1850"/>
            <w:vAlign w:val="top"/>
            <w:shd w:fill="EAF2F8"/>
          </w:tcPr>
          <w:p>
            <w:pPr>
              <w:spacing w:after="0" w:before="0"/>
            </w:pPr>
            <w:r>
              <w:rPr>
                <w:rFonts w:ascii="Arial" w:hAnsi="Arial"/>
                <w:b/>
                <w:sz w:val="17"/>
              </w:rPr>
              <w:t>Institución</w:t>
            </w:r>
          </w:p>
        </w:tc>
        <w:tc>
          <w:tcPr>
            <w:tcW w:type="dxa" w:w="7250"/>
            <w:vAlign w:val="top"/>
          </w:tcPr>
          <w:p>
            <w:pPr>
              <w:spacing w:after="0" w:before="0"/>
            </w:pPr>
            <w:r>
              <w:rPr>
                <w:rFonts w:ascii="Arial" w:hAnsi="Arial"/>
                <w:sz w:val="17"/>
              </w:rPr>
              <w:t>ANACAFÉ</w:t>
            </w:r>
          </w:p>
        </w:tc>
      </w:tr>
      <w:tr>
        <w:tc>
          <w:tcPr>
            <w:tcW w:type="dxa" w:w="1850"/>
            <w:vAlign w:val="top"/>
            <w:shd w:fill="EAF2F8"/>
          </w:tcPr>
          <w:p>
            <w:pPr>
              <w:spacing w:after="0" w:before="0"/>
            </w:pPr>
            <w:r>
              <w:rPr>
                <w:rFonts w:ascii="Arial" w:hAnsi="Arial"/>
                <w:b/>
                <w:sz w:val="17"/>
              </w:rPr>
              <w:t>País(es)</w:t>
            </w:r>
          </w:p>
        </w:tc>
        <w:tc>
          <w:tcPr>
            <w:tcW w:type="dxa" w:w="7250"/>
            <w:vAlign w:val="top"/>
          </w:tcPr>
          <w:p>
            <w:pPr>
              <w:spacing w:after="0" w:before="0"/>
            </w:pPr>
            <w:r>
              <w:rPr>
                <w:rFonts w:ascii="Arial" w:hAnsi="Arial"/>
                <w:sz w:val="17"/>
              </w:rPr>
              <w:t>Guatemala</w:t>
            </w:r>
          </w:p>
        </w:tc>
      </w:tr>
      <w:tr>
        <w:tc>
          <w:tcPr>
            <w:tcW w:type="dxa" w:w="1850"/>
            <w:vAlign w:val="top"/>
            <w:shd w:fill="EAF2F8"/>
          </w:tcPr>
          <w:p>
            <w:pPr>
              <w:spacing w:after="0" w:before="0"/>
            </w:pPr>
            <w:r>
              <w:rPr>
                <w:rFonts w:ascii="Arial" w:hAnsi="Arial"/>
                <w:b/>
                <w:sz w:val="17"/>
              </w:rPr>
              <w:t>Correo</w:t>
            </w:r>
          </w:p>
        </w:tc>
        <w:tc>
          <w:tcPr>
            <w:tcW w:type="dxa" w:w="7250"/>
            <w:vAlign w:val="top"/>
          </w:tcPr>
          <w:p>
            <w:pPr>
              <w:spacing w:after="0" w:before="0"/>
            </w:pPr>
            <w:r>
              <w:rPr>
                <w:rFonts w:ascii="Arial" w:hAnsi="Arial"/>
                <w:sz w:val="17"/>
              </w:rPr>
              <w:t>marco.frb@anacafe.org</w:t>
            </w:r>
          </w:p>
        </w:tc>
      </w:tr>
      <w:tr>
        <w:tc>
          <w:tcPr>
            <w:tcW w:type="dxa" w:w="1850"/>
            <w:vAlign w:val="top"/>
            <w:shd w:fill="EAF2F8"/>
          </w:tcPr>
          <w:p>
            <w:pPr>
              <w:spacing w:after="0" w:before="0"/>
            </w:pPr>
            <w:r>
              <w:rPr>
                <w:rFonts w:ascii="Arial" w:hAnsi="Arial"/>
                <w:b/>
                <w:sz w:val="17"/>
              </w:rPr>
              <w:t>Grupo de trabajo</w:t>
            </w:r>
          </w:p>
        </w:tc>
        <w:tc>
          <w:tcPr>
            <w:tcW w:type="dxa" w:w="7250"/>
            <w:vAlign w:val="top"/>
          </w:tcPr>
          <w:p>
            <w:pPr>
              <w:spacing w:after="0" w:before="0"/>
            </w:pPr>
            <w:r>
              <w:rPr>
                <w:rFonts w:ascii="Arial" w:hAnsi="Arial"/>
                <w:sz w:val="17"/>
              </w:rPr>
              <w:t>Cadenas productivas, EUDR, agricultura, carbono, plataformas y despliegue digital</w:t>
            </w:r>
          </w:p>
        </w:tc>
      </w:tr>
      <w:tr>
        <w:tc>
          <w:tcPr>
            <w:tcW w:type="dxa" w:w="1850"/>
            <w:vAlign w:val="top"/>
            <w:shd w:fill="EAF2F8"/>
          </w:tcPr>
          <w:p>
            <w:pPr>
              <w:spacing w:after="0" w:before="0"/>
            </w:pPr>
            <w:r>
              <w:rPr>
                <w:rFonts w:ascii="Arial" w:hAnsi="Arial"/>
                <w:b/>
                <w:sz w:val="17"/>
              </w:rPr>
              <w:t>Sala de discusión</w:t>
            </w:r>
          </w:p>
        </w:tc>
        <w:tc>
          <w:tcPr>
            <w:tcW w:type="dxa" w:w="7250"/>
            <w:vAlign w:val="top"/>
          </w:tcPr>
          <w:p>
            <w:pPr>
              <w:spacing w:after="0" w:before="0"/>
            </w:pPr>
            <w:r>
              <w:rPr>
                <w:rFonts w:ascii="Arial" w:hAnsi="Arial"/>
                <w:sz w:val="17"/>
              </w:rPr>
              <w:t>Sala 4</w:t>
            </w:r>
          </w:p>
        </w:tc>
      </w:tr>
      <w:tr>
        <w:tc>
          <w:tcPr>
            <w:tcW w:type="dxa" w:w="1850"/>
            <w:vAlign w:val="top"/>
            <w:shd w:fill="EAF2F8"/>
          </w:tcPr>
          <w:p>
            <w:pPr>
              <w:spacing w:after="0" w:before="0"/>
            </w:pPr>
            <w:r>
              <w:rPr>
                <w:rFonts w:ascii="Arial" w:hAnsi="Arial"/>
                <w:b/>
                <w:sz w:val="17"/>
              </w:rPr>
              <w:t>Áreas temáticas declaradas</w:t>
            </w:r>
          </w:p>
        </w:tc>
        <w:tc>
          <w:tcPr>
            <w:tcW w:type="dxa" w:w="7250"/>
            <w:vAlign w:val="top"/>
          </w:tcPr>
          <w:p>
            <w:pPr>
              <w:spacing w:after="0" w:before="0"/>
            </w:pPr>
            <w:r>
              <w:rPr>
                <w:rFonts w:ascii="Arial" w:hAnsi="Arial"/>
                <w:sz w:val="17"/>
              </w:rPr>
              <w:t>Agricultura</w:t>
            </w:r>
          </w:p>
        </w:tc>
      </w:tr>
    </w:tbl>
    <w:p>
      <w:pPr>
        <w:pStyle w:val="Heading2"/>
        <w:spacing w:before="160" w:after="80"/>
      </w:pPr>
      <w:r>
        <w:rPr>
          <w:rFonts w:ascii="Arial" w:hAnsi="Arial"/>
          <w:b/>
          <w:color w:val="003769"/>
          <w:sz w:val="24"/>
        </w:rPr>
        <w:t>1. Problema que busca atender</w:t>
      </w:r>
    </w:p>
    <w:p>
      <w:pPr>
        <w:spacing w:after="120"/>
        <w:jc w:val="both"/>
      </w:pPr>
      <w:r>
        <w:rPr>
          <w:rFonts w:ascii="Arial" w:hAnsi="Arial"/>
          <w:sz w:val="19"/>
        </w:rPr>
        <w:t>Actualmente se estima la cosecha nacional con un método basado en muestreo en campo, conocimiento de experto y ciencia de datos, la precisión actual puede mejorar con datos de observación de la tierra relacionando índices de vegetación con el estado del cultivo y la productividad de los mismos.</w:t>
      </w:r>
    </w:p>
    <w:p>
      <w:pPr>
        <w:pStyle w:val="Heading2"/>
        <w:spacing w:before="160" w:after="80"/>
      </w:pPr>
      <w:r>
        <w:rPr>
          <w:rFonts w:ascii="Arial" w:hAnsi="Arial"/>
          <w:b/>
          <w:color w:val="003769"/>
          <w:sz w:val="24"/>
        </w:rPr>
        <w:t>2. Relevancia del problema</w:t>
      </w:r>
    </w:p>
    <w:p>
      <w:pPr>
        <w:spacing w:after="120"/>
        <w:jc w:val="both"/>
      </w:pPr>
      <w:r>
        <w:rPr>
          <w:rFonts w:ascii="Arial" w:hAnsi="Arial"/>
          <w:sz w:val="19"/>
        </w:rPr>
        <w:t>La estimación de la cosecha es una de las métricas mas importantes para el sector café en Guatemala, permite tener claridad de la producción nacional, estimar la productividad de las áreas, detectar oportunidades de mejora en la producción de café y tomar medidas.</w:t>
      </w:r>
    </w:p>
    <w:p>
      <w:pPr>
        <w:pStyle w:val="Heading2"/>
        <w:spacing w:before="160" w:after="80"/>
      </w:pPr>
      <w:r>
        <w:rPr>
          <w:rFonts w:ascii="Arial" w:hAnsi="Arial"/>
          <w:b/>
          <w:color w:val="003769"/>
          <w:sz w:val="24"/>
        </w:rPr>
        <w:t>3. Territorio de aplicación y ubicación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Territorio de referencia</w:t>
            </w:r>
          </w:p>
        </w:tc>
        <w:tc>
          <w:tcPr>
            <w:tcW w:type="dxa" w:w="7250"/>
            <w:vAlign w:val="top"/>
          </w:tcPr>
          <w:p>
            <w:pPr>
              <w:spacing w:after="0" w:before="0"/>
            </w:pPr>
            <w:r>
              <w:rPr>
                <w:rFonts w:ascii="Arial" w:hAnsi="Arial"/>
                <w:sz w:val="17"/>
              </w:rPr>
              <w:t>376 mil Hectáreas hectáreas de café que constituyen el 3.5% del territorio guatemalteco.</w:t>
            </w:r>
          </w:p>
        </w:tc>
      </w:tr>
      <w:tr>
        <w:tc>
          <w:tcPr>
            <w:tcW w:type="dxa" w:w="1850"/>
            <w:vAlign w:val="top"/>
            <w:shd w:fill="EAF2F8"/>
          </w:tcPr>
          <w:p>
            <w:pPr>
              <w:spacing w:after="0" w:before="0"/>
            </w:pPr>
            <w:r>
              <w:rPr>
                <w:rFonts w:ascii="Arial" w:hAnsi="Arial"/>
                <w:b/>
                <w:sz w:val="17"/>
              </w:rPr>
              <w:t>Punto aproximado</w:t>
            </w:r>
          </w:p>
        </w:tc>
        <w:tc>
          <w:tcPr>
            <w:tcW w:type="dxa" w:w="7250"/>
            <w:vAlign w:val="top"/>
          </w:tcPr>
          <w:p>
            <w:pPr>
              <w:spacing w:after="0" w:before="0"/>
            </w:pPr>
            <w:r>
              <w:rPr>
                <w:rFonts w:ascii="Arial" w:hAnsi="Arial"/>
                <w:sz w:val="17"/>
              </w:rPr>
              <w:t>14.59017 -90.518533 1500 15</w:t>
            </w:r>
          </w:p>
        </w:tc>
      </w:tr>
      <w:tr>
        <w:tc>
          <w:tcPr>
            <w:tcW w:type="dxa" w:w="1850"/>
            <w:vAlign w:val="top"/>
            <w:shd w:fill="EAF2F8"/>
          </w:tcPr>
          <w:p>
            <w:pPr>
              <w:spacing w:after="0" w:before="0"/>
            </w:pPr>
            <w:r>
              <w:rPr>
                <w:rFonts w:ascii="Arial" w:hAnsi="Arial"/>
                <w:b/>
                <w:sz w:val="17"/>
              </w:rPr>
              <w:t>Latitud</w:t>
            </w:r>
          </w:p>
        </w:tc>
        <w:tc>
          <w:tcPr>
            <w:tcW w:type="dxa" w:w="7250"/>
            <w:vAlign w:val="top"/>
          </w:tcPr>
          <w:p>
            <w:pPr>
              <w:spacing w:after="0" w:before="0"/>
            </w:pPr>
            <w:r>
              <w:rPr>
                <w:rFonts w:ascii="Arial" w:hAnsi="Arial"/>
                <w:sz w:val="17"/>
              </w:rPr>
              <w:t>14.59017</w:t>
            </w:r>
          </w:p>
        </w:tc>
      </w:tr>
      <w:tr>
        <w:tc>
          <w:tcPr>
            <w:tcW w:type="dxa" w:w="1850"/>
            <w:vAlign w:val="top"/>
            <w:shd w:fill="EAF2F8"/>
          </w:tcPr>
          <w:p>
            <w:pPr>
              <w:spacing w:after="0" w:before="0"/>
            </w:pPr>
            <w:r>
              <w:rPr>
                <w:rFonts w:ascii="Arial" w:hAnsi="Arial"/>
                <w:b/>
                <w:sz w:val="17"/>
              </w:rPr>
              <w:t>Longitud</w:t>
            </w:r>
          </w:p>
        </w:tc>
        <w:tc>
          <w:tcPr>
            <w:tcW w:type="dxa" w:w="7250"/>
            <w:vAlign w:val="top"/>
          </w:tcPr>
          <w:p>
            <w:pPr>
              <w:spacing w:after="0" w:before="0"/>
            </w:pPr>
            <w:r>
              <w:rPr>
                <w:rFonts w:ascii="Arial" w:hAnsi="Arial"/>
                <w:sz w:val="17"/>
              </w:rPr>
              <w:t>-90.518533</w:t>
            </w:r>
          </w:p>
        </w:tc>
      </w:tr>
      <w:tr>
        <w:tc>
          <w:tcPr>
            <w:tcW w:type="dxa" w:w="1850"/>
            <w:vAlign w:val="top"/>
            <w:shd w:fill="EAF2F8"/>
          </w:tcPr>
          <w:p>
            <w:pPr>
              <w:spacing w:after="0" w:before="0"/>
            </w:pPr>
            <w:r>
              <w:rPr>
                <w:rFonts w:ascii="Arial" w:hAnsi="Arial"/>
                <w:b/>
                <w:sz w:val="17"/>
              </w:rPr>
              <w:t>Polígono aproximado</w:t>
            </w:r>
          </w:p>
        </w:tc>
        <w:tc>
          <w:tcPr>
            <w:tcW w:type="dxa" w:w="7250"/>
            <w:vAlign w:val="top"/>
          </w:tcPr>
          <w:p>
            <w:pPr>
              <w:spacing w:after="0" w:before="0"/>
            </w:pPr>
            <w:r>
              <w:rPr>
                <w:rFonts w:ascii="Arial" w:hAnsi="Arial"/>
                <w:sz w:val="17"/>
              </w:rPr>
              <w:t>16.981147 -89.18063 0 0;15.948653 -89.180679 0 0;16.113375 -88.54633 0 0;15.923299 -88.216646 0 0;15.680163 -88.304578 0 0;15.016953 -89.179943 0 0;14.613352 -89.158307 0 0;13.718574 -90.191463 0 0;13.95326 -90.652987 0 0;13.95326 -91.158442 0 0;14.145098 -91.729829 0 0;14.528288 -92.25725 0 0;15.144248 -92.081329 0 0;15.335048 -92.257166 0 0;16.138705 -91.751634 0 0;16.066929 -90.439376 0 0;16.518259 -90.476813 0 0;16.897069 -90.872447 0 0;17.065187 -90.08118 0 0;16.981147 -89.18063 0 0</w:t>
            </w:r>
          </w:p>
        </w:tc>
      </w:tr>
      <w:tr>
        <w:tc>
          <w:tcPr>
            <w:tcW w:type="dxa" w:w="1850"/>
            <w:vAlign w:val="top"/>
            <w:shd w:fill="EAF2F8"/>
          </w:tcPr>
          <w:p>
            <w:pPr>
              <w:spacing w:after="0" w:before="0"/>
            </w:pPr>
            <w:r>
              <w:rPr>
                <w:rFonts w:ascii="Arial" w:hAnsi="Arial"/>
                <w:b/>
                <w:sz w:val="17"/>
              </w:rPr>
              <w:t>Cuenta con límites geoespaciales</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Archivo de límites</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URL archivo de límites</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4. Usuarios finales y decisión que se quiere apoyar</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Tipo(s) de usuario</w:t>
            </w:r>
          </w:p>
        </w:tc>
        <w:tc>
          <w:tcPr>
            <w:tcW w:type="dxa" w:w="7250"/>
            <w:vAlign w:val="top"/>
          </w:tcPr>
          <w:p>
            <w:pPr>
              <w:spacing w:after="0" w:before="0"/>
            </w:pPr>
            <w:r>
              <w:rPr>
                <w:rFonts w:ascii="Arial" w:hAnsi="Arial"/>
                <w:sz w:val="17"/>
              </w:rPr>
              <w:t>Gobierno local; Comunidad / pueblos indígenas; Organización liderada por mujeres; Productores / cooperativas; Otro; Todos los productores de café y staff de ANACAFÉ</w:t>
            </w:r>
          </w:p>
        </w:tc>
      </w:tr>
      <w:tr>
        <w:tc>
          <w:tcPr>
            <w:tcW w:type="dxa" w:w="1850"/>
            <w:vAlign w:val="top"/>
            <w:shd w:fill="EAF2F8"/>
          </w:tcPr>
          <w:p>
            <w:pPr>
              <w:spacing w:after="0" w:before="0"/>
            </w:pPr>
            <w:r>
              <w:rPr>
                <w:rFonts w:ascii="Arial" w:hAnsi="Arial"/>
                <w:b/>
                <w:sz w:val="17"/>
              </w:rPr>
              <w:t>Usuario final descrito</w:t>
            </w:r>
          </w:p>
        </w:tc>
        <w:tc>
          <w:tcPr>
            <w:tcW w:type="dxa" w:w="7250"/>
            <w:vAlign w:val="top"/>
          </w:tcPr>
          <w:p>
            <w:pPr>
              <w:spacing w:after="0" w:before="0"/>
            </w:pPr>
            <w:r>
              <w:rPr>
                <w:rFonts w:ascii="Arial" w:hAnsi="Arial"/>
                <w:sz w:val="17"/>
              </w:rPr>
              <w:t>Unidad de inteligencia de cosecha del departamento de Transferencia de tecnología de ANACAFÉ.</w:t>
            </w:r>
          </w:p>
        </w:tc>
      </w:tr>
      <w:tr>
        <w:tc>
          <w:tcPr>
            <w:tcW w:type="dxa" w:w="1850"/>
            <w:vAlign w:val="top"/>
            <w:shd w:fill="EAF2F8"/>
          </w:tcPr>
          <w:p>
            <w:pPr>
              <w:spacing w:after="0" w:before="0"/>
            </w:pPr>
            <w:r>
              <w:rPr>
                <w:rFonts w:ascii="Arial" w:hAnsi="Arial"/>
                <w:b/>
                <w:sz w:val="17"/>
              </w:rPr>
              <w:t>Decisión que busca apoyar</w:t>
            </w:r>
          </w:p>
        </w:tc>
        <w:tc>
          <w:tcPr>
            <w:tcW w:type="dxa" w:w="7250"/>
            <w:vAlign w:val="top"/>
          </w:tcPr>
          <w:p>
            <w:pPr>
              <w:spacing w:after="0" w:before="0"/>
            </w:pPr>
            <w:r>
              <w:rPr>
                <w:rFonts w:ascii="Arial" w:hAnsi="Arial"/>
                <w:sz w:val="17"/>
              </w:rPr>
              <w:t>Medidas para la optimización de la producción de café.</w:t>
            </w:r>
          </w:p>
        </w:tc>
      </w:tr>
    </w:tbl>
    <w:p>
      <w:pPr>
        <w:pStyle w:val="Heading2"/>
        <w:spacing w:before="160" w:after="80"/>
      </w:pPr>
      <w:r>
        <w:rPr>
          <w:rFonts w:ascii="Arial" w:hAnsi="Arial"/>
          <w:b/>
          <w:color w:val="003769"/>
          <w:sz w:val="24"/>
        </w:rPr>
        <w:t>5. Producto, entregable y despliegue esperado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 de entregable</w:t>
            </w:r>
          </w:p>
        </w:tc>
        <w:tc>
          <w:tcPr>
            <w:tcW w:type="dxa" w:w="7250"/>
            <w:vAlign w:val="top"/>
          </w:tcPr>
          <w:p>
            <w:pPr>
              <w:spacing w:after="0" w:before="0"/>
            </w:pPr>
            <w:r>
              <w:rPr>
                <w:rFonts w:ascii="Arial" w:hAnsi="Arial"/>
                <w:sz w:val="17"/>
              </w:rPr>
              <w:t>Mapa; Capa geoespacial; Indicador; Script; Flujo de trabajo; Reporte; Dashboard / tablero; Visor web; Aplicación; Base de datos</w:t>
            </w:r>
          </w:p>
        </w:tc>
      </w:tr>
      <w:tr>
        <w:tc>
          <w:tcPr>
            <w:tcW w:type="dxa" w:w="1850"/>
            <w:vAlign w:val="top"/>
            <w:shd w:fill="EAF2F8"/>
          </w:tcPr>
          <w:p>
            <w:pPr>
              <w:spacing w:after="0" w:before="0"/>
            </w:pPr>
            <w:r>
              <w:rPr>
                <w:rFonts w:ascii="Arial" w:hAnsi="Arial"/>
                <w:b/>
                <w:sz w:val="17"/>
              </w:rPr>
              <w:t>Descripción del producto</w:t>
            </w:r>
          </w:p>
        </w:tc>
        <w:tc>
          <w:tcPr>
            <w:tcW w:type="dxa" w:w="7250"/>
            <w:vAlign w:val="top"/>
          </w:tcPr>
          <w:p>
            <w:pPr>
              <w:spacing w:after="0" w:before="0"/>
            </w:pPr>
            <w:r>
              <w:rPr>
                <w:rFonts w:ascii="Arial" w:hAnsi="Arial"/>
                <w:sz w:val="17"/>
              </w:rPr>
              <w:t>Una aplicación web con la estimación ajustada con datos de observación de la tierra.</w:t>
              <w:br/>
              <w:t>Una herramienta para determinar la cantidad y ubicación óptimas de puntos de muestreo.</w:t>
            </w:r>
          </w:p>
        </w:tc>
      </w:tr>
      <w:tr>
        <w:tc>
          <w:tcPr>
            <w:tcW w:type="dxa" w:w="1850"/>
            <w:vAlign w:val="top"/>
            <w:shd w:fill="EAF2F8"/>
          </w:tcPr>
          <w:p>
            <w:pPr>
              <w:spacing w:after="0" w:before="0"/>
            </w:pPr>
            <w:r>
              <w:rPr>
                <w:rFonts w:ascii="Arial" w:hAnsi="Arial"/>
                <w:b/>
                <w:sz w:val="17"/>
              </w:rPr>
              <w:t>Avance esperado en la jornada presencial</w:t>
            </w:r>
          </w:p>
        </w:tc>
        <w:tc>
          <w:tcPr>
            <w:tcW w:type="dxa" w:w="7250"/>
            <w:vAlign w:val="top"/>
          </w:tcPr>
          <w:p>
            <w:pPr>
              <w:spacing w:after="0" w:before="0"/>
            </w:pPr>
            <w:r>
              <w:rPr>
                <w:rFonts w:ascii="Arial" w:hAnsi="Arial"/>
                <w:sz w:val="17"/>
              </w:rPr>
              <w:t>1. base de conocimiento de indices sobre estado de cultivo.</w:t>
              <w:br/>
              <w:t>2. Primer versión de flujo de trabajo</w:t>
              <w:br/>
              <w:t>3. Primer visor de métricas.</w:t>
            </w:r>
          </w:p>
        </w:tc>
      </w:tr>
      <w:tr>
        <w:tc>
          <w:tcPr>
            <w:tcW w:type="dxa" w:w="1850"/>
            <w:vAlign w:val="top"/>
            <w:shd w:fill="EAF2F8"/>
          </w:tcPr>
          <w:p>
            <w:pPr>
              <w:spacing w:after="0" w:before="0"/>
            </w:pPr>
            <w:r>
              <w:rPr>
                <w:rFonts w:ascii="Arial" w:hAnsi="Arial"/>
                <w:b/>
                <w:sz w:val="17"/>
              </w:rPr>
              <w:t>Nivel de acceso previsto</w:t>
            </w:r>
          </w:p>
        </w:tc>
        <w:tc>
          <w:tcPr>
            <w:tcW w:type="dxa" w:w="7250"/>
            <w:vAlign w:val="top"/>
          </w:tcPr>
          <w:p>
            <w:pPr>
              <w:spacing w:after="0" w:before="0"/>
            </w:pPr>
            <w:r>
              <w:rPr>
                <w:rFonts w:ascii="Arial" w:hAnsi="Arial"/>
                <w:sz w:val="17"/>
              </w:rPr>
              <w:t>institucional</w:t>
            </w:r>
          </w:p>
        </w:tc>
      </w:tr>
      <w:tr>
        <w:tc>
          <w:tcPr>
            <w:tcW w:type="dxa" w:w="1850"/>
            <w:vAlign w:val="top"/>
            <w:shd w:fill="EAF2F8"/>
          </w:tcPr>
          <w:p>
            <w:pPr>
              <w:spacing w:after="0" w:before="0"/>
            </w:pPr>
            <w:r>
              <w:rPr>
                <w:rFonts w:ascii="Arial" w:hAnsi="Arial"/>
                <w:b/>
                <w:sz w:val="17"/>
              </w:rPr>
              <w:t>Componentes de despliegue</w:t>
            </w:r>
          </w:p>
        </w:tc>
        <w:tc>
          <w:tcPr>
            <w:tcW w:type="dxa" w:w="7250"/>
            <w:vAlign w:val="top"/>
          </w:tcPr>
          <w:p>
            <w:pPr>
              <w:spacing w:after="0" w:before="0"/>
            </w:pPr>
            <w:r>
              <w:rPr>
                <w:rFonts w:ascii="Arial" w:hAnsi="Arial"/>
                <w:sz w:val="17"/>
              </w:rPr>
              <w:t>Repositorio GitHub; Google Earth Engine App; Dashboard; Base de datos; GeoServer u otro servidor geoespacial; API / servicio de datos; Geoportal institucional; Otro; Ecosistema de ESRI ArcGIS Enterprise</w:t>
            </w:r>
          </w:p>
        </w:tc>
      </w:tr>
      <w:tr>
        <w:tc>
          <w:tcPr>
            <w:tcW w:type="dxa" w:w="1850"/>
            <w:vAlign w:val="top"/>
            <w:shd w:fill="EAF2F8"/>
          </w:tcPr>
          <w:p>
            <w:pPr>
              <w:spacing w:after="0" w:before="0"/>
            </w:pPr>
            <w:r>
              <w:rPr>
                <w:rFonts w:ascii="Arial" w:hAnsi="Arial"/>
                <w:b/>
                <w:sz w:val="17"/>
              </w:rPr>
              <w:t>Forma de uso</w:t>
            </w:r>
          </w:p>
        </w:tc>
        <w:tc>
          <w:tcPr>
            <w:tcW w:type="dxa" w:w="7250"/>
            <w:vAlign w:val="top"/>
          </w:tcPr>
          <w:p>
            <w:pPr>
              <w:spacing w:after="0" w:before="0"/>
            </w:pPr>
            <w:r>
              <w:rPr>
                <w:rFonts w:ascii="Arial" w:hAnsi="Arial"/>
                <w:sz w:val="17"/>
              </w:rPr>
              <w:t>a travez de una aplicación experience builder o una de Google earth engine</w:t>
            </w:r>
          </w:p>
        </w:tc>
      </w:tr>
      <w:tr>
        <w:tc>
          <w:tcPr>
            <w:tcW w:type="dxa" w:w="1850"/>
            <w:vAlign w:val="top"/>
            <w:shd w:fill="EAF2F8"/>
          </w:tcPr>
          <w:p>
            <w:pPr>
              <w:spacing w:after="0" w:before="0"/>
            </w:pPr>
            <w:r>
              <w:rPr>
                <w:rFonts w:ascii="Arial" w:hAnsi="Arial"/>
                <w:b/>
                <w:sz w:val="17"/>
              </w:rPr>
              <w:t>Requiere actualización</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Descripción de actualización</w:t>
            </w:r>
          </w:p>
        </w:tc>
        <w:tc>
          <w:tcPr>
            <w:tcW w:type="dxa" w:w="7250"/>
            <w:vAlign w:val="top"/>
          </w:tcPr>
          <w:p>
            <w:pPr>
              <w:spacing w:after="0" w:before="0"/>
            </w:pPr>
            <w:r>
              <w:rPr>
                <w:rFonts w:ascii="Arial" w:hAnsi="Arial"/>
                <w:sz w:val="17"/>
              </w:rPr>
              <w:t>Entrenar el modelo con mas datos de campo, buscar mejorar el nivel de detalle de las estimaciones a nivel de unidad productiva.</w:t>
            </w:r>
          </w:p>
        </w:tc>
      </w:tr>
    </w:tbl>
    <w:p>
      <w:pPr>
        <w:pStyle w:val="Heading2"/>
        <w:spacing w:before="160" w:after="80"/>
      </w:pPr>
      <w:r>
        <w:rPr>
          <w:rFonts w:ascii="Arial" w:hAnsi="Arial"/>
          <w:b/>
          <w:color w:val="003769"/>
          <w:sz w:val="24"/>
        </w:rPr>
        <w:t>6. Datos e insumos identificados</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Datos satelitales / fuentes</w:t>
            </w:r>
          </w:p>
        </w:tc>
        <w:tc>
          <w:tcPr>
            <w:tcW w:type="dxa" w:w="7250"/>
            <w:vAlign w:val="top"/>
          </w:tcPr>
          <w:p>
            <w:pPr>
              <w:spacing w:after="0" w:before="0"/>
            </w:pPr>
            <w:r>
              <w:rPr>
                <w:rFonts w:ascii="Arial" w:hAnsi="Arial"/>
                <w:sz w:val="17"/>
              </w:rPr>
              <w:t>Sentinel-1 / radar SAR; Sentinel-2 / óptico; Copernicus Land Monitoring Service; Copernicus DEM; Productos de vegetación; Agua / humedad / humedales; Límites locales / institucionales; Otro; mapa de climatología ajustado con estaciones.</w:t>
            </w:r>
          </w:p>
        </w:tc>
      </w:tr>
      <w:tr>
        <w:tc>
          <w:tcPr>
            <w:tcW w:type="dxa" w:w="1850"/>
            <w:vAlign w:val="top"/>
            <w:shd w:fill="EAF2F8"/>
          </w:tcPr>
          <w:p>
            <w:pPr>
              <w:spacing w:after="0" w:before="0"/>
            </w:pPr>
            <w:r>
              <w:rPr>
                <w:rFonts w:ascii="Arial" w:hAnsi="Arial"/>
                <w:b/>
                <w:sz w:val="17"/>
              </w:rPr>
              <w:t>Datos disponibles</w:t>
            </w:r>
          </w:p>
        </w:tc>
        <w:tc>
          <w:tcPr>
            <w:tcW w:type="dxa" w:w="7250"/>
            <w:vAlign w:val="top"/>
          </w:tcPr>
          <w:p>
            <w:pPr>
              <w:spacing w:after="0" w:before="0"/>
            </w:pPr>
            <w:r>
              <w:rPr>
                <w:rFonts w:ascii="Arial" w:hAnsi="Arial"/>
                <w:sz w:val="17"/>
              </w:rPr>
              <w:t>Datos de muestras de campo, historico de cosecha, selección de áreas piloto, mapa de café 1:5000</w:t>
            </w:r>
          </w:p>
        </w:tc>
      </w:tr>
      <w:tr>
        <w:tc>
          <w:tcPr>
            <w:tcW w:type="dxa" w:w="1850"/>
            <w:vAlign w:val="top"/>
            <w:shd w:fill="EAF2F8"/>
          </w:tcPr>
          <w:p>
            <w:pPr>
              <w:spacing w:after="0" w:before="0"/>
            </w:pPr>
            <w:r>
              <w:rPr>
                <w:rFonts w:ascii="Arial" w:hAnsi="Arial"/>
                <w:b/>
                <w:sz w:val="17"/>
              </w:rPr>
              <w:t>Datos faltantes</w:t>
            </w:r>
          </w:p>
        </w:tc>
        <w:tc>
          <w:tcPr>
            <w:tcW w:type="dxa" w:w="7250"/>
            <w:vAlign w:val="top"/>
          </w:tcPr>
          <w:p>
            <w:pPr>
              <w:spacing w:after="0" w:before="0"/>
            </w:pPr>
            <w:r>
              <w:rPr>
                <w:rFonts w:ascii="Arial" w:hAnsi="Arial"/>
                <w:sz w:val="17"/>
              </w:rPr>
              <w:t>historico de estimación de cosecha</w:t>
            </w:r>
          </w:p>
        </w:tc>
      </w:tr>
      <w:tr>
        <w:tc>
          <w:tcPr>
            <w:tcW w:type="dxa" w:w="1850"/>
            <w:vAlign w:val="top"/>
            <w:shd w:fill="EAF2F8"/>
          </w:tcPr>
          <w:p>
            <w:pPr>
              <w:spacing w:after="0" w:before="0"/>
            </w:pPr>
            <w:r>
              <w:rPr>
                <w:rFonts w:ascii="Arial" w:hAnsi="Arial"/>
                <w:b/>
                <w:sz w:val="17"/>
              </w:rPr>
              <w:t>Documento relacionado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URL del documento</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Enlace a recurso externo</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7. Método o flujo de trabajo imaginado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Métodos posibles</w:t>
            </w:r>
          </w:p>
        </w:tc>
        <w:tc>
          <w:tcPr>
            <w:tcW w:type="dxa" w:w="7250"/>
            <w:vAlign w:val="top"/>
          </w:tcPr>
          <w:p>
            <w:pPr>
              <w:spacing w:after="0" w:before="0"/>
            </w:pPr>
            <w:r>
              <w:rPr>
                <w:rFonts w:ascii="Arial" w:hAnsi="Arial"/>
                <w:sz w:val="17"/>
              </w:rPr>
              <w:t>Comparación entre fechas; Índices de vegetación; Clasificación de cobertura / uso del suelo; Detección de cambios; Series temporales; Validación de campo; Integración con bases de datos</w:t>
            </w:r>
          </w:p>
        </w:tc>
      </w:tr>
      <w:tr>
        <w:tc>
          <w:tcPr>
            <w:tcW w:type="dxa" w:w="1850"/>
            <w:vAlign w:val="top"/>
            <w:shd w:fill="EAF2F8"/>
          </w:tcPr>
          <w:p>
            <w:pPr>
              <w:spacing w:after="0" w:before="0"/>
            </w:pPr>
            <w:r>
              <w:rPr>
                <w:rFonts w:ascii="Arial" w:hAnsi="Arial"/>
                <w:b/>
                <w:sz w:val="17"/>
              </w:rPr>
              <w:t>Flujo imaginado</w:t>
            </w:r>
          </w:p>
        </w:tc>
        <w:tc>
          <w:tcPr>
            <w:tcW w:type="dxa" w:w="7250"/>
            <w:vAlign w:val="top"/>
          </w:tcPr>
          <w:p>
            <w:pPr>
              <w:spacing w:after="0" w:before="0"/>
            </w:pPr>
            <w:r>
              <w:rPr>
                <w:rFonts w:ascii="Arial" w:hAnsi="Arial"/>
                <w:sz w:val="17"/>
              </w:rPr>
              <w:t>Analisis de datos anteriores de estimación, comparación con indices, definir el aporte de los indices, optimizar estiamción de cosecha.</w:t>
            </w:r>
          </w:p>
        </w:tc>
      </w:tr>
      <w:tr>
        <w:tc>
          <w:tcPr>
            <w:tcW w:type="dxa" w:w="1850"/>
            <w:vAlign w:val="top"/>
            <w:shd w:fill="EAF2F8"/>
          </w:tcPr>
          <w:p>
            <w:pPr>
              <w:spacing w:after="0" w:before="0"/>
            </w:pPr>
            <w:r>
              <w:rPr>
                <w:rFonts w:ascii="Arial" w:hAnsi="Arial"/>
                <w:b/>
                <w:sz w:val="17"/>
              </w:rPr>
              <w:t>Índices / algoritmos mencionados</w:t>
            </w:r>
          </w:p>
        </w:tc>
        <w:tc>
          <w:tcPr>
            <w:tcW w:type="dxa" w:w="7250"/>
            <w:vAlign w:val="top"/>
          </w:tcPr>
          <w:p>
            <w:pPr>
              <w:spacing w:after="0" w:before="0"/>
            </w:pPr>
            <w:r>
              <w:rPr>
                <w:rFonts w:ascii="Arial" w:hAnsi="Arial"/>
                <w:sz w:val="17"/>
              </w:rPr>
              <w:t>No indicado</w:t>
            </w:r>
          </w:p>
        </w:tc>
      </w:tr>
      <w:tr>
        <w:tc>
          <w:tcPr>
            <w:tcW w:type="dxa" w:w="1850"/>
            <w:vAlign w:val="top"/>
            <w:shd w:fill="EAF2F8"/>
          </w:tcPr>
          <w:p>
            <w:pPr>
              <w:spacing w:after="0" w:before="0"/>
            </w:pPr>
            <w:r>
              <w:rPr>
                <w:rFonts w:ascii="Arial" w:hAnsi="Arial"/>
                <w:b/>
                <w:sz w:val="17"/>
              </w:rPr>
              <w:t>Frecuencia de actualización</w:t>
            </w:r>
          </w:p>
        </w:tc>
        <w:tc>
          <w:tcPr>
            <w:tcW w:type="dxa" w:w="7250"/>
            <w:vAlign w:val="top"/>
          </w:tcPr>
          <w:p>
            <w:pPr>
              <w:spacing w:after="0" w:before="0"/>
            </w:pPr>
            <w:r>
              <w:rPr>
                <w:rFonts w:ascii="Arial" w:hAnsi="Arial"/>
                <w:sz w:val="17"/>
              </w:rPr>
              <w:t>semestral</w:t>
            </w:r>
          </w:p>
        </w:tc>
      </w:tr>
    </w:tbl>
    <w:p>
      <w:pPr>
        <w:pStyle w:val="Heading2"/>
        <w:spacing w:before="160" w:after="80"/>
      </w:pPr>
      <w:r>
        <w:rPr>
          <w:rFonts w:ascii="Arial" w:hAnsi="Arial"/>
          <w:b/>
          <w:color w:val="003769"/>
          <w:sz w:val="24"/>
        </w:rPr>
        <w:t>8. Preguntas para la asesoría de la Sesión 6</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Pregunta principal</w:t>
            </w:r>
          </w:p>
        </w:tc>
        <w:tc>
          <w:tcPr>
            <w:tcW w:type="dxa" w:w="7250"/>
            <w:vAlign w:val="top"/>
          </w:tcPr>
          <w:p>
            <w:pPr>
              <w:spacing w:after="0" w:before="0"/>
            </w:pPr>
            <w:r>
              <w:rPr>
                <w:rFonts w:ascii="Arial" w:hAnsi="Arial"/>
                <w:sz w:val="17"/>
              </w:rPr>
              <w:t>¿Como podemos relacionar los datos de la observación de la tierra con información de campo para optimizar la estimación de cosecha que ya tenemos?</w:t>
            </w:r>
          </w:p>
        </w:tc>
      </w:tr>
      <w:tr>
        <w:tc>
          <w:tcPr>
            <w:tcW w:type="dxa" w:w="1850"/>
            <w:vAlign w:val="top"/>
            <w:shd w:fill="EAF2F8"/>
          </w:tcPr>
          <w:p>
            <w:pPr>
              <w:spacing w:after="0" w:before="0"/>
            </w:pPr>
            <w:r>
              <w:rPr>
                <w:rFonts w:ascii="Arial" w:hAnsi="Arial"/>
                <w:b/>
                <w:sz w:val="17"/>
              </w:rPr>
              <w:t>Áreas de asesoría solicitadas</w:t>
            </w:r>
          </w:p>
        </w:tc>
        <w:tc>
          <w:tcPr>
            <w:tcW w:type="dxa" w:w="7250"/>
            <w:vAlign w:val="top"/>
          </w:tcPr>
          <w:p>
            <w:pPr>
              <w:spacing w:after="0" w:before="0"/>
            </w:pPr>
            <w:r>
              <w:rPr>
                <w:rFonts w:ascii="Arial" w:hAnsi="Arial"/>
                <w:sz w:val="17"/>
              </w:rPr>
              <w:t>Alcance y producto mínimo viable; Datos e insumos; Metodología y análisis geoespacial; Validación y control de calidad; Producto esperado y visualización; Despliegue digital</w:t>
            </w:r>
          </w:p>
        </w:tc>
      </w:tr>
      <w:tr>
        <w:tc>
          <w:tcPr>
            <w:tcW w:type="dxa" w:w="1850"/>
            <w:vAlign w:val="top"/>
            <w:shd w:fill="EAF2F8"/>
          </w:tcPr>
          <w:p>
            <w:pPr>
              <w:spacing w:after="0" w:before="0"/>
            </w:pPr>
            <w:r>
              <w:rPr>
                <w:rFonts w:ascii="Arial" w:hAnsi="Arial"/>
                <w:b/>
                <w:sz w:val="17"/>
              </w:rPr>
              <w:t>Preguntas sobre alcance</w:t>
            </w:r>
          </w:p>
        </w:tc>
        <w:tc>
          <w:tcPr>
            <w:tcW w:type="dxa" w:w="7250"/>
            <w:vAlign w:val="top"/>
          </w:tcPr>
          <w:p>
            <w:pPr>
              <w:spacing w:after="0" w:before="0"/>
            </w:pPr>
            <w:r>
              <w:rPr>
                <w:rFonts w:ascii="Arial" w:hAnsi="Arial"/>
                <w:sz w:val="17"/>
              </w:rPr>
              <w:t>Podemos  agregar otros datos de referencia para aumentar la serie temporal de validación, aunque no tengan la escala y método identico a los datos de crop tour?</w:t>
            </w:r>
          </w:p>
        </w:tc>
      </w:tr>
      <w:tr>
        <w:tc>
          <w:tcPr>
            <w:tcW w:type="dxa" w:w="1850"/>
            <w:vAlign w:val="top"/>
            <w:shd w:fill="EAF2F8"/>
          </w:tcPr>
          <w:p>
            <w:pPr>
              <w:spacing w:after="0" w:before="0"/>
            </w:pPr>
            <w:r>
              <w:rPr>
                <w:rFonts w:ascii="Arial" w:hAnsi="Arial"/>
                <w:b/>
                <w:sz w:val="17"/>
              </w:rPr>
              <w:t>Preguntas sobre datos</w:t>
            </w:r>
          </w:p>
        </w:tc>
        <w:tc>
          <w:tcPr>
            <w:tcW w:type="dxa" w:w="7250"/>
            <w:vAlign w:val="top"/>
          </w:tcPr>
          <w:p>
            <w:pPr>
              <w:spacing w:after="0" w:before="0"/>
            </w:pPr>
            <w:r>
              <w:rPr>
                <w:rFonts w:ascii="Arial" w:hAnsi="Arial"/>
                <w:sz w:val="17"/>
              </w:rPr>
              <w:t>podemos correr el ejercicio a escala nacional, considerando que el área con café nacional es el 3.5% de Guatemala con un buffer llegaría a un 7%?</w:t>
            </w:r>
          </w:p>
        </w:tc>
      </w:tr>
      <w:tr>
        <w:tc>
          <w:tcPr>
            <w:tcW w:type="dxa" w:w="1850"/>
            <w:vAlign w:val="top"/>
            <w:shd w:fill="EAF2F8"/>
          </w:tcPr>
          <w:p>
            <w:pPr>
              <w:spacing w:after="0" w:before="0"/>
            </w:pPr>
            <w:r>
              <w:rPr>
                <w:rFonts w:ascii="Arial" w:hAnsi="Arial"/>
                <w:b/>
                <w:sz w:val="17"/>
              </w:rPr>
              <w:t>Preguntas sobre metodología</w:t>
            </w:r>
          </w:p>
        </w:tc>
        <w:tc>
          <w:tcPr>
            <w:tcW w:type="dxa" w:w="7250"/>
            <w:vAlign w:val="top"/>
          </w:tcPr>
          <w:p>
            <w:pPr>
              <w:spacing w:after="0" w:before="0"/>
            </w:pPr>
            <w:r>
              <w:rPr>
                <w:rFonts w:ascii="Arial" w:hAnsi="Arial"/>
                <w:sz w:val="17"/>
              </w:rPr>
              <w:t>Podríamos relacionar con algoritmos de machine learning la información de campo con datos de observación de la tierra, que indicere podrían funcionar mejor?</w:t>
            </w:r>
          </w:p>
        </w:tc>
      </w:tr>
      <w:tr>
        <w:tc>
          <w:tcPr>
            <w:tcW w:type="dxa" w:w="1850"/>
            <w:vAlign w:val="top"/>
            <w:shd w:fill="EAF2F8"/>
          </w:tcPr>
          <w:p>
            <w:pPr>
              <w:spacing w:after="0" w:before="0"/>
            </w:pPr>
            <w:r>
              <w:rPr>
                <w:rFonts w:ascii="Arial" w:hAnsi="Arial"/>
                <w:b/>
                <w:sz w:val="17"/>
              </w:rPr>
              <w:t>Preguntas sobre validación</w:t>
            </w:r>
          </w:p>
        </w:tc>
        <w:tc>
          <w:tcPr>
            <w:tcW w:type="dxa" w:w="7250"/>
            <w:vAlign w:val="top"/>
          </w:tcPr>
          <w:p>
            <w:pPr>
              <w:spacing w:after="0" w:before="0"/>
            </w:pPr>
            <w:r>
              <w:rPr>
                <w:rFonts w:ascii="Arial" w:hAnsi="Arial"/>
                <w:sz w:val="17"/>
              </w:rPr>
              <w:t>podríamos tomar muestras en una epoca diferente a los datos que tengamos para validar el modelo?</w:t>
            </w:r>
          </w:p>
        </w:tc>
      </w:tr>
      <w:tr>
        <w:tc>
          <w:tcPr>
            <w:tcW w:type="dxa" w:w="1850"/>
            <w:vAlign w:val="top"/>
            <w:shd w:fill="EAF2F8"/>
          </w:tcPr>
          <w:p>
            <w:pPr>
              <w:spacing w:after="0" w:before="0"/>
            </w:pPr>
            <w:r>
              <w:rPr>
                <w:rFonts w:ascii="Arial" w:hAnsi="Arial"/>
                <w:b/>
                <w:sz w:val="17"/>
              </w:rPr>
              <w:t>Preguntas sobre producto</w:t>
            </w:r>
          </w:p>
        </w:tc>
        <w:tc>
          <w:tcPr>
            <w:tcW w:type="dxa" w:w="7250"/>
            <w:vAlign w:val="top"/>
          </w:tcPr>
          <w:p>
            <w:pPr>
              <w:spacing w:after="0" w:before="0"/>
            </w:pPr>
            <w:r>
              <w:rPr>
                <w:rFonts w:ascii="Arial" w:hAnsi="Arial"/>
                <w:sz w:val="17"/>
              </w:rPr>
              <w:t>¿Podríamos hacer una primera visualización utilizando google earht engine y despues replicarla en Experience Builder de ESRI?</w:t>
            </w:r>
          </w:p>
        </w:tc>
      </w:tr>
      <w:tr>
        <w:tc>
          <w:tcPr>
            <w:tcW w:type="dxa" w:w="1850"/>
            <w:vAlign w:val="top"/>
            <w:shd w:fill="EAF2F8"/>
          </w:tcPr>
          <w:p>
            <w:pPr>
              <w:spacing w:after="0" w:before="0"/>
            </w:pPr>
            <w:r>
              <w:rPr>
                <w:rFonts w:ascii="Arial" w:hAnsi="Arial"/>
                <w:b/>
                <w:sz w:val="17"/>
              </w:rPr>
              <w:t>Preguntas sobre despliegue</w:t>
            </w:r>
          </w:p>
        </w:tc>
        <w:tc>
          <w:tcPr>
            <w:tcW w:type="dxa" w:w="7250"/>
            <w:vAlign w:val="top"/>
          </w:tcPr>
          <w:p>
            <w:pPr>
              <w:spacing w:after="0" w:before="0"/>
            </w:pPr>
            <w:r>
              <w:rPr>
                <w:rFonts w:ascii="Arial" w:hAnsi="Arial"/>
                <w:sz w:val="17"/>
              </w:rPr>
              <w:t>Podriamos crear un aplicativo móvil con ESRI experience builder para que los productores metan datos de su finca y les devuelva una estimación?</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Clúster Copernicus Centroamérica AFOLU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