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5328"/>
        <w:gridCol w:w="5328"/>
      </w:tblGrid>
      <w:tr>
        <w:tc>
          <w:tcPr>
            <w:tcW w:type="dxa" w:w="6200"/>
            <w:shd w:fill="002B66"/>
          </w:tcPr>
          <w:p>
            <w:pPr>
              <w:jc w:val="left"/>
            </w:pPr>
            <w:r>
              <w:rPr>
                <w:rFonts w:ascii="Arial" w:hAnsi="Arial"/>
                <w:b/>
                <w:color w:val="FFFFFF"/>
                <w:sz w:val="24"/>
              </w:rPr>
              <w:t>Ficha de documentación de solución AFOLU-Copernicus</w:t>
            </w:r>
          </w:p>
        </w:tc>
        <w:tc>
          <w:tcPr>
            <w:tcW w:type="dxa" w:w="3000"/>
            <w:shd w:fill="EAF2F8"/>
          </w:tcPr>
          <w:p>
            <w:pPr>
              <w:jc w:val="center"/>
            </w:pPr>
            <w:r>
              <w:rPr>
                <w:rFonts w:ascii="Arial" w:hAnsi="Arial"/>
                <w:b/>
                <w:color w:val="003769"/>
                <w:sz w:val="24"/>
              </w:rPr>
              <w:t>Sala 4</w:t>
            </w:r>
          </w:p>
        </w:tc>
      </w:tr>
    </w:tbl>
    <w:p/>
    <w:p>
      <w:pPr>
        <w:pStyle w:val="Title"/>
        <w:spacing w:before="0" w:after="160"/>
      </w:pPr>
      <w:r>
        <w:rPr>
          <w:rFonts w:ascii="Arial" w:hAnsi="Arial"/>
          <w:b/>
          <w:color w:val="003769"/>
          <w:sz w:val="28"/>
        </w:rPr>
        <w:t>Plataforma institucional para el seguimiento territorial de proyectos, riesgos ambientales y restauración prioritaria</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Proponente(s)</w:t>
            </w:r>
          </w:p>
        </w:tc>
        <w:tc>
          <w:tcPr>
            <w:tcW w:type="dxa" w:w="7250"/>
            <w:vAlign w:val="top"/>
          </w:tcPr>
          <w:p>
            <w:pPr>
              <w:spacing w:after="0" w:before="0"/>
            </w:pPr>
            <w:r>
              <w:rPr>
                <w:rFonts w:ascii="Arial" w:hAnsi="Arial"/>
                <w:sz w:val="17"/>
              </w:rPr>
              <w:t>Keysis Fowler y Julissa Guevara</w:t>
            </w:r>
          </w:p>
        </w:tc>
      </w:tr>
      <w:tr>
        <w:tc>
          <w:tcPr>
            <w:tcW w:type="dxa" w:w="1850"/>
            <w:vAlign w:val="top"/>
            <w:shd w:fill="EAF2F8"/>
          </w:tcPr>
          <w:p>
            <w:pPr>
              <w:spacing w:after="0" w:before="0"/>
            </w:pPr>
            <w:r>
              <w:rPr>
                <w:rFonts w:ascii="Arial" w:hAnsi="Arial"/>
                <w:b/>
                <w:sz w:val="17"/>
              </w:rPr>
              <w:t>Institución</w:t>
            </w:r>
          </w:p>
        </w:tc>
        <w:tc>
          <w:tcPr>
            <w:tcW w:type="dxa" w:w="7250"/>
            <w:vAlign w:val="top"/>
          </w:tcPr>
          <w:p>
            <w:pPr>
              <w:spacing w:after="0" w:before="0"/>
            </w:pPr>
            <w:r>
              <w:rPr>
                <w:rFonts w:ascii="Arial" w:hAnsi="Arial"/>
                <w:sz w:val="17"/>
              </w:rPr>
              <w:t>Fundación para la conservación de los recursos naturales (NATURA)</w:t>
            </w:r>
          </w:p>
        </w:tc>
      </w:tr>
      <w:tr>
        <w:tc>
          <w:tcPr>
            <w:tcW w:type="dxa" w:w="1850"/>
            <w:vAlign w:val="top"/>
            <w:shd w:fill="EAF2F8"/>
          </w:tcPr>
          <w:p>
            <w:pPr>
              <w:spacing w:after="0" w:before="0"/>
            </w:pPr>
            <w:r>
              <w:rPr>
                <w:rFonts w:ascii="Arial" w:hAnsi="Arial"/>
                <w:b/>
                <w:sz w:val="17"/>
              </w:rPr>
              <w:t>País(es)</w:t>
            </w:r>
          </w:p>
        </w:tc>
        <w:tc>
          <w:tcPr>
            <w:tcW w:type="dxa" w:w="7250"/>
            <w:vAlign w:val="top"/>
          </w:tcPr>
          <w:p>
            <w:pPr>
              <w:spacing w:after="0" w:before="0"/>
            </w:pPr>
            <w:r>
              <w:rPr>
                <w:rFonts w:ascii="Arial" w:hAnsi="Arial"/>
                <w:sz w:val="17"/>
              </w:rPr>
              <w:t>Panamá</w:t>
            </w:r>
          </w:p>
        </w:tc>
      </w:tr>
      <w:tr>
        <w:tc>
          <w:tcPr>
            <w:tcW w:type="dxa" w:w="1850"/>
            <w:vAlign w:val="top"/>
            <w:shd w:fill="EAF2F8"/>
          </w:tcPr>
          <w:p>
            <w:pPr>
              <w:spacing w:after="0" w:before="0"/>
            </w:pPr>
            <w:r>
              <w:rPr>
                <w:rFonts w:ascii="Arial" w:hAnsi="Arial"/>
                <w:b/>
                <w:sz w:val="17"/>
              </w:rPr>
              <w:t>Correo</w:t>
            </w:r>
          </w:p>
        </w:tc>
        <w:tc>
          <w:tcPr>
            <w:tcW w:type="dxa" w:w="7250"/>
            <w:vAlign w:val="top"/>
          </w:tcPr>
          <w:p>
            <w:pPr>
              <w:spacing w:after="0" w:before="0"/>
            </w:pPr>
            <w:r>
              <w:rPr>
                <w:rFonts w:ascii="Arial" w:hAnsi="Arial"/>
                <w:sz w:val="17"/>
              </w:rPr>
              <w:t>julissa.guevaravega@gmail.com</w:t>
            </w:r>
          </w:p>
        </w:tc>
      </w:tr>
      <w:tr>
        <w:tc>
          <w:tcPr>
            <w:tcW w:type="dxa" w:w="1850"/>
            <w:vAlign w:val="top"/>
            <w:shd w:fill="EAF2F8"/>
          </w:tcPr>
          <w:p>
            <w:pPr>
              <w:spacing w:after="0" w:before="0"/>
            </w:pPr>
            <w:r>
              <w:rPr>
                <w:rFonts w:ascii="Arial" w:hAnsi="Arial"/>
                <w:b/>
                <w:sz w:val="17"/>
              </w:rPr>
              <w:t>Grupo de trabajo</w:t>
            </w:r>
          </w:p>
        </w:tc>
        <w:tc>
          <w:tcPr>
            <w:tcW w:type="dxa" w:w="7250"/>
            <w:vAlign w:val="top"/>
          </w:tcPr>
          <w:p>
            <w:pPr>
              <w:spacing w:after="0" w:before="0"/>
            </w:pPr>
            <w:r>
              <w:rPr>
                <w:rFonts w:ascii="Arial" w:hAnsi="Arial"/>
                <w:sz w:val="17"/>
              </w:rPr>
              <w:t>Cadenas productivas, EUDR, agricultura, carbono, plataformas y despliegue digital</w:t>
            </w:r>
          </w:p>
        </w:tc>
      </w:tr>
      <w:tr>
        <w:tc>
          <w:tcPr>
            <w:tcW w:type="dxa" w:w="1850"/>
            <w:vAlign w:val="top"/>
            <w:shd w:fill="EAF2F8"/>
          </w:tcPr>
          <w:p>
            <w:pPr>
              <w:spacing w:after="0" w:before="0"/>
            </w:pPr>
            <w:r>
              <w:rPr>
                <w:rFonts w:ascii="Arial" w:hAnsi="Arial"/>
                <w:b/>
                <w:sz w:val="17"/>
              </w:rPr>
              <w:t>Sala de discusión</w:t>
            </w:r>
          </w:p>
        </w:tc>
        <w:tc>
          <w:tcPr>
            <w:tcW w:type="dxa" w:w="7250"/>
            <w:vAlign w:val="top"/>
          </w:tcPr>
          <w:p>
            <w:pPr>
              <w:spacing w:after="0" w:before="0"/>
            </w:pPr>
            <w:r>
              <w:rPr>
                <w:rFonts w:ascii="Arial" w:hAnsi="Arial"/>
                <w:sz w:val="17"/>
              </w:rPr>
              <w:t>Sala 4</w:t>
            </w:r>
          </w:p>
        </w:tc>
      </w:tr>
      <w:tr>
        <w:tc>
          <w:tcPr>
            <w:tcW w:type="dxa" w:w="1850"/>
            <w:vAlign w:val="top"/>
            <w:shd w:fill="EAF2F8"/>
          </w:tcPr>
          <w:p>
            <w:pPr>
              <w:spacing w:after="0" w:before="0"/>
            </w:pPr>
            <w:r>
              <w:rPr>
                <w:rFonts w:ascii="Arial" w:hAnsi="Arial"/>
                <w:b/>
                <w:sz w:val="17"/>
              </w:rPr>
              <w:t>Áreas temáticas declaradas</w:t>
            </w:r>
          </w:p>
        </w:tc>
        <w:tc>
          <w:tcPr>
            <w:tcW w:type="dxa" w:w="7250"/>
            <w:vAlign w:val="top"/>
          </w:tcPr>
          <w:p>
            <w:pPr>
              <w:spacing w:after="0" w:before="0"/>
            </w:pPr>
            <w:r>
              <w:rPr>
                <w:rFonts w:ascii="Arial" w:hAnsi="Arial"/>
                <w:sz w:val="17"/>
              </w:rPr>
              <w:t>Deforestación; Incendios forestales; Cambio de uso del suelo / cobertura; Restauración; Conectividad ecológica; Biodiversidad; Monitoreo comunitario</w:t>
            </w:r>
          </w:p>
        </w:tc>
      </w:tr>
    </w:tbl>
    <w:p>
      <w:pPr>
        <w:pStyle w:val="Heading2"/>
        <w:spacing w:before="160" w:after="80"/>
      </w:pPr>
      <w:r>
        <w:rPr>
          <w:rFonts w:ascii="Arial" w:hAnsi="Arial"/>
          <w:b/>
          <w:color w:val="003769"/>
          <w:sz w:val="24"/>
        </w:rPr>
        <w:t>1. Problema que busca atender</w:t>
      </w:r>
    </w:p>
    <w:p>
      <w:pPr>
        <w:spacing w:after="120"/>
        <w:jc w:val="both"/>
      </w:pPr>
      <w:r>
        <w:rPr>
          <w:rFonts w:ascii="Arial" w:hAnsi="Arial"/>
          <w:sz w:val="19"/>
        </w:rPr>
        <w:t>Los proyectos de conservación y restauración se desarrollan en territorios dinámicos, donde factores como los incendios forestales, los cambios en la cobertura vegetal y la fragmentación del paisaje pueden modificar las condiciones del área incluso después de implementadas las intervenciones. Sin embargo, el seguimiento de estos procesos suele depender de información almacenada en diferentes bases de datos, informes técnicos, hojas de cálculo y plataformas independientes, dificultando su consulta y análisis de manera integrada. Actualmente, la organización se encuentra fortaleciendo la gestión de su información institucional; no obstante, persiste la necesidad de incorporar herramientas que permitan vincular esta información con datos geoespaciales actualizados y fuentes de monitoreo ambiental de consulta frecuente. Esto permitiría evaluar de forma más eficiente el comportamiento de las áreas de intervención, identificar posibles amenazas y detectar zonas donde podrían requerirse acciones complementarias de restauración o seguimiento. La disponibilidad de información centralizada contribuirá a mejorar el monitoreo de los proyectos, facilitar la elaboración de reportes periódicos y disponer de criterios técnicos más sólidos para priorizar actividades de conservación, restauración y manejo del territorio.</w:t>
      </w:r>
    </w:p>
    <w:p>
      <w:pPr>
        <w:pStyle w:val="Heading2"/>
        <w:spacing w:before="160" w:after="80"/>
      </w:pPr>
      <w:r>
        <w:rPr>
          <w:rFonts w:ascii="Arial" w:hAnsi="Arial"/>
          <w:b/>
          <w:color w:val="003769"/>
          <w:sz w:val="24"/>
        </w:rPr>
        <w:t>2. Relevancia del problema</w:t>
      </w:r>
    </w:p>
    <w:p>
      <w:pPr>
        <w:spacing w:after="120"/>
        <w:jc w:val="both"/>
      </w:pPr>
      <w:r>
        <w:rPr>
          <w:rFonts w:ascii="Arial" w:hAnsi="Arial"/>
          <w:sz w:val="19"/>
        </w:rPr>
        <w:t>Este problema es relevante porque la organización gestiona múltiples proyectos de conservación, restauración y manejo sostenible en diferentes territorios, cada uno con características ambientales y necesidades de seguimiento particulares. A medida que aumenta la cantidad de información generada por estos proyectos, se vuelve más importante contar con mecanismos que permitan consolidarla, actualizarla y consultarla de forma eficiente. La falta de información oportuna y centralizada dificulta identificar cambios que puedan estar ocurriendo en las áreas de intervención, como incendios forestales, pérdida de cobertura boscosa o afectaciones en zonas de importancia para la conectividad ecológica. Asimismo, incrementa el tiempo requerido para recopilar información dispersa, elaborar reportes periódicos y evaluar el estado de los territorios donde se ejecutan las acciones de conservación y restauración. Disponer de información actualizada permitirá fortalecer el seguimiento de los proyectos, mejorar la capacidad de respuesta ante posibles amenazas y facilitar la priorización de acciones de monitoreo, conservación y restauración en función de las condiciones observadas en el territorio.</w:t>
      </w:r>
    </w:p>
    <w:p>
      <w:pPr>
        <w:pStyle w:val="Heading2"/>
        <w:spacing w:before="160" w:after="80"/>
      </w:pPr>
      <w:r>
        <w:rPr>
          <w:rFonts w:ascii="Arial" w:hAnsi="Arial"/>
          <w:b/>
          <w:color w:val="003769"/>
          <w:sz w:val="24"/>
        </w:rPr>
        <w:t>3. Territorio de aplicación y ubicación</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Territorio de referencia</w:t>
            </w:r>
          </w:p>
        </w:tc>
        <w:tc>
          <w:tcPr>
            <w:tcW w:type="dxa" w:w="7250"/>
            <w:vAlign w:val="top"/>
          </w:tcPr>
          <w:p>
            <w:pPr>
              <w:spacing w:after="0" w:before="0"/>
            </w:pPr>
            <w:r>
              <w:rPr>
                <w:rFonts w:ascii="Arial" w:hAnsi="Arial"/>
                <w:sz w:val="17"/>
              </w:rPr>
              <w:t>Cuenca Hidrográfica del Canal de Panamá</w:t>
            </w:r>
          </w:p>
        </w:tc>
      </w:tr>
      <w:tr>
        <w:tc>
          <w:tcPr>
            <w:tcW w:type="dxa" w:w="1850"/>
            <w:vAlign w:val="top"/>
            <w:shd w:fill="EAF2F8"/>
          </w:tcPr>
          <w:p>
            <w:pPr>
              <w:spacing w:after="0" w:before="0"/>
            </w:pPr>
            <w:r>
              <w:rPr>
                <w:rFonts w:ascii="Arial" w:hAnsi="Arial"/>
                <w:b/>
                <w:sz w:val="17"/>
              </w:rPr>
              <w:t>Punto aproximado</w:t>
            </w:r>
          </w:p>
        </w:tc>
        <w:tc>
          <w:tcPr>
            <w:tcW w:type="dxa" w:w="7250"/>
            <w:vAlign w:val="top"/>
          </w:tcPr>
          <w:p>
            <w:pPr>
              <w:spacing w:after="0" w:before="0"/>
            </w:pPr>
            <w:r>
              <w:rPr>
                <w:rFonts w:ascii="Arial" w:hAnsi="Arial"/>
                <w:sz w:val="17"/>
              </w:rPr>
              <w:t>8.969052 -79.952886 0 0</w:t>
            </w:r>
          </w:p>
        </w:tc>
      </w:tr>
      <w:tr>
        <w:tc>
          <w:tcPr>
            <w:tcW w:type="dxa" w:w="1850"/>
            <w:vAlign w:val="top"/>
            <w:shd w:fill="EAF2F8"/>
          </w:tcPr>
          <w:p>
            <w:pPr>
              <w:spacing w:after="0" w:before="0"/>
            </w:pPr>
            <w:r>
              <w:rPr>
                <w:rFonts w:ascii="Arial" w:hAnsi="Arial"/>
                <w:b/>
                <w:sz w:val="17"/>
              </w:rPr>
              <w:t>Latitud</w:t>
            </w:r>
          </w:p>
        </w:tc>
        <w:tc>
          <w:tcPr>
            <w:tcW w:type="dxa" w:w="7250"/>
            <w:vAlign w:val="top"/>
          </w:tcPr>
          <w:p>
            <w:pPr>
              <w:spacing w:after="0" w:before="0"/>
            </w:pPr>
            <w:r>
              <w:rPr>
                <w:rFonts w:ascii="Arial" w:hAnsi="Arial"/>
                <w:sz w:val="17"/>
              </w:rPr>
              <w:t>8.969052</w:t>
            </w:r>
          </w:p>
        </w:tc>
      </w:tr>
      <w:tr>
        <w:tc>
          <w:tcPr>
            <w:tcW w:type="dxa" w:w="1850"/>
            <w:vAlign w:val="top"/>
            <w:shd w:fill="EAF2F8"/>
          </w:tcPr>
          <w:p>
            <w:pPr>
              <w:spacing w:after="0" w:before="0"/>
            </w:pPr>
            <w:r>
              <w:rPr>
                <w:rFonts w:ascii="Arial" w:hAnsi="Arial"/>
                <w:b/>
                <w:sz w:val="17"/>
              </w:rPr>
              <w:t>Longitud</w:t>
            </w:r>
          </w:p>
        </w:tc>
        <w:tc>
          <w:tcPr>
            <w:tcW w:type="dxa" w:w="7250"/>
            <w:vAlign w:val="top"/>
          </w:tcPr>
          <w:p>
            <w:pPr>
              <w:spacing w:after="0" w:before="0"/>
            </w:pPr>
            <w:r>
              <w:rPr>
                <w:rFonts w:ascii="Arial" w:hAnsi="Arial"/>
                <w:sz w:val="17"/>
              </w:rPr>
              <w:t>-79.952886</w:t>
            </w:r>
          </w:p>
        </w:tc>
      </w:tr>
      <w:tr>
        <w:tc>
          <w:tcPr>
            <w:tcW w:type="dxa" w:w="1850"/>
            <w:vAlign w:val="top"/>
            <w:shd w:fill="EAF2F8"/>
          </w:tcPr>
          <w:p>
            <w:pPr>
              <w:spacing w:after="0" w:before="0"/>
            </w:pPr>
            <w:r>
              <w:rPr>
                <w:rFonts w:ascii="Arial" w:hAnsi="Arial"/>
                <w:b/>
                <w:sz w:val="17"/>
              </w:rPr>
              <w:t>Polígono aproximado</w:t>
            </w:r>
          </w:p>
        </w:tc>
        <w:tc>
          <w:tcPr>
            <w:tcW w:type="dxa" w:w="7250"/>
            <w:vAlign w:val="top"/>
          </w:tcPr>
          <w:p>
            <w:pPr>
              <w:spacing w:after="0" w:before="0"/>
            </w:pPr>
            <w:r>
              <w:rPr>
                <w:rFonts w:ascii="Arial" w:hAnsi="Arial"/>
                <w:sz w:val="17"/>
              </w:rPr>
              <w:t>9.089109 -80.342847 0 0;8.868792 -80.202897 0 0;8.779794 -79.919164 0 0;8.98168 -79.65029 0 0;9.166104 -79.461147 0 0;9.343962 -79.342472 0 0;9.528214 -79.38079 0 0;9.474025 -79.699569 0 0;9.089109 -80.342847 0 0</w:t>
            </w:r>
          </w:p>
        </w:tc>
      </w:tr>
      <w:tr>
        <w:tc>
          <w:tcPr>
            <w:tcW w:type="dxa" w:w="1850"/>
            <w:vAlign w:val="top"/>
            <w:shd w:fill="EAF2F8"/>
          </w:tcPr>
          <w:p>
            <w:pPr>
              <w:spacing w:after="0" w:before="0"/>
            </w:pPr>
            <w:r>
              <w:rPr>
                <w:rFonts w:ascii="Arial" w:hAnsi="Arial"/>
                <w:b/>
                <w:sz w:val="17"/>
              </w:rPr>
              <w:t>Cuenta con límites geoespaciales</w:t>
            </w:r>
          </w:p>
        </w:tc>
        <w:tc>
          <w:tcPr>
            <w:tcW w:type="dxa" w:w="7250"/>
            <w:vAlign w:val="top"/>
          </w:tcPr>
          <w:p>
            <w:pPr>
              <w:spacing w:after="0" w:before="0"/>
            </w:pPr>
            <w:r>
              <w:rPr>
                <w:rFonts w:ascii="Arial" w:hAnsi="Arial"/>
                <w:sz w:val="17"/>
              </w:rPr>
              <w:t>si</w:t>
            </w:r>
          </w:p>
        </w:tc>
      </w:tr>
      <w:tr>
        <w:tc>
          <w:tcPr>
            <w:tcW w:type="dxa" w:w="1850"/>
            <w:vAlign w:val="top"/>
            <w:shd w:fill="EAF2F8"/>
          </w:tcPr>
          <w:p>
            <w:pPr>
              <w:spacing w:after="0" w:before="0"/>
            </w:pPr>
            <w:r>
              <w:rPr>
                <w:rFonts w:ascii="Arial" w:hAnsi="Arial"/>
                <w:b/>
                <w:sz w:val="17"/>
              </w:rPr>
              <w:t>Archivo de límites</w:t>
            </w:r>
          </w:p>
        </w:tc>
        <w:tc>
          <w:tcPr>
            <w:tcW w:type="dxa" w:w="7250"/>
            <w:vAlign w:val="top"/>
          </w:tcPr>
          <w:p>
            <w:pPr>
              <w:spacing w:after="0" w:before="0"/>
            </w:pPr>
            <w:r>
              <w:rPr>
                <w:rFonts w:ascii="Arial" w:hAnsi="Arial"/>
                <w:sz w:val="17"/>
              </w:rPr>
              <w:t>Cuenca_Canal_de_Panama-16_24_1.zip</w:t>
            </w:r>
          </w:p>
        </w:tc>
      </w:tr>
      <w:tr>
        <w:tc>
          <w:tcPr>
            <w:tcW w:type="dxa" w:w="1850"/>
            <w:vAlign w:val="top"/>
            <w:shd w:fill="EAF2F8"/>
          </w:tcPr>
          <w:p>
            <w:pPr>
              <w:spacing w:after="0" w:before="0"/>
            </w:pPr>
            <w:r>
              <w:rPr>
                <w:rFonts w:ascii="Arial" w:hAnsi="Arial"/>
                <w:b/>
                <w:sz w:val="17"/>
              </w:rPr>
              <w:t>URL archivo de límites</w:t>
            </w:r>
          </w:p>
        </w:tc>
        <w:tc>
          <w:tcPr>
            <w:tcW w:type="dxa" w:w="7250"/>
            <w:vAlign w:val="top"/>
          </w:tcPr>
          <w:p>
            <w:pPr>
              <w:spacing w:after="0" w:before="0"/>
            </w:pPr>
            <w:r>
              <w:rPr>
                <w:rFonts w:ascii="Arial" w:hAnsi="Arial"/>
                <w:sz w:val="17"/>
              </w:rPr>
              <w:t>https://eu.kobotoolbox.org/api/v2/assets/an3xy6gcKXjXsCTiy6cxiK/data/784289751/attachments/attjpWzRp4oMxhnFuzDKNqy3/</w:t>
            </w:r>
          </w:p>
        </w:tc>
      </w:tr>
    </w:tbl>
    <w:p>
      <w:pPr>
        <w:pStyle w:val="Heading2"/>
        <w:spacing w:before="160" w:after="80"/>
      </w:pPr>
      <w:r>
        <w:rPr>
          <w:rFonts w:ascii="Arial" w:hAnsi="Arial"/>
          <w:b/>
          <w:color w:val="003769"/>
          <w:sz w:val="24"/>
        </w:rPr>
        <w:t>4. Usuarios finales y decisión que se quiere apoyar</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Tipo(s) de usuario</w:t>
            </w:r>
          </w:p>
        </w:tc>
        <w:tc>
          <w:tcPr>
            <w:tcW w:type="dxa" w:w="7250"/>
            <w:vAlign w:val="top"/>
          </w:tcPr>
          <w:p>
            <w:pPr>
              <w:spacing w:after="0" w:before="0"/>
            </w:pPr>
            <w:r>
              <w:rPr>
                <w:rFonts w:ascii="Arial" w:hAnsi="Arial"/>
                <w:sz w:val="17"/>
              </w:rPr>
              <w:t>ONG / organización conservacionista</w:t>
            </w:r>
          </w:p>
        </w:tc>
      </w:tr>
      <w:tr>
        <w:tc>
          <w:tcPr>
            <w:tcW w:type="dxa" w:w="1850"/>
            <w:vAlign w:val="top"/>
            <w:shd w:fill="EAF2F8"/>
          </w:tcPr>
          <w:p>
            <w:pPr>
              <w:spacing w:after="0" w:before="0"/>
            </w:pPr>
            <w:r>
              <w:rPr>
                <w:rFonts w:ascii="Arial" w:hAnsi="Arial"/>
                <w:b/>
                <w:sz w:val="17"/>
              </w:rPr>
              <w:t>Usuario final descrito</w:t>
            </w:r>
          </w:p>
        </w:tc>
        <w:tc>
          <w:tcPr>
            <w:tcW w:type="dxa" w:w="7250"/>
            <w:vAlign w:val="top"/>
          </w:tcPr>
          <w:p>
            <w:pPr>
              <w:spacing w:after="0" w:before="0"/>
            </w:pPr>
            <w:r>
              <w:rPr>
                <w:rFonts w:ascii="Arial" w:hAnsi="Arial"/>
                <w:sz w:val="17"/>
              </w:rPr>
              <w:t>Fundación NATURA</w:t>
            </w:r>
          </w:p>
        </w:tc>
      </w:tr>
      <w:tr>
        <w:tc>
          <w:tcPr>
            <w:tcW w:type="dxa" w:w="1850"/>
            <w:vAlign w:val="top"/>
            <w:shd w:fill="EAF2F8"/>
          </w:tcPr>
          <w:p>
            <w:pPr>
              <w:spacing w:after="0" w:before="0"/>
            </w:pPr>
            <w:r>
              <w:rPr>
                <w:rFonts w:ascii="Arial" w:hAnsi="Arial"/>
                <w:b/>
                <w:sz w:val="17"/>
              </w:rPr>
              <w:t>Decisión que busca apoyar</w:t>
            </w:r>
          </w:p>
        </w:tc>
        <w:tc>
          <w:tcPr>
            <w:tcW w:type="dxa" w:w="7250"/>
            <w:vAlign w:val="top"/>
          </w:tcPr>
          <w:p>
            <w:pPr>
              <w:spacing w:after="0" w:before="0"/>
            </w:pPr>
            <w:r>
              <w:rPr>
                <w:rFonts w:ascii="Arial" w:hAnsi="Arial"/>
                <w:sz w:val="17"/>
              </w:rPr>
              <w:t>Monitoreo y priorización de áreas restauradas</w:t>
            </w:r>
          </w:p>
        </w:tc>
      </w:tr>
    </w:tbl>
    <w:p>
      <w:pPr>
        <w:pStyle w:val="Heading2"/>
        <w:spacing w:before="160" w:after="80"/>
      </w:pPr>
      <w:r>
        <w:rPr>
          <w:rFonts w:ascii="Arial" w:hAnsi="Arial"/>
          <w:b/>
          <w:color w:val="003769"/>
          <w:sz w:val="24"/>
        </w:rPr>
        <w:t>5. Producto, entregable y despliegue esperado</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Tipo de entregable</w:t>
            </w:r>
          </w:p>
        </w:tc>
        <w:tc>
          <w:tcPr>
            <w:tcW w:type="dxa" w:w="7250"/>
            <w:vAlign w:val="top"/>
          </w:tcPr>
          <w:p>
            <w:pPr>
              <w:spacing w:after="0" w:before="0"/>
            </w:pPr>
            <w:r>
              <w:rPr>
                <w:rFonts w:ascii="Arial" w:hAnsi="Arial"/>
                <w:sz w:val="17"/>
              </w:rPr>
              <w:t>Mapa; Capa geoespacial; Indicador; Script; Flujo de trabajo; Reporte; Dashboard / tablero; Visor web; Aplicación; Base de datos; Repositorio técnico</w:t>
            </w:r>
          </w:p>
        </w:tc>
      </w:tr>
      <w:tr>
        <w:tc>
          <w:tcPr>
            <w:tcW w:type="dxa" w:w="1850"/>
            <w:vAlign w:val="top"/>
            <w:shd w:fill="EAF2F8"/>
          </w:tcPr>
          <w:p>
            <w:pPr>
              <w:spacing w:after="0" w:before="0"/>
            </w:pPr>
            <w:r>
              <w:rPr>
                <w:rFonts w:ascii="Arial" w:hAnsi="Arial"/>
                <w:b/>
                <w:sz w:val="17"/>
              </w:rPr>
              <w:t>Descripción del producto</w:t>
            </w:r>
          </w:p>
        </w:tc>
        <w:tc>
          <w:tcPr>
            <w:tcW w:type="dxa" w:w="7250"/>
            <w:vAlign w:val="top"/>
          </w:tcPr>
          <w:p>
            <w:pPr>
              <w:spacing w:after="0" w:before="0"/>
            </w:pPr>
            <w:r>
              <w:rPr>
                <w:rFonts w:ascii="Arial" w:hAnsi="Arial"/>
                <w:sz w:val="17"/>
              </w:rPr>
              <w:t>Una plataforma de monitoreo territorial que permita visualizar en un solo lugar las subcuencas de la Cuenca Hidrográfica del Canal de Panamá, sus áreas de intervención y el estado de los territorios donde se desarrollan proyectos de conservación y restauración. El usuario podrá consultar información geoespacial actualizada, monitorear cambios en la cobertura boscosa, visualizar alertas de incendios, identificar posibles afectaciones en corredores de conectividad ecológica y detectar áreas con potencial para acciones de restauración.</w:t>
              <w:br/>
              <w:br/>
              <w:t>Asimismo, permitirá visualizar areas de interés, gráficos e informes para el seguimiento de proyectos y la elaboración de reportes periódicos, facilitando el análisis de información ambiental y la toma de decisiones basada en evidencia. La información estará centralizada y organizada para que los equipos técnicos puedan consultar, interpretar y utilizar los datos de manera más eficiente, utilizando las subcuencas como unidad de análisis para el monitoreo territorial.</w:t>
            </w:r>
          </w:p>
        </w:tc>
      </w:tr>
      <w:tr>
        <w:tc>
          <w:tcPr>
            <w:tcW w:type="dxa" w:w="1850"/>
            <w:vAlign w:val="top"/>
            <w:shd w:fill="EAF2F8"/>
          </w:tcPr>
          <w:p>
            <w:pPr>
              <w:spacing w:after="0" w:before="0"/>
            </w:pPr>
            <w:r>
              <w:rPr>
                <w:rFonts w:ascii="Arial" w:hAnsi="Arial"/>
                <w:b/>
                <w:sz w:val="17"/>
              </w:rPr>
              <w:t>Avance esperado en la jornada presencial</w:t>
            </w:r>
          </w:p>
        </w:tc>
        <w:tc>
          <w:tcPr>
            <w:tcW w:type="dxa" w:w="7250"/>
            <w:vAlign w:val="top"/>
          </w:tcPr>
          <w:p>
            <w:pPr>
              <w:spacing w:after="0" w:before="0"/>
            </w:pPr>
            <w:r>
              <w:rPr>
                <w:rFonts w:ascii="Arial" w:hAnsi="Arial"/>
                <w:sz w:val="17"/>
              </w:rPr>
              <w:t>Se espera contar con un primer script funcional, una capa demostrativa y un visor básico que permita visualizar las subcuencas de la Cuenca Hidrográfica del Canal de Panamá junto con información territorial relevante, estableciendo la estructura inicial para la integración de indicadores ambientales y de monitoreo.</w:t>
            </w:r>
          </w:p>
        </w:tc>
      </w:tr>
      <w:tr>
        <w:tc>
          <w:tcPr>
            <w:tcW w:type="dxa" w:w="1850"/>
            <w:vAlign w:val="top"/>
            <w:shd w:fill="EAF2F8"/>
          </w:tcPr>
          <w:p>
            <w:pPr>
              <w:spacing w:after="0" w:before="0"/>
            </w:pPr>
            <w:r>
              <w:rPr>
                <w:rFonts w:ascii="Arial" w:hAnsi="Arial"/>
                <w:b/>
                <w:sz w:val="17"/>
              </w:rPr>
              <w:t>Nivel de acceso previsto</w:t>
            </w:r>
          </w:p>
        </w:tc>
        <w:tc>
          <w:tcPr>
            <w:tcW w:type="dxa" w:w="7250"/>
            <w:vAlign w:val="top"/>
          </w:tcPr>
          <w:p>
            <w:pPr>
              <w:spacing w:after="0" w:before="0"/>
            </w:pPr>
            <w:r>
              <w:rPr>
                <w:rFonts w:ascii="Arial" w:hAnsi="Arial"/>
                <w:sz w:val="17"/>
              </w:rPr>
              <w:t>institucional</w:t>
            </w:r>
          </w:p>
        </w:tc>
      </w:tr>
      <w:tr>
        <w:tc>
          <w:tcPr>
            <w:tcW w:type="dxa" w:w="1850"/>
            <w:vAlign w:val="top"/>
            <w:shd w:fill="EAF2F8"/>
          </w:tcPr>
          <w:p>
            <w:pPr>
              <w:spacing w:after="0" w:before="0"/>
            </w:pPr>
            <w:r>
              <w:rPr>
                <w:rFonts w:ascii="Arial" w:hAnsi="Arial"/>
                <w:b/>
                <w:sz w:val="17"/>
              </w:rPr>
              <w:t>Componentes de despliegue</w:t>
            </w:r>
          </w:p>
        </w:tc>
        <w:tc>
          <w:tcPr>
            <w:tcW w:type="dxa" w:w="7250"/>
            <w:vAlign w:val="top"/>
          </w:tcPr>
          <w:p>
            <w:pPr>
              <w:spacing w:after="0" w:before="0"/>
            </w:pPr>
            <w:r>
              <w:rPr>
                <w:rFonts w:ascii="Arial" w:hAnsi="Arial"/>
                <w:sz w:val="17"/>
              </w:rPr>
              <w:t>Google Earth Engine App; Dashboard; Base de datos; No estoy seguro/a</w:t>
            </w:r>
          </w:p>
        </w:tc>
      </w:tr>
      <w:tr>
        <w:tc>
          <w:tcPr>
            <w:tcW w:type="dxa" w:w="1850"/>
            <w:vAlign w:val="top"/>
            <w:shd w:fill="EAF2F8"/>
          </w:tcPr>
          <w:p>
            <w:pPr>
              <w:spacing w:after="0" w:before="0"/>
            </w:pPr>
            <w:r>
              <w:rPr>
                <w:rFonts w:ascii="Arial" w:hAnsi="Arial"/>
                <w:b/>
                <w:sz w:val="17"/>
              </w:rPr>
              <w:t>Forma de uso</w:t>
            </w:r>
          </w:p>
        </w:tc>
        <w:tc>
          <w:tcPr>
            <w:tcW w:type="dxa" w:w="7250"/>
            <w:vAlign w:val="top"/>
          </w:tcPr>
          <w:p>
            <w:pPr>
              <w:spacing w:after="0" w:before="0"/>
            </w:pPr>
            <w:r>
              <w:rPr>
                <w:rFonts w:ascii="Arial" w:hAnsi="Arial"/>
                <w:sz w:val="17"/>
              </w:rPr>
              <w:t>Se espera que la información sea consultada en línea por los equipos técnicos para el seguimiento de proyectos, el monitoreo de las subcuencas de la Cuenca Hidrográfica del Canal de Panamá y la identificación de áreas prioritarias para conservación y restauración. Los resultados podrán utilizarse durante reuniones técnicas, procesos de planificación, elaboración de informes y evaluación de intervenciones en el territorio. Asimismo, podrán servir como apoyo para la validación en campo y la toma de decisiones basada en información geoespacial actualizada.</w:t>
            </w:r>
          </w:p>
        </w:tc>
      </w:tr>
      <w:tr>
        <w:tc>
          <w:tcPr>
            <w:tcW w:type="dxa" w:w="1850"/>
            <w:vAlign w:val="top"/>
            <w:shd w:fill="EAF2F8"/>
          </w:tcPr>
          <w:p>
            <w:pPr>
              <w:spacing w:after="0" w:before="0"/>
            </w:pPr>
            <w:r>
              <w:rPr>
                <w:rFonts w:ascii="Arial" w:hAnsi="Arial"/>
                <w:b/>
                <w:sz w:val="17"/>
              </w:rPr>
              <w:t>Requiere actualización</w:t>
            </w:r>
          </w:p>
        </w:tc>
        <w:tc>
          <w:tcPr>
            <w:tcW w:type="dxa" w:w="7250"/>
            <w:vAlign w:val="top"/>
          </w:tcPr>
          <w:p>
            <w:pPr>
              <w:spacing w:after="0" w:before="0"/>
            </w:pPr>
            <w:r>
              <w:rPr>
                <w:rFonts w:ascii="Arial" w:hAnsi="Arial"/>
                <w:sz w:val="17"/>
              </w:rPr>
              <w:t>si</w:t>
            </w:r>
          </w:p>
        </w:tc>
      </w:tr>
      <w:tr>
        <w:tc>
          <w:tcPr>
            <w:tcW w:type="dxa" w:w="1850"/>
            <w:vAlign w:val="top"/>
            <w:shd w:fill="EAF2F8"/>
          </w:tcPr>
          <w:p>
            <w:pPr>
              <w:spacing w:after="0" w:before="0"/>
            </w:pPr>
            <w:r>
              <w:rPr>
                <w:rFonts w:ascii="Arial" w:hAnsi="Arial"/>
                <w:b/>
                <w:sz w:val="17"/>
              </w:rPr>
              <w:t>Descripción de actualización</w:t>
            </w:r>
          </w:p>
        </w:tc>
        <w:tc>
          <w:tcPr>
            <w:tcW w:type="dxa" w:w="7250"/>
            <w:vAlign w:val="top"/>
          </w:tcPr>
          <w:p>
            <w:pPr>
              <w:spacing w:after="0" w:before="0"/>
            </w:pPr>
            <w:r>
              <w:rPr>
                <w:rFonts w:ascii="Arial" w:hAnsi="Arial"/>
                <w:sz w:val="17"/>
              </w:rPr>
              <w:t>La actualización se realizaría de forma semiautomática. Los productos satelitales e indicadores ambientales podrían actualizarse periódicamente a partir de fuentes de datos abiertas, mientras que la información territorial e institucional se incorporaría manualmente cuando se generen nuevos datos o se requieran ajustes. Se espera realizar actualizaciones periódicas para mantener información reciente sobre cobertura boscosa, incendios y otros indicadores relevantes para el monitoreo de las subcuencas.</w:t>
            </w:r>
          </w:p>
        </w:tc>
      </w:tr>
    </w:tbl>
    <w:p>
      <w:pPr>
        <w:pStyle w:val="Heading2"/>
        <w:spacing w:before="160" w:after="80"/>
      </w:pPr>
      <w:r>
        <w:rPr>
          <w:rFonts w:ascii="Arial" w:hAnsi="Arial"/>
          <w:b/>
          <w:color w:val="003769"/>
          <w:sz w:val="24"/>
        </w:rPr>
        <w:t>6. Datos e insumos identificados</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Datos satelitales / fuentes</w:t>
            </w:r>
          </w:p>
        </w:tc>
        <w:tc>
          <w:tcPr>
            <w:tcW w:type="dxa" w:w="7250"/>
            <w:vAlign w:val="top"/>
          </w:tcPr>
          <w:p>
            <w:pPr>
              <w:spacing w:after="0" w:before="0"/>
            </w:pPr>
            <w:r>
              <w:rPr>
                <w:rFonts w:ascii="Arial" w:hAnsi="Arial"/>
                <w:sz w:val="17"/>
              </w:rPr>
              <w:t>Sentinel-2 / óptico; Copernicus Land Monitoring Service; Copernicus DEM; Productos de incendios; Productos de vegetación; Biomasa / carbono; Agua / humedad / humedales; Datos de campo; Límites locales / institucionales</w:t>
            </w:r>
          </w:p>
        </w:tc>
      </w:tr>
      <w:tr>
        <w:tc>
          <w:tcPr>
            <w:tcW w:type="dxa" w:w="1850"/>
            <w:vAlign w:val="top"/>
            <w:shd w:fill="EAF2F8"/>
          </w:tcPr>
          <w:p>
            <w:pPr>
              <w:spacing w:after="0" w:before="0"/>
            </w:pPr>
            <w:r>
              <w:rPr>
                <w:rFonts w:ascii="Arial" w:hAnsi="Arial"/>
                <w:b/>
                <w:sz w:val="17"/>
              </w:rPr>
              <w:t>Datos disponibles</w:t>
            </w:r>
          </w:p>
        </w:tc>
        <w:tc>
          <w:tcPr>
            <w:tcW w:type="dxa" w:w="7250"/>
            <w:vAlign w:val="top"/>
          </w:tcPr>
          <w:p>
            <w:pPr>
              <w:spacing w:after="0" w:before="0"/>
            </w:pPr>
            <w:r>
              <w:rPr>
                <w:rFonts w:ascii="Arial" w:hAnsi="Arial"/>
                <w:sz w:val="17"/>
              </w:rPr>
              <w:t>Se dispone de información geoespacial de la Cuenca Hidrográfica del Canal de Panamá, incluyendo los límites de la cuenca y sus subcuencas, así como capas de ríos, caminos y límites administrativos. Adicionalmente, se cuenta con la capa de corredores biológicos de Panamá elaborada por Almanaque Azul, la cual puede utilizarse para análisis de conectividad ecológica e identificación de posibles amenazas sobre áreas estratégicas para la conservación.</w:t>
            </w:r>
          </w:p>
        </w:tc>
      </w:tr>
      <w:tr>
        <w:tc>
          <w:tcPr>
            <w:tcW w:type="dxa" w:w="1850"/>
            <w:vAlign w:val="top"/>
            <w:shd w:fill="EAF2F8"/>
          </w:tcPr>
          <w:p>
            <w:pPr>
              <w:spacing w:after="0" w:before="0"/>
            </w:pPr>
            <w:r>
              <w:rPr>
                <w:rFonts w:ascii="Arial" w:hAnsi="Arial"/>
                <w:b/>
                <w:sz w:val="17"/>
              </w:rPr>
              <w:t>Datos faltantes</w:t>
            </w:r>
          </w:p>
        </w:tc>
        <w:tc>
          <w:tcPr>
            <w:tcW w:type="dxa" w:w="7250"/>
            <w:vAlign w:val="top"/>
          </w:tcPr>
          <w:p>
            <w:pPr>
              <w:spacing w:after="0" w:before="0"/>
            </w:pPr>
            <w:r>
              <w:rPr>
                <w:rFonts w:ascii="Arial" w:hAnsi="Arial"/>
                <w:sz w:val="17"/>
              </w:rPr>
              <w:t>se requiere identificar fuentes de datos actualizadas para el monitoreo de incendios, cobertura boscosa y conectividad ecológica, así como conocer metodologías y productos geoespaciales adecuados para priorizar áreas de restauración e integrar esta información con los datos territoriales disponibles.</w:t>
            </w:r>
          </w:p>
        </w:tc>
      </w:tr>
      <w:tr>
        <w:tc>
          <w:tcPr>
            <w:tcW w:type="dxa" w:w="1850"/>
            <w:vAlign w:val="top"/>
            <w:shd w:fill="EAF2F8"/>
          </w:tcPr>
          <w:p>
            <w:pPr>
              <w:spacing w:after="0" w:before="0"/>
            </w:pPr>
            <w:r>
              <w:rPr>
                <w:rFonts w:ascii="Arial" w:hAnsi="Arial"/>
                <w:b/>
                <w:sz w:val="17"/>
              </w:rPr>
              <w:t>Documento relacionado</w:t>
            </w:r>
          </w:p>
        </w:tc>
        <w:tc>
          <w:tcPr>
            <w:tcW w:type="dxa" w:w="7250"/>
            <w:vAlign w:val="top"/>
          </w:tcPr>
          <w:p>
            <w:pPr>
              <w:spacing w:after="0" w:before="0"/>
            </w:pPr>
            <w:r>
              <w:rPr>
                <w:rFonts w:ascii="Arial" w:hAnsi="Arial"/>
                <w:sz w:val="17"/>
              </w:rPr>
              <w:t>No indicado</w:t>
            </w:r>
          </w:p>
        </w:tc>
      </w:tr>
      <w:tr>
        <w:tc>
          <w:tcPr>
            <w:tcW w:type="dxa" w:w="1850"/>
            <w:vAlign w:val="top"/>
            <w:shd w:fill="EAF2F8"/>
          </w:tcPr>
          <w:p>
            <w:pPr>
              <w:spacing w:after="0" w:before="0"/>
            </w:pPr>
            <w:r>
              <w:rPr>
                <w:rFonts w:ascii="Arial" w:hAnsi="Arial"/>
                <w:b/>
                <w:sz w:val="17"/>
              </w:rPr>
              <w:t>URL del documento</w:t>
            </w:r>
          </w:p>
        </w:tc>
        <w:tc>
          <w:tcPr>
            <w:tcW w:type="dxa" w:w="7250"/>
            <w:vAlign w:val="top"/>
          </w:tcPr>
          <w:p>
            <w:pPr>
              <w:spacing w:after="0" w:before="0"/>
            </w:pPr>
            <w:r>
              <w:rPr>
                <w:rFonts w:ascii="Arial" w:hAnsi="Arial"/>
                <w:sz w:val="17"/>
              </w:rPr>
              <w:t>No indicado</w:t>
            </w:r>
          </w:p>
        </w:tc>
      </w:tr>
      <w:tr>
        <w:tc>
          <w:tcPr>
            <w:tcW w:type="dxa" w:w="1850"/>
            <w:vAlign w:val="top"/>
            <w:shd w:fill="EAF2F8"/>
          </w:tcPr>
          <w:p>
            <w:pPr>
              <w:spacing w:after="0" w:before="0"/>
            </w:pPr>
            <w:r>
              <w:rPr>
                <w:rFonts w:ascii="Arial" w:hAnsi="Arial"/>
                <w:b/>
                <w:sz w:val="17"/>
              </w:rPr>
              <w:t>Enlace a recurso externo</w:t>
            </w:r>
          </w:p>
        </w:tc>
        <w:tc>
          <w:tcPr>
            <w:tcW w:type="dxa" w:w="7250"/>
            <w:vAlign w:val="top"/>
          </w:tcPr>
          <w:p>
            <w:pPr>
              <w:spacing w:after="0" w:before="0"/>
            </w:pPr>
            <w:r>
              <w:rPr>
                <w:rFonts w:ascii="Arial" w:hAnsi="Arial"/>
                <w:sz w:val="17"/>
              </w:rPr>
              <w:t>No indicado</w:t>
            </w:r>
          </w:p>
        </w:tc>
      </w:tr>
    </w:tbl>
    <w:p>
      <w:pPr>
        <w:pStyle w:val="Heading2"/>
        <w:spacing w:before="160" w:after="80"/>
      </w:pPr>
      <w:r>
        <w:rPr>
          <w:rFonts w:ascii="Arial" w:hAnsi="Arial"/>
          <w:b/>
          <w:color w:val="003769"/>
          <w:sz w:val="24"/>
        </w:rPr>
        <w:t>7. Método o flujo de trabajo imaginado</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Métodos posibles</w:t>
            </w:r>
          </w:p>
        </w:tc>
        <w:tc>
          <w:tcPr>
            <w:tcW w:type="dxa" w:w="7250"/>
            <w:vAlign w:val="top"/>
          </w:tcPr>
          <w:p>
            <w:pPr>
              <w:spacing w:after="0" w:before="0"/>
            </w:pPr>
            <w:r>
              <w:rPr>
                <w:rFonts w:ascii="Arial" w:hAnsi="Arial"/>
                <w:sz w:val="17"/>
              </w:rPr>
              <w:t>Comparación entre fechas; Índices de vegetación; Clasificación de cobertura / uso del suelo; Detección de cambios; Series temporales; Métricas de paisaje / conectividad; Análisis de riesgo; Validación de campo; Integración con bases de datos; Visualización / tablero</w:t>
            </w:r>
          </w:p>
        </w:tc>
      </w:tr>
      <w:tr>
        <w:tc>
          <w:tcPr>
            <w:tcW w:type="dxa" w:w="1850"/>
            <w:vAlign w:val="top"/>
            <w:shd w:fill="EAF2F8"/>
          </w:tcPr>
          <w:p>
            <w:pPr>
              <w:spacing w:after="0" w:before="0"/>
            </w:pPr>
            <w:r>
              <w:rPr>
                <w:rFonts w:ascii="Arial" w:hAnsi="Arial"/>
                <w:b/>
                <w:sz w:val="17"/>
              </w:rPr>
              <w:t>Flujo imaginado</w:t>
            </w:r>
          </w:p>
        </w:tc>
        <w:tc>
          <w:tcPr>
            <w:tcW w:type="dxa" w:w="7250"/>
            <w:vAlign w:val="top"/>
          </w:tcPr>
          <w:p>
            <w:pPr>
              <w:spacing w:after="0" w:before="0"/>
            </w:pPr>
            <w:r>
              <w:rPr>
                <w:rFonts w:ascii="Arial" w:hAnsi="Arial"/>
                <w:sz w:val="17"/>
              </w:rPr>
              <w:t>Se organizará la información geoespacial disponible de la Cuenca Hidrográfica del Canal de Panamá y sus subcuencas, junto con capas de ríos, caminos, límites administrativos y corredores biológicos. Posteriormente, se utilizarán imágenes satelitales para analizar cambios en la cobertura del suelo, incendios e indicadores ambientales relevantes. Los resultados se complementarán con análisis de conectividad y priorización de áreas para conservación y restauración, integrándose finalmente en un visor para consulta, monitoreo y generación de reportes.</w:t>
            </w:r>
          </w:p>
        </w:tc>
      </w:tr>
      <w:tr>
        <w:tc>
          <w:tcPr>
            <w:tcW w:type="dxa" w:w="1850"/>
            <w:vAlign w:val="top"/>
            <w:shd w:fill="EAF2F8"/>
          </w:tcPr>
          <w:p>
            <w:pPr>
              <w:spacing w:after="0" w:before="0"/>
            </w:pPr>
            <w:r>
              <w:rPr>
                <w:rFonts w:ascii="Arial" w:hAnsi="Arial"/>
                <w:b/>
                <w:sz w:val="17"/>
              </w:rPr>
              <w:t>Índices / algoritmos mencionados</w:t>
            </w:r>
          </w:p>
        </w:tc>
        <w:tc>
          <w:tcPr>
            <w:tcW w:type="dxa" w:w="7250"/>
            <w:vAlign w:val="top"/>
          </w:tcPr>
          <w:p>
            <w:pPr>
              <w:spacing w:after="0" w:before="0"/>
            </w:pPr>
            <w:r>
              <w:rPr>
                <w:rFonts w:ascii="Arial" w:hAnsi="Arial"/>
                <w:sz w:val="17"/>
              </w:rPr>
              <w:t>NDVI, NDMI, NBR y dNBR; análisis multitemporal y detección de cambios; métricas de paisaje y conectividad ecológica; análisis de priorización espacial; y el uso de Google Earth Engine, ArcGIS Pro y QGIS para el procesamiento, análisis y visualización de datos satelitales y territoriales.</w:t>
            </w:r>
          </w:p>
        </w:tc>
      </w:tr>
      <w:tr>
        <w:tc>
          <w:tcPr>
            <w:tcW w:type="dxa" w:w="1850"/>
            <w:vAlign w:val="top"/>
            <w:shd w:fill="EAF2F8"/>
          </w:tcPr>
          <w:p>
            <w:pPr>
              <w:spacing w:after="0" w:before="0"/>
            </w:pPr>
            <w:r>
              <w:rPr>
                <w:rFonts w:ascii="Arial" w:hAnsi="Arial"/>
                <w:b/>
                <w:sz w:val="17"/>
              </w:rPr>
              <w:t>Frecuencia de actualización</w:t>
            </w:r>
          </w:p>
        </w:tc>
        <w:tc>
          <w:tcPr>
            <w:tcW w:type="dxa" w:w="7250"/>
            <w:vAlign w:val="top"/>
          </w:tcPr>
          <w:p>
            <w:pPr>
              <w:spacing w:after="0" w:before="0"/>
            </w:pPr>
            <w:r>
              <w:rPr>
                <w:rFonts w:ascii="Arial" w:hAnsi="Arial"/>
                <w:sz w:val="17"/>
              </w:rPr>
              <w:t>anual</w:t>
            </w:r>
          </w:p>
        </w:tc>
      </w:tr>
    </w:tbl>
    <w:p>
      <w:pPr>
        <w:pStyle w:val="Heading2"/>
        <w:spacing w:before="160" w:after="80"/>
      </w:pPr>
      <w:r>
        <w:rPr>
          <w:rFonts w:ascii="Arial" w:hAnsi="Arial"/>
          <w:b/>
          <w:color w:val="003769"/>
          <w:sz w:val="24"/>
        </w:rPr>
        <w:t>8. Preguntas para la asesoría de la Sesión 6</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Pregunta principal</w:t>
            </w:r>
          </w:p>
        </w:tc>
        <w:tc>
          <w:tcPr>
            <w:tcW w:type="dxa" w:w="7250"/>
            <w:vAlign w:val="top"/>
          </w:tcPr>
          <w:p>
            <w:pPr>
              <w:spacing w:after="0" w:before="0"/>
            </w:pPr>
            <w:r>
              <w:rPr>
                <w:rFonts w:ascii="Arial" w:hAnsi="Arial"/>
                <w:sz w:val="17"/>
              </w:rPr>
              <w:t>¿Qué indicadores geoespaciales generarían mayor valor para priorizar acciones de conservación y restauración a nivel de subcuenca dentro de la Cuenca Hidrográfica del Canal de Panamá?</w:t>
            </w:r>
          </w:p>
        </w:tc>
      </w:tr>
      <w:tr>
        <w:tc>
          <w:tcPr>
            <w:tcW w:type="dxa" w:w="1850"/>
            <w:vAlign w:val="top"/>
            <w:shd w:fill="EAF2F8"/>
          </w:tcPr>
          <w:p>
            <w:pPr>
              <w:spacing w:after="0" w:before="0"/>
            </w:pPr>
            <w:r>
              <w:rPr>
                <w:rFonts w:ascii="Arial" w:hAnsi="Arial"/>
                <w:b/>
                <w:sz w:val="17"/>
              </w:rPr>
              <w:t>Áreas de asesoría solicitadas</w:t>
            </w:r>
          </w:p>
        </w:tc>
        <w:tc>
          <w:tcPr>
            <w:tcW w:type="dxa" w:w="7250"/>
            <w:vAlign w:val="top"/>
          </w:tcPr>
          <w:p>
            <w:pPr>
              <w:spacing w:after="0" w:before="0"/>
            </w:pPr>
            <w:r>
              <w:rPr>
                <w:rFonts w:ascii="Arial" w:hAnsi="Arial"/>
                <w:sz w:val="17"/>
              </w:rPr>
              <w:t>Alcance y producto mínimo viable; Metodología y análisis geoespacial; Producto esperado y visualización; Despliegue digital</w:t>
            </w:r>
          </w:p>
        </w:tc>
      </w:tr>
      <w:tr>
        <w:tc>
          <w:tcPr>
            <w:tcW w:type="dxa" w:w="1850"/>
            <w:vAlign w:val="top"/>
            <w:shd w:fill="EAF2F8"/>
          </w:tcPr>
          <w:p>
            <w:pPr>
              <w:spacing w:after="0" w:before="0"/>
            </w:pPr>
            <w:r>
              <w:rPr>
                <w:rFonts w:ascii="Arial" w:hAnsi="Arial"/>
                <w:b/>
                <w:sz w:val="17"/>
              </w:rPr>
              <w:t>Preguntas sobre alcance</w:t>
            </w:r>
          </w:p>
        </w:tc>
        <w:tc>
          <w:tcPr>
            <w:tcW w:type="dxa" w:w="7250"/>
            <w:vAlign w:val="top"/>
          </w:tcPr>
          <w:p>
            <w:pPr>
              <w:spacing w:after="0" w:before="0"/>
            </w:pPr>
            <w:r>
              <w:rPr>
                <w:rFonts w:ascii="Arial" w:hAnsi="Arial"/>
                <w:sz w:val="17"/>
              </w:rPr>
              <w:t>¿Es adecuado utilizar las subcuencas de la Cuenca Hidrográfica del Canal de Panamá como unidad de análisis para el monitoreo territorial o existiría una escala más apropiada para la toma de decisiones?</w:t>
              <w:br/>
              <w:t>¿Qué alcance debería tener una primera versión para generar resultados útiles sin intentar abordar demasiados componentes al mismo tiempo?</w:t>
              <w:br/>
              <w:t>¿Cómo priorizar las subcuencas que requieren mayor atención considerando conectividad ecológica, presión antrópica, incendios y presencia de proyectos de conservación?</w:t>
            </w:r>
          </w:p>
        </w:tc>
      </w:tr>
      <w:tr>
        <w:tc>
          <w:tcPr>
            <w:tcW w:type="dxa" w:w="1850"/>
            <w:vAlign w:val="top"/>
            <w:shd w:fill="EAF2F8"/>
          </w:tcPr>
          <w:p>
            <w:pPr>
              <w:spacing w:after="0" w:before="0"/>
            </w:pPr>
            <w:r>
              <w:rPr>
                <w:rFonts w:ascii="Arial" w:hAnsi="Arial"/>
                <w:b/>
                <w:sz w:val="17"/>
              </w:rPr>
              <w:t>Preguntas sobre metodología</w:t>
            </w:r>
          </w:p>
        </w:tc>
        <w:tc>
          <w:tcPr>
            <w:tcW w:type="dxa" w:w="7250"/>
            <w:vAlign w:val="top"/>
          </w:tcPr>
          <w:p>
            <w:pPr>
              <w:spacing w:after="0" w:before="0"/>
            </w:pPr>
            <w:r>
              <w:rPr>
                <w:rFonts w:ascii="Arial" w:hAnsi="Arial"/>
                <w:sz w:val="17"/>
              </w:rPr>
              <w:t>¿Qué metodologías recomiendan para identificar áreas críticas para la conectividad ecológica dentro de la Cuenca Hidrográfica del Canal de Panamá?</w:t>
              <w:br/>
              <w:t>¿Cómo integrar información de cobertura forestal, incendios, corredores biológicos e hidrología en un análisis territorial coherente y fácil de interpretar?</w:t>
              <w:br/>
              <w:t>¿Qué métricas podrían utilizarse para evaluar cambios en la condición del paisaje a través del tiempo?</w:t>
            </w:r>
          </w:p>
        </w:tc>
      </w:tr>
      <w:tr>
        <w:tc>
          <w:tcPr>
            <w:tcW w:type="dxa" w:w="1850"/>
            <w:vAlign w:val="top"/>
            <w:shd w:fill="EAF2F8"/>
          </w:tcPr>
          <w:p>
            <w:pPr>
              <w:spacing w:after="0" w:before="0"/>
            </w:pPr>
            <w:r>
              <w:rPr>
                <w:rFonts w:ascii="Arial" w:hAnsi="Arial"/>
                <w:b/>
                <w:sz w:val="17"/>
              </w:rPr>
              <w:t>Preguntas sobre producto</w:t>
            </w:r>
          </w:p>
        </w:tc>
        <w:tc>
          <w:tcPr>
            <w:tcW w:type="dxa" w:w="7250"/>
            <w:vAlign w:val="top"/>
          </w:tcPr>
          <w:p>
            <w:pPr>
              <w:spacing w:after="0" w:before="0"/>
            </w:pPr>
            <w:r>
              <w:rPr>
                <w:rFonts w:ascii="Arial" w:hAnsi="Arial"/>
                <w:sz w:val="17"/>
              </w:rPr>
              <w:t>¿Qué indicadores y visualizaciones aportarían mayor valor para el monitoreo territorial a nivel de subcuenca?</w:t>
              <w:br/>
              <w:t>¿Cómo presentar la información para que pueda ser interpretada fácilmente por usuarios con diferentes niveles de experiencia en SIG?</w:t>
              <w:br/>
              <w:t>¿Qué elementos deberían visualizarse de forma prioritaria en una primera versión para evitar sobrecargar al usuario con demasiada información?</w:t>
              <w:br/>
              <w:t>¿Qué tipo de reportes, gráficos o resúmenes automáticos serían más útiles para apoyar reuniones técnicas y procesos de toma de decisiones?</w:t>
              <w:br/>
              <w:t>¿Cómo diseñar la visualización para que permita identificar rápidamente cambios relevantes y áreas que requieren atención prioritaria?</w:t>
            </w:r>
          </w:p>
        </w:tc>
      </w:tr>
      <w:tr>
        <w:tc>
          <w:tcPr>
            <w:tcW w:type="dxa" w:w="1850"/>
            <w:vAlign w:val="top"/>
            <w:shd w:fill="EAF2F8"/>
          </w:tcPr>
          <w:p>
            <w:pPr>
              <w:spacing w:after="0" w:before="0"/>
            </w:pPr>
            <w:r>
              <w:rPr>
                <w:rFonts w:ascii="Arial" w:hAnsi="Arial"/>
                <w:b/>
                <w:sz w:val="17"/>
              </w:rPr>
              <w:t>Preguntas sobre despliegue</w:t>
            </w:r>
          </w:p>
        </w:tc>
        <w:tc>
          <w:tcPr>
            <w:tcW w:type="dxa" w:w="7250"/>
            <w:vAlign w:val="top"/>
          </w:tcPr>
          <w:p>
            <w:pPr>
              <w:spacing w:after="0" w:before="0"/>
            </w:pPr>
            <w:r>
              <w:rPr>
                <w:rFonts w:ascii="Arial" w:hAnsi="Arial"/>
                <w:sz w:val="17"/>
              </w:rPr>
              <w:t>¿Qué componentes deberían desarrollarse primero para generar valor institucional desde una etapa temprana?</w:t>
              <w:br/>
              <w:t>¿Cómo asegurar que la información generada sea utilizada de manera continua por los equipos técnicos y no únicamente como una herramienta de consulta ocasional?</w:t>
              <w:br/>
              <w:t>¿Qué mecanismos recomiendan para garantizar la actualización y sostenibilidad de la solución una vez finalizada su fase inicial de desarrollo?</w:t>
              <w:br/>
              <w:t>¿Cómo puede integrarse la solución con futuras bases de datos institucionales, nuevos proyectos y otras iniciativas de monitoreo territorial?</w:t>
            </w:r>
          </w:p>
        </w:tc>
      </w:tr>
    </w:tbl>
    <w:sectPr w:rsidR="00FC693F" w:rsidRPr="0006063C" w:rsidSect="00034616">
      <w:footerReference w:type="default" r:id="rId9"/>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Clúster Copernicus Centroamérica AFOLU 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