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Frutiger" w:hAnsi="Frutiger"/>
          <w:b/>
          <w:bCs/>
          <w:sz w:val="48"/>
          <w:szCs w:val="48"/>
        </w:rPr>
      </w:pPr>
      <w:r>
        <w:rPr>
          <w:rFonts w:ascii="Frutiger" w:hAnsi="Frutiger"/>
          <w:b/>
          <w:bCs/>
          <w:sz w:val="48"/>
          <w:szCs w:val="48"/>
        </w:rPr>
        <w:t>Artengarten Mini-Erweiterungen</w:t>
      </w:r>
    </w:p>
    <w:p>
      <w:pPr>
        <w:pStyle w:val="Normal"/>
        <w:bidi w:val="0"/>
        <w:jc w:val="center"/>
        <w:rPr>
          <w:rFonts w:ascii="Frutiger" w:hAnsi="Frutiger"/>
          <w:b/>
          <w:bCs/>
          <w:sz w:val="40"/>
          <w:szCs w:val="40"/>
        </w:rPr>
      </w:pPr>
      <w:r>
        <w:rPr>
          <w:rFonts w:ascii="Frutiger" w:hAnsi="Frutiger"/>
          <w:b/>
          <w:bCs/>
          <w:i/>
          <w:iCs/>
          <w:sz w:val="40"/>
          <w:szCs w:val="40"/>
        </w:rPr>
        <w:t>Kompetitive Artenschutzprojekte und Auslage-Auffrisch-Joker</w:t>
      </w:r>
    </w:p>
    <w:p>
      <w:pPr>
        <w:pStyle w:val="Normal"/>
        <w:bidi w:val="0"/>
        <w:jc w:val="center"/>
        <w:rPr>
          <w:rFonts w:ascii="Frutiger" w:hAnsi="Frutiger"/>
          <w:b/>
          <w:bCs/>
          <w:i/>
          <w:i/>
          <w:iCs/>
          <w:sz w:val="40"/>
          <w:szCs w:val="40"/>
        </w:rPr>
      </w:pPr>
      <w:r>
        <w:rPr>
          <w:rFonts w:ascii="Frutiger" w:hAnsi="Frutiger"/>
          <w:b/>
          <w:bCs/>
          <w:i/>
          <w:iCs/>
          <w:sz w:val="40"/>
          <w:szCs w:val="40"/>
        </w:rPr>
      </w:r>
    </w:p>
    <w:p>
      <w:pPr>
        <w:pStyle w:val="Normal"/>
        <w:bidi w:val="0"/>
        <w:jc w:val="start"/>
        <w:rPr>
          <w:rFonts w:ascii="Frutiger" w:hAnsi="Frutiger"/>
          <w:b/>
          <w:bCs/>
          <w:i/>
          <w:i/>
          <w:iCs/>
          <w:sz w:val="24"/>
          <w:szCs w:val="24"/>
        </w:rPr>
      </w:pPr>
      <w:r>
        <w:rPr>
          <w:rFonts w:ascii="Frutiger" w:hAnsi="Frutiger"/>
          <w:b/>
          <w:bCs/>
          <w:i/>
          <w:iCs/>
          <w:sz w:val="24"/>
          <w:szCs w:val="24"/>
        </w:rPr>
        <w:t>HINWEIS: Dies ist keine offizielle Erweiterung für Artengarten!</w:t>
      </w:r>
    </w:p>
    <w:p>
      <w:pPr>
        <w:pStyle w:val="Normal"/>
        <w:bidi w:val="0"/>
        <w:jc w:val="start"/>
        <w:rPr>
          <w:rFonts w:ascii="Frutiger" w:hAnsi="Frutiger"/>
          <w:b/>
          <w:bCs/>
          <w:i w:val="false"/>
          <w:i w:val="false"/>
          <w:iCs w:val="false"/>
          <w:sz w:val="24"/>
          <w:szCs w:val="24"/>
        </w:rPr>
      </w:pPr>
      <w:r>
        <w:rPr>
          <w:rFonts w:ascii="Frutiger" w:hAnsi="Frutiger"/>
          <w:b/>
          <w:bCs/>
          <w:i w:val="false"/>
          <w:iCs w:val="false"/>
          <w:sz w:val="24"/>
          <w:szCs w:val="24"/>
        </w:rPr>
      </w:r>
    </w:p>
    <w:p>
      <w:pPr>
        <w:pStyle w:val="Normal"/>
        <w:bidi w:val="0"/>
        <w:jc w:val="start"/>
        <w:rPr>
          <w:rFonts w:ascii="Frutiger" w:hAnsi="Frutiger"/>
          <w:b/>
          <w:bCs/>
          <w:i w:val="false"/>
          <w:i w:val="false"/>
          <w:iCs w:val="false"/>
          <w:sz w:val="24"/>
          <w:szCs w:val="24"/>
        </w:rPr>
      </w:pPr>
      <w:r>
        <w:rPr>
          <w:rFonts w:ascii="Frutiger" w:hAnsi="Frutiger"/>
          <w:b/>
          <w:bCs/>
          <w:i w:val="false"/>
          <w:iCs w:val="false"/>
          <w:sz w:val="24"/>
          <w:szCs w:val="24"/>
        </w:rPr>
        <w:t>Kompetitive Artenschutzprojekte</w:t>
      </w:r>
    </w:p>
    <w:p>
      <w:pPr>
        <w:pStyle w:val="Normal"/>
        <w:bidi w:val="0"/>
        <w:jc w:val="start"/>
        <w:rPr>
          <w:rFonts w:ascii="Frutiger" w:hAnsi="Frutiger"/>
          <w:b/>
          <w:bCs/>
          <w:i w:val="false"/>
          <w:i w:val="false"/>
          <w:iCs w:val="false"/>
          <w:sz w:val="24"/>
          <w:szCs w:val="24"/>
        </w:rPr>
      </w:pPr>
      <w:r>
        <w:rPr>
          <w:rFonts w:ascii="Frutiger" w:hAnsi="Frutiger"/>
          <w:b/>
          <w:bCs/>
          <w:i w:val="false"/>
          <w:iCs w:val="false"/>
          <w:sz w:val="24"/>
          <w:szCs w:val="24"/>
        </w:rPr>
      </w:r>
    </w:p>
    <w:p>
      <w:pPr>
        <w:pStyle w:val="Normal"/>
        <w:bidi w:val="0"/>
        <w:jc w:val="start"/>
        <w:rPr>
          <w:rFonts w:ascii="Frutiger" w:hAnsi="Frutiger"/>
          <w:b/>
          <w:bCs/>
          <w:i w:val="false"/>
          <w:i w:val="false"/>
          <w:iCs w:val="false"/>
          <w:sz w:val="24"/>
          <w:szCs w:val="24"/>
        </w:rPr>
      </w:pPr>
      <w:r>
        <w:rPr>
          <w:rFonts w:ascii="Frutiger" w:hAnsi="Frutiger"/>
          <w:b w:val="false"/>
          <w:bCs w:val="false"/>
          <w:i w:val="false"/>
          <w:iCs w:val="false"/>
          <w:sz w:val="24"/>
          <w:szCs w:val="24"/>
        </w:rPr>
        <w:t>Um mit den kompetitiven Artenschutzprojekten zu spielen, lege sie zuerst auf die originale Artenschutzprojekte-Tafel, wobei du sie so ausrichtest, dass die Endspielbedingungen darunter weiterhin sichtbar bleiben. Lege anschließend fünf zufällige Naturschutzziele auf die vorgesehenen Felder. Die Regeln zum Unterstützen eines Ziels bleiben unverändert, mit einer wichtigen Anpassung: Für jedes Ziel darf nur ein Marker pro Multiplikatorwert (x2, x3, x4, x5) verwendet werden. Wenn das Feld, auf das du deinen Marker setzen möchtest, bereits belegt ist, darfst du dort keinen Marker platzieren. Wie zuvor darf jeder Spieler jedes Ziel nur einmal unterstützen.</w:t>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drawing>
          <wp:anchor behindDoc="0" distT="0" distB="0" distL="0" distR="0" simplePos="0" locked="0" layoutInCell="0" allowOverlap="1" relativeHeight="2">
            <wp:simplePos x="0" y="0"/>
            <wp:positionH relativeFrom="column">
              <wp:posOffset>17145</wp:posOffset>
            </wp:positionH>
            <wp:positionV relativeFrom="paragraph">
              <wp:posOffset>13335</wp:posOffset>
            </wp:positionV>
            <wp:extent cx="4224655" cy="3791585"/>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4224655" cy="3791585"/>
                    </a:xfrm>
                    <a:prstGeom prst="rect">
                      <a:avLst/>
                    </a:prstGeom>
                    <a:noFill/>
                  </pic:spPr>
                </pic:pic>
              </a:graphicData>
            </a:graphic>
          </wp:anchor>
        </w:drawing>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bCs/>
          <w:i w:val="false"/>
          <w:i w:val="false"/>
          <w:iCs w:val="false"/>
          <w:sz w:val="24"/>
          <w:szCs w:val="24"/>
        </w:rPr>
      </w:pPr>
      <w:r>
        <w:rPr>
          <w:rFonts w:ascii="Frutiger" w:hAnsi="Frutiger"/>
          <w:b/>
          <w:bCs/>
          <w:i w:val="false"/>
          <w:iCs w:val="false"/>
          <w:sz w:val="24"/>
          <w:szCs w:val="24"/>
        </w:rPr>
        <w:t>Auslage-Auffrisch-Joker</w:t>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t>Während des Aufbaus wird festgelegt, ob jeder Spieler einen oder zwei Joker erhält, und diese werden entsprechend verteilt. Zu Beginn des Zuges eines Spielers – genauer gesagt, bevor die erste Aktion ausgeführt wird, in der ein Plättchen aus der Auslage gezogen wird – kann er einen Joker ausgeben, um alle derzeit ausliegenden Plättchen zu entfernen und die Auslage mit neuen Plättchen aufzufrischen; danach läuft der Zug wie gewohnt weiter. Joker werden bei Verwendung dauerhaft abgelegt und können später im Spiel nicht zurückerlangt werden. Wenn Spieler mit zwei Jokern starten, dürfen sie trotzdem nur einen pro Zug verwenden.</w:t>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pPr>
      <w:hyperlink r:id="rId3">
        <w:r>
          <w:rPr>
            <w:rStyle w:val="Hyperlink"/>
            <w:rFonts w:ascii="Frutiger" w:hAnsi="Frutiger"/>
            <w:b w:val="false"/>
            <w:bCs w:val="false"/>
            <w:i w:val="false"/>
            <w:iCs w:val="false"/>
            <w:sz w:val="24"/>
            <w:szCs w:val="24"/>
          </w:rPr>
          <w:t>Auf GitHub ansehen</w:t>
        </w:r>
      </w:hyperlink>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Frutiger">
    <w:charset w:val="01" w:characterSet="utf-8"/>
    <w:family w:val="swiss"/>
    <w:pitch w:val="variable"/>
  </w:font>
</w:fonts>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https://github.com/cophilot/sanctuary-mini-expansions/tree/german" TargetMode="Externa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TotalTime>
  <Application>LibreOffice/25.2.6.2$Linux_X86_64 LibreOffice_project/520$Build-2</Application>
  <AppVersion>15.0000</AppVersion>
  <Pages>1</Pages>
  <Words>206</Words>
  <Characters>1313</Characters>
  <CharactersWithSpaces>1513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2025-11-15T13:37:57Z</dcterms:created>
  <dc:creator/>
  <dc:description/>
  <dc:language>en-US</dc:language>
  <cp:lastModifiedBy/>
  <dcterms:modified xsi:type="dcterms:W3CDTF">2025-11-17T19:18:53Z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