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Page Break Fixture</w:t>
      </w:r>
    </w:p>
    <w:p>
      <w:pPr>
        <w:pStyle w:val="Heading1"/>
      </w:pPr>
      <w:r>
        <w:t>Front Sheet</w:t>
      </w:r>
    </w:p>
    <w:p>
      <w:r>
        <w:t>This boundary fixture introduces an explicit Word-authored page break between sections so the maintained lane can prove that it still emits stable block anchors and final bundle output without pretending that pageless DOCX has trustworthy page-linked provenance.</w:t>
      </w:r>
    </w:p>
    <w:p>
      <w:r>
        <w:br w:type="page"/>
      </w:r>
    </w:p>
    <w:p>
      <w:pPr>
        <w:pStyle w:val="Heading1"/>
      </w:pPr>
      <w:r>
        <w:t>Second Sheet</w:t>
      </w:r>
    </w:p>
    <w:p>
      <w:r>
        <w:t>The section after the manual page break remains reviewable in the final DOCX bundle, but the break itself is still an observed authoring signal rather than a maintained open-original page contract.</w:t>
      </w:r>
    </w:p>
    <w:p>
      <w:pPr>
        <w:pStyle w:val="ListBullet"/>
      </w:pPr>
      <w:r>
        <w:t>Observed: final HTML and provenance artifacts still build cleanly.</w:t>
      </w:r>
    </w:p>
    <w:p>
      <w:pPr>
        <w:pStyle w:val="ListBullet"/>
      </w:pPr>
      <w:r>
        <w:t>Not yet claimed: page-level provenance derived from DOCX page breaks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