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Structured Fixture</w:t>
      </w:r>
    </w:p>
    <w:p>
      <w:pPr>
        <w:pStyle w:val="Heading1"/>
      </w:pPr>
      <w:r>
        <w:t>Household Overview</w:t>
      </w:r>
    </w:p>
    <w:p>
      <w:r>
        <w:t>This wider DOCX fixture keeps the maintained claim inside heading-based sections, longer prose blocks, simple bullet lists, and straightforward tables so the lane is measured on more than one narrow content arrangement.</w:t>
      </w:r>
    </w:p>
    <w:p>
      <w:pPr>
        <w:pStyle w:val="ListBullet"/>
      </w:pPr>
      <w:r>
        <w:t>Primary household: Ada, Lin, and June</w:t>
      </w:r>
    </w:p>
    <w:p>
      <w:pPr>
        <w:pStyle w:val="ListBullet"/>
      </w:pPr>
      <w:r>
        <w:t>Archive region: Foothills County</w:t>
      </w:r>
    </w:p>
    <w:p>
      <w:pPr>
        <w:pStyle w:val="ListBullet"/>
      </w:pPr>
      <w:r>
        <w:t>Review status: ready for maintained-lane proof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Ada</w:t>
            </w:r>
          </w:p>
        </w:tc>
        <w:tc>
          <w:tcPr>
            <w:tcW w:type="dxa" w:w="2880"/>
          </w:tcPr>
          <w:p>
            <w:r>
              <w:t>Research lead</w:t>
            </w:r>
          </w:p>
        </w:tc>
        <w:tc>
          <w:tcPr>
            <w:tcW w:type="dxa" w:w="2880"/>
          </w:tcPr>
          <w:p>
            <w:r>
              <w:t>Household interviews</w:t>
            </w:r>
          </w:p>
        </w:tc>
      </w:tr>
      <w:tr>
        <w:tc>
          <w:tcPr>
            <w:tcW w:type="dxa" w:w="2880"/>
          </w:tcPr>
          <w:p>
            <w:r>
              <w:t>Lin</w:t>
            </w:r>
          </w:p>
        </w:tc>
        <w:tc>
          <w:tcPr>
            <w:tcW w:type="dxa" w:w="2880"/>
          </w:tcPr>
          <w:p>
            <w:r>
              <w:t>Archivist</w:t>
            </w:r>
          </w:p>
        </w:tc>
        <w:tc>
          <w:tcPr>
            <w:tcW w:type="dxa" w:w="2880"/>
          </w:tcPr>
          <w:p>
            <w:r>
              <w:t>Photo indexing</w:t>
            </w:r>
          </w:p>
        </w:tc>
      </w:tr>
      <w:tr>
        <w:tc>
          <w:tcPr>
            <w:tcW w:type="dxa" w:w="2880"/>
          </w:tcPr>
          <w:p>
            <w:r>
              <w:t>June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Narrative cleanup</w:t>
            </w:r>
          </w:p>
        </w:tc>
      </w:tr>
    </w:tbl>
    <w:p>
      <w:pPr>
        <w:pStyle w:val="Heading1"/>
      </w:pPr>
      <w:r>
        <w:t>Archive Notes</w:t>
      </w:r>
    </w:p>
    <w:p>
      <w:r>
        <w:t>A second section confirms that the DOCX lane still preserves prose after a table and that block-level provenance remains stable across a different narrative shape than the original mini fixture.</w:t>
      </w:r>
    </w:p>
    <w:p>
      <w:r>
        <w:t>The maintained claim here is intentionally modest: repeated section headings, longer paragraphs, simple list items, and reviewable table HTML without invented page numbers.</w:t>
      </w:r>
    </w:p>
    <w:p>
      <w:pPr>
        <w:pStyle w:val="Heading1"/>
      </w:pPr>
      <w:r>
        <w:t>Processing Checks</w:t>
      </w:r>
    </w:p>
    <w:p>
      <w:r>
        <w:t>The final section adds a second simple table so the widened proof checks that table handling is not a one-off property of the original fixture.</w:t>
      </w:r>
    </w:p>
    <w:p>
      <w:pPr>
        <w:pStyle w:val="ListBullet"/>
      </w:pPr>
      <w:r>
        <w:t>Manifest should list three chapter entries.</w:t>
      </w:r>
    </w:p>
    <w:p>
      <w:pPr>
        <w:pStyle w:val="ListBullet"/>
      </w:pPr>
      <w:r>
        <w:t>Provenance rows should keep non-empty source element ids.</w:t>
      </w:r>
    </w:p>
    <w:p>
      <w:pPr>
        <w:pStyle w:val="ListBullet"/>
      </w:pPr>
      <w:r>
        <w:t>Final bundle should remain pageless.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Reading order</w:t>
            </w:r>
          </w:p>
        </w:tc>
        <w:tc>
          <w:tcPr>
            <w:tcW w:type="dxa" w:w="4320"/>
          </w:tcPr>
          <w:p>
            <w:r>
              <w:t>chapter-001, chapter-002, chapter-003</w:t>
            </w:r>
          </w:p>
        </w:tc>
      </w:tr>
      <w:tr>
        <w:tc>
          <w:tcPr>
            <w:tcW w:type="dxa" w:w="4320"/>
          </w:tcPr>
          <w:p>
            <w:r>
              <w:t>Source pages</w:t>
            </w:r>
          </w:p>
        </w:tc>
        <w:tc>
          <w:tcPr>
            <w:tcW w:type="dxa" w:w="4320"/>
          </w:tcPr>
          <w:p>
            <w:r>
              <w:t>[] for every entry</w:t>
            </w:r>
          </w:p>
        </w:tc>
      </w:tr>
      <w:tr>
        <w:tc>
          <w:tcPr>
            <w:tcW w:type="dxa" w:w="4320"/>
          </w:tcPr>
          <w:p>
            <w:r>
              <w:t>Provenance</w:t>
            </w:r>
          </w:p>
        </w:tc>
        <w:tc>
          <w:tcPr>
            <w:tcW w:type="dxa" w:w="4320"/>
          </w:tcPr>
          <w:p>
            <w:r>
              <w:t>block anchors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