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Mini Fixture</w:t>
      </w:r>
    </w:p>
    <w:p>
      <w:pPr>
        <w:pStyle w:val="Heading1"/>
      </w:pPr>
      <w:r>
        <w:t>Family Snapshot</w:t>
      </w:r>
    </w:p>
    <w:p>
      <w:r>
        <w:t>The DOCX fixture exercises the maintained lane on simple structured prose with heading boundaries, bullet lists, and a table.</w:t>
      </w:r>
    </w:p>
    <w:p>
      <w:pPr>
        <w:pStyle w:val="ListBullet"/>
      </w:pPr>
      <w:r>
        <w:t>Parents: Ada and Lin</w:t>
      </w:r>
    </w:p>
    <w:p>
      <w:pPr>
        <w:pStyle w:val="ListBullet"/>
      </w:pPr>
      <w:r>
        <w:t>Home region: Foothills County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Ada</w:t>
            </w:r>
          </w:p>
        </w:tc>
        <w:tc>
          <w:tcPr>
            <w:tcW w:type="dxa" w:w="4320"/>
          </w:tcPr>
          <w:p>
            <w:r>
              <w:t>Researcher</w:t>
            </w:r>
          </w:p>
        </w:tc>
      </w:tr>
      <w:tr>
        <w:tc>
          <w:tcPr>
            <w:tcW w:type="dxa" w:w="4320"/>
          </w:tcPr>
          <w:p>
            <w:r>
              <w:t>Lin</w:t>
            </w:r>
          </w:p>
        </w:tc>
        <w:tc>
          <w:tcPr>
            <w:tcW w:type="dxa" w:w="4320"/>
          </w:tcPr>
          <w:p>
            <w:r>
              <w:t>Archivist</w:t>
            </w:r>
          </w:p>
        </w:tc>
      </w:tr>
    </w:tbl>
    <w:p>
      <w:pPr>
        <w:pStyle w:val="Heading1"/>
      </w:pPr>
      <w:r>
        <w:t>Notes</w:t>
      </w:r>
    </w:p>
    <w:p>
      <w:r>
        <w:t>This second section confirms that structure resumes correctly after the table and that block-level provenance anchors survive into the final bundle.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