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Sections Fixture</w:t>
      </w:r>
    </w:p>
    <w:p>
      <w:pPr>
        <w:pStyle w:val="Heading1"/>
      </w:pPr>
      <w:r>
        <w:t>Overview</w:t>
      </w:r>
    </w:p>
    <w:p>
      <w:r>
        <w:t>A simple maintained DOCX with two top-level sections.</w:t>
      </w:r>
    </w:p>
    <w:p>
      <w:r>
        <w:t>The wider proof should keep both paragraphs inside the same section instead of inventing a new chapter boundary.</w:t>
      </w:r>
    </w:p>
    <w:p>
      <w:pPr>
        <w:pStyle w:val="Heading1"/>
      </w:pPr>
      <w:r>
        <w:t>Roster</w:t>
      </w:r>
    </w:p>
    <w:p>
      <w:r>
        <w:t>Ada keeps the records.</w:t>
      </w:r>
    </w:p>
    <w:p>
      <w:r>
        <w:t>Lin verifies the shipments.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