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sz w:val="56"/>
        </w:rPr>
      </w:pPr>
    </w:p>
    <w:p>
      <w:pPr>
        <w:pStyle w:val="BodyText"/>
        <w:jc w:val="left"/>
        <w:rPr>
          <w:sz w:val="56"/>
        </w:rPr>
      </w:pPr>
    </w:p>
    <w:p>
      <w:pPr>
        <w:pStyle w:val="BodyText"/>
        <w:jc w:val="left"/>
        <w:rPr>
          <w:sz w:val="56"/>
        </w:rPr>
      </w:pPr>
    </w:p>
    <w:p>
      <w:pPr>
        <w:pStyle w:val="BodyText"/>
        <w:jc w:val="left"/>
        <w:rPr>
          <w:sz w:val="56"/>
        </w:rPr>
      </w:pPr>
    </w:p>
    <w:p>
      <w:pPr>
        <w:pStyle w:val="BodyText"/>
        <w:jc w:val="left"/>
        <w:rPr>
          <w:sz w:val="56"/>
        </w:rPr>
      </w:pPr>
    </w:p>
    <w:p>
      <w:pPr>
        <w:pStyle w:val="BodyText"/>
        <w:jc w:val="left"/>
        <w:rPr>
          <w:sz w:val="56"/>
        </w:rPr>
      </w:pPr>
    </w:p>
    <w:p>
      <w:pPr>
        <w:pStyle w:val="BodyText"/>
        <w:spacing w:before="131"/>
        <w:jc w:val="left"/>
        <w:rPr>
          <w:sz w:val="56"/>
        </w:rPr>
      </w:pPr>
    </w:p>
    <w:p>
      <w:pPr>
        <w:pStyle w:val="Heading1"/>
      </w:pPr>
      <w:r>
        <w:rPr>
          <w:spacing w:val="-2"/>
        </w:rPr>
        <w:t>LEASE</w:t>
      </w:r>
    </w:p>
    <w:p>
      <w:pPr>
        <w:pStyle w:val="BodyText"/>
        <w:spacing w:before="176"/>
        <w:jc w:val="left"/>
        <w:rPr>
          <w:b/>
          <w:sz w:val="56"/>
        </w:rPr>
      </w:pPr>
    </w:p>
    <w:p>
      <w:pPr>
        <w:pStyle w:val="BodyText"/>
        <w:jc w:val="center"/>
      </w:pPr>
      <w:r>
        <w:rPr/>
        <w:t>relating </w:t>
      </w:r>
      <w:r>
        <w:rPr>
          <w:spacing w:val="-5"/>
        </w:rPr>
        <w:t>to</w:t>
      </w:r>
    </w:p>
    <w:p>
      <w:pPr>
        <w:pStyle w:val="BodyText"/>
        <w:spacing w:before="121"/>
        <w:jc w:val="left"/>
      </w:pPr>
    </w:p>
    <w:p>
      <w:pPr>
        <w:pStyle w:val="Heading4"/>
      </w:pPr>
      <w:r>
        <w:rPr/>
        <w:t>Floors 8-10, 100 Bishopsgate, London EC2M </w:t>
      </w:r>
      <w:r>
        <w:rPr>
          <w:spacing w:val="-5"/>
        </w:rPr>
        <w:t>1GT</w:t>
      </w:r>
    </w:p>
    <w:p>
      <w:pPr>
        <w:pStyle w:val="BodyText"/>
        <w:jc w:val="left"/>
        <w:rPr>
          <w:b/>
        </w:rPr>
      </w:pPr>
    </w:p>
    <w:p>
      <w:pPr>
        <w:pStyle w:val="BodyText"/>
        <w:jc w:val="left"/>
        <w:rPr>
          <w:b/>
        </w:rPr>
      </w:pPr>
    </w:p>
    <w:p>
      <w:pPr>
        <w:pStyle w:val="BodyText"/>
        <w:spacing w:before="68"/>
        <w:jc w:val="left"/>
        <w:rPr>
          <w:b/>
        </w:rPr>
      </w:pPr>
    </w:p>
    <w:p>
      <w:pPr>
        <w:pStyle w:val="BodyText"/>
        <w:jc w:val="center"/>
      </w:pPr>
      <w:r>
        <w:rPr>
          <w:spacing w:val="-2"/>
        </w:rPr>
        <w:t>between</w:t>
      </w:r>
    </w:p>
    <w:p>
      <w:pPr>
        <w:pStyle w:val="BodyText"/>
        <w:spacing w:before="121"/>
        <w:jc w:val="left"/>
      </w:pPr>
    </w:p>
    <w:p>
      <w:pPr>
        <w:pStyle w:val="Heading4"/>
      </w:pPr>
      <w:r>
        <w:rPr/>
        <w:t>BISHOPSGATE PROPERTY HOLDINGS </w:t>
      </w:r>
      <w:r>
        <w:rPr>
          <w:spacing w:val="-2"/>
        </w:rPr>
        <w:t>LIMITED</w:t>
      </w:r>
    </w:p>
    <w:p>
      <w:pPr>
        <w:pStyle w:val="BodyText"/>
        <w:spacing w:line="703" w:lineRule="auto" w:before="147"/>
        <w:ind w:left="3939" w:right="3937"/>
        <w:jc w:val="center"/>
      </w:pPr>
      <w:r>
        <w:rPr>
          <w:spacing w:val="-2"/>
        </w:rPr>
        <w:t>(Landlord) </w:t>
      </w:r>
      <w:r>
        <w:rPr>
          <w:spacing w:val="-4"/>
        </w:rPr>
        <w:t>and</w:t>
      </w:r>
    </w:p>
    <w:p>
      <w:pPr>
        <w:pStyle w:val="Heading4"/>
        <w:spacing w:line="251" w:lineRule="exact"/>
      </w:pPr>
      <w:r>
        <w:rPr/>
        <w:t>MERIDIAN CONSULTING GROUP </w:t>
      </w:r>
      <w:r>
        <w:rPr>
          <w:spacing w:val="-5"/>
        </w:rPr>
        <w:t>LLP</w:t>
      </w:r>
    </w:p>
    <w:p>
      <w:pPr>
        <w:pStyle w:val="BodyText"/>
        <w:spacing w:before="147"/>
        <w:jc w:val="center"/>
      </w:pPr>
      <w:r>
        <w:rPr>
          <w:spacing w:val="-2"/>
        </w:rPr>
        <w:t>(Tenant)</w:t>
      </w:r>
    </w:p>
    <w:p>
      <w:pPr>
        <w:pStyle w:val="BodyText"/>
        <w:jc w:val="left"/>
      </w:pPr>
    </w:p>
    <w:p>
      <w:pPr>
        <w:pStyle w:val="BodyText"/>
        <w:jc w:val="left"/>
      </w:pPr>
    </w:p>
    <w:p>
      <w:pPr>
        <w:pStyle w:val="BodyText"/>
        <w:jc w:val="left"/>
      </w:pPr>
    </w:p>
    <w:p>
      <w:pPr>
        <w:pStyle w:val="BodyText"/>
        <w:spacing w:before="42"/>
        <w:jc w:val="left"/>
      </w:pPr>
    </w:p>
    <w:p>
      <w:pPr>
        <w:pStyle w:val="BodyText"/>
        <w:jc w:val="center"/>
      </w:pPr>
      <w:r>
        <w:rPr/>
        <w:t>Dated 1 January </w:t>
      </w:r>
      <w:r>
        <w:rPr>
          <w:spacing w:val="-4"/>
        </w:rPr>
        <w:t>2024</w:t>
      </w:r>
    </w:p>
    <w:p>
      <w:pPr>
        <w:pStyle w:val="BodyText"/>
        <w:spacing w:after="0"/>
        <w:jc w:val="center"/>
        <w:sectPr>
          <w:headerReference w:type="default" r:id="rId5"/>
          <w:footerReference w:type="default" r:id="rId6"/>
          <w:type w:val="continuous"/>
          <w:pgSz w:w="11910" w:h="16840"/>
          <w:pgMar w:header="762" w:footer="745" w:top="1640" w:bottom="940" w:left="1417" w:right="1417"/>
          <w:pgNumType w:start="1"/>
        </w:sectPr>
      </w:pPr>
    </w:p>
    <w:p>
      <w:pPr>
        <w:pStyle w:val="BodyText"/>
        <w:spacing w:line="266" w:lineRule="auto" w:before="80"/>
        <w:ind w:left="2843" w:right="2355" w:hanging="486"/>
        <w:jc w:val="left"/>
      </w:pPr>
      <w:r>
        <w:rPr/>
        <w:t>Prepared</w:t>
      </w:r>
      <w:r>
        <w:rPr>
          <w:spacing w:val="-6"/>
        </w:rPr>
        <w:t> </w:t>
      </w:r>
      <w:r>
        <w:rPr/>
        <w:t>by</w:t>
      </w:r>
      <w:r>
        <w:rPr>
          <w:spacing w:val="-6"/>
        </w:rPr>
        <w:t> </w:t>
      </w:r>
      <w:r>
        <w:rPr/>
        <w:t>Whitfield</w:t>
      </w:r>
      <w:r>
        <w:rPr>
          <w:spacing w:val="-6"/>
        </w:rPr>
        <w:t> </w:t>
      </w:r>
      <w:r>
        <w:rPr/>
        <w:t>&amp;</w:t>
      </w:r>
      <w:r>
        <w:rPr>
          <w:spacing w:val="-6"/>
        </w:rPr>
        <w:t> </w:t>
      </w:r>
      <w:r>
        <w:rPr/>
        <w:t>Partners</w:t>
      </w:r>
      <w:r>
        <w:rPr>
          <w:spacing w:val="-6"/>
        </w:rPr>
        <w:t> </w:t>
      </w:r>
      <w:r>
        <w:rPr/>
        <w:t>LLP,</w:t>
      </w:r>
      <w:r>
        <w:rPr>
          <w:spacing w:val="-6"/>
        </w:rPr>
        <w:t> </w:t>
      </w:r>
      <w:r>
        <w:rPr/>
        <w:t>Solicitors 14 Bedford Row, London WC1R 4ED</w:t>
      </w:r>
    </w:p>
    <w:p>
      <w:pPr>
        <w:pStyle w:val="BodyText"/>
        <w:spacing w:after="0" w:line="266" w:lineRule="auto"/>
        <w:jc w:val="left"/>
        <w:sectPr>
          <w:pgSz w:w="11910" w:h="16840"/>
          <w:pgMar w:header="762" w:footer="745" w:top="1640" w:bottom="940" w:left="1417" w:right="1417"/>
        </w:sectPr>
      </w:pPr>
    </w:p>
    <w:p>
      <w:pPr>
        <w:pStyle w:val="Heading2"/>
        <w:spacing w:before="83"/>
      </w:pPr>
      <w:r>
        <w:rPr/>
        <w:t>Section 1 — Definitions and </w:t>
      </w:r>
      <w:r>
        <w:rPr>
          <w:spacing w:val="-2"/>
        </w:rPr>
        <w:t>Interpretation</w:t>
      </w:r>
    </w:p>
    <w:p>
      <w:pPr>
        <w:pStyle w:val="ListParagraph"/>
        <w:numPr>
          <w:ilvl w:val="1"/>
          <w:numId w:val="1"/>
        </w:numPr>
        <w:tabs>
          <w:tab w:pos="700" w:val="left" w:leader="none"/>
        </w:tabs>
        <w:spacing w:line="266" w:lineRule="auto" w:before="195" w:after="0"/>
        <w:ind w:left="360" w:right="119" w:firstLine="0"/>
        <w:jc w:val="both"/>
        <w:rPr>
          <w:sz w:val="22"/>
        </w:rPr>
      </w:pPr>
      <w:r>
        <w:rPr>
          <w:sz w:val="22"/>
        </w:rPr>
        <w:t>In this Lease, unless the context otherwise requires, the following expressions shall have </w:t>
      </w:r>
      <w:r>
        <w:rPr>
          <w:sz w:val="22"/>
        </w:rPr>
        <w:t>the meanings set out below:</w:t>
      </w:r>
    </w:p>
    <w:p>
      <w:pPr>
        <w:pStyle w:val="BodyText"/>
        <w:spacing w:line="266" w:lineRule="auto" w:before="119"/>
        <w:ind w:left="600" w:right="118"/>
      </w:pPr>
      <w:r>
        <w:rPr>
          <w:b/>
        </w:rPr>
        <w:t>"the Landlord" </w:t>
      </w:r>
      <w:r>
        <w:rPr/>
        <w:t>means Bishopsgate Property Holdings Limited (Company No. </w:t>
      </w:r>
      <w:r>
        <w:rPr/>
        <w:t>05198234), whose registered office is at 1 Poultry, London EC2R 8EJ, and includes its successors in title and assigns;</w:t>
      </w:r>
    </w:p>
    <w:p>
      <w:pPr>
        <w:pStyle w:val="BodyText"/>
        <w:spacing w:line="266" w:lineRule="auto" w:before="117"/>
        <w:ind w:left="600" w:right="118"/>
      </w:pPr>
      <w:r>
        <w:rPr>
          <w:b/>
        </w:rPr>
        <w:t>"the Tenant" </w:t>
      </w:r>
      <w:r>
        <w:rPr/>
        <w:t>means Meridian Consulting Group LLP (Registration No. OC412987), </w:t>
      </w:r>
      <w:r>
        <w:rPr/>
        <w:t>whose registered office is at 25 Chancery Lane, London WC2A 1PL, and includes its successors in title and permitted assigns;</w:t>
      </w:r>
    </w:p>
    <w:p>
      <w:pPr>
        <w:pStyle w:val="BodyText"/>
        <w:spacing w:line="266" w:lineRule="auto" w:before="118"/>
        <w:ind w:left="600" w:right="119"/>
      </w:pPr>
      <w:r>
        <w:rPr>
          <w:b/>
        </w:rPr>
        <w:t>"the Premises" </w:t>
      </w:r>
      <w:r>
        <w:rPr/>
        <w:t>means the office accommodation comprising Floors 8, 9 and 10 of </w:t>
      </w:r>
      <w:r>
        <w:rPr/>
        <w:t>the building known as 100 Bishopsgate, London EC2M 1GT, as more particularly delineated on the plans annexed hereto and edged in red, together with all fixtures and fittings (other than tenant's fixtures) and the Landlord's furniture therein;</w:t>
      </w:r>
    </w:p>
    <w:p>
      <w:pPr>
        <w:pStyle w:val="BodyText"/>
        <w:spacing w:line="266" w:lineRule="auto" w:before="117"/>
        <w:ind w:left="600" w:right="118"/>
      </w:pPr>
      <w:r>
        <w:rPr>
          <w:b/>
        </w:rPr>
        <w:t>"the</w:t>
      </w:r>
      <w:r>
        <w:rPr>
          <w:b/>
          <w:spacing w:val="-5"/>
        </w:rPr>
        <w:t> </w:t>
      </w:r>
      <w:r>
        <w:rPr>
          <w:b/>
        </w:rPr>
        <w:t>Building"</w:t>
      </w:r>
      <w:r>
        <w:rPr>
          <w:b/>
          <w:spacing w:val="-5"/>
        </w:rPr>
        <w:t> </w:t>
      </w:r>
      <w:r>
        <w:rPr/>
        <w:t>means</w:t>
      </w:r>
      <w:r>
        <w:rPr>
          <w:spacing w:val="-5"/>
        </w:rPr>
        <w:t> </w:t>
      </w:r>
      <w:r>
        <w:rPr/>
        <w:t>the</w:t>
      </w:r>
      <w:r>
        <w:rPr>
          <w:spacing w:val="-5"/>
        </w:rPr>
        <w:t> </w:t>
      </w:r>
      <w:r>
        <w:rPr/>
        <w:t>building</w:t>
      </w:r>
      <w:r>
        <w:rPr>
          <w:spacing w:val="-5"/>
        </w:rPr>
        <w:t> </w:t>
      </w:r>
      <w:r>
        <w:rPr/>
        <w:t>known</w:t>
      </w:r>
      <w:r>
        <w:rPr>
          <w:spacing w:val="-5"/>
        </w:rPr>
        <w:t> </w:t>
      </w:r>
      <w:r>
        <w:rPr/>
        <w:t>as</w:t>
      </w:r>
      <w:r>
        <w:rPr>
          <w:spacing w:val="-5"/>
        </w:rPr>
        <w:t> </w:t>
      </w:r>
      <w:r>
        <w:rPr/>
        <w:t>100</w:t>
      </w:r>
      <w:r>
        <w:rPr>
          <w:spacing w:val="-5"/>
        </w:rPr>
        <w:t> </w:t>
      </w:r>
      <w:r>
        <w:rPr/>
        <w:t>Bishopsgate,</w:t>
      </w:r>
      <w:r>
        <w:rPr>
          <w:spacing w:val="-5"/>
        </w:rPr>
        <w:t> </w:t>
      </w:r>
      <w:r>
        <w:rPr/>
        <w:t>London</w:t>
      </w:r>
      <w:r>
        <w:rPr>
          <w:spacing w:val="-5"/>
        </w:rPr>
        <w:t> </w:t>
      </w:r>
      <w:r>
        <w:rPr/>
        <w:t>EC2M</w:t>
      </w:r>
      <w:r>
        <w:rPr>
          <w:spacing w:val="-5"/>
        </w:rPr>
        <w:t> </w:t>
      </w:r>
      <w:r>
        <w:rPr/>
        <w:t>1GT,</w:t>
      </w:r>
      <w:r>
        <w:rPr>
          <w:spacing w:val="-5"/>
        </w:rPr>
        <w:t> </w:t>
      </w:r>
      <w:r>
        <w:rPr/>
        <w:t>including all common parts, service areas, structural elements, and the curtilage thereof;</w:t>
      </w:r>
    </w:p>
    <w:p>
      <w:pPr>
        <w:pStyle w:val="BodyText"/>
        <w:spacing w:line="266" w:lineRule="auto" w:before="118"/>
        <w:ind w:left="600" w:right="119"/>
      </w:pPr>
      <w:r>
        <w:rPr>
          <w:b/>
        </w:rPr>
        <w:t>"the Term" </w:t>
      </w:r>
      <w:r>
        <w:rPr/>
        <w:t>means a term of fifteen (15) years commencing on the Term </w:t>
      </w:r>
      <w:r>
        <w:rPr/>
        <w:t>Commencement </w:t>
      </w:r>
      <w:r>
        <w:rPr>
          <w:spacing w:val="-2"/>
        </w:rPr>
        <w:t>Date;</w:t>
      </w:r>
    </w:p>
    <w:p>
      <w:pPr>
        <w:spacing w:before="118"/>
        <w:ind w:left="600" w:right="0" w:firstLine="0"/>
        <w:jc w:val="both"/>
        <w:rPr>
          <w:sz w:val="22"/>
        </w:rPr>
      </w:pPr>
      <w:r>
        <w:rPr>
          <w:b/>
          <w:sz w:val="22"/>
        </w:rPr>
        <w:t>"the Term Commencement Date" </w:t>
      </w:r>
      <w:r>
        <w:rPr>
          <w:sz w:val="22"/>
        </w:rPr>
        <w:t>means 1 January </w:t>
      </w:r>
      <w:r>
        <w:rPr>
          <w:spacing w:val="-2"/>
          <w:sz w:val="22"/>
        </w:rPr>
        <w:t>2024;</w:t>
      </w:r>
    </w:p>
    <w:p>
      <w:pPr>
        <w:pStyle w:val="BodyText"/>
        <w:spacing w:line="266" w:lineRule="auto" w:before="148"/>
        <w:ind w:left="600" w:right="118"/>
      </w:pPr>
      <w:r>
        <w:rPr>
          <w:b/>
        </w:rPr>
        <w:t>"the Initial Rent" </w:t>
      </w:r>
      <w:r>
        <w:rPr/>
        <w:t>means Eight Hundred and Fifty Thousand Pounds (£850,000) per </w:t>
      </w:r>
      <w:r>
        <w:rPr/>
        <w:t>annum exclusive of Value Added Tax;</w:t>
      </w:r>
    </w:p>
    <w:p>
      <w:pPr>
        <w:pStyle w:val="BodyText"/>
        <w:spacing w:line="266" w:lineRule="auto" w:before="118"/>
        <w:ind w:left="600" w:right="118"/>
      </w:pPr>
      <w:r>
        <w:rPr>
          <w:b/>
        </w:rPr>
        <w:t>"the Review Dates" </w:t>
      </w:r>
      <w:r>
        <w:rPr/>
        <w:t>means the fifth (5th) and tenth (10th) anniversaries of the Term Commencement Date, being 1 January 2029 and 1 January 2034 respectively;</w:t>
      </w:r>
    </w:p>
    <w:p>
      <w:pPr>
        <w:pStyle w:val="BodyText"/>
        <w:spacing w:line="266" w:lineRule="auto" w:before="118"/>
        <w:ind w:left="600" w:right="118"/>
      </w:pPr>
      <w:r>
        <w:rPr>
          <w:b/>
        </w:rPr>
        <w:t>"the Permitted Use" </w:t>
      </w:r>
      <w:r>
        <w:rPr/>
        <w:t>means use falling within Class E(g)(i) of the Town and </w:t>
      </w:r>
      <w:r>
        <w:rPr/>
        <w:t>Country Planning (Use Classes) Order 1987 (as amended), being use as offices;</w:t>
      </w:r>
    </w:p>
    <w:p>
      <w:pPr>
        <w:pStyle w:val="BodyText"/>
        <w:spacing w:line="266" w:lineRule="auto" w:before="119"/>
        <w:ind w:left="600" w:right="118"/>
      </w:pPr>
      <w:r>
        <w:rPr>
          <w:b/>
        </w:rPr>
        <w:t>"the Insured Risks" </w:t>
      </w:r>
      <w:r>
        <w:rPr/>
        <w:t>means fire, lightning, explosion, storm, tempest, flood, earthquake, impact by aircraft and articles dropped therefrom, riot, civil commotion, malicious </w:t>
      </w:r>
      <w:r>
        <w:rPr/>
        <w:t>damage, subsidence,</w:t>
      </w:r>
      <w:r>
        <w:rPr>
          <w:spacing w:val="-4"/>
        </w:rPr>
        <w:t> </w:t>
      </w:r>
      <w:r>
        <w:rPr/>
        <w:t>burst</w:t>
      </w:r>
      <w:r>
        <w:rPr>
          <w:spacing w:val="-4"/>
        </w:rPr>
        <w:t> </w:t>
      </w:r>
      <w:r>
        <w:rPr/>
        <w:t>pipes,</w:t>
      </w:r>
      <w:r>
        <w:rPr>
          <w:spacing w:val="-4"/>
        </w:rPr>
        <w:t> </w:t>
      </w:r>
      <w:r>
        <w:rPr/>
        <w:t>and</w:t>
      </w:r>
      <w:r>
        <w:rPr>
          <w:spacing w:val="-4"/>
        </w:rPr>
        <w:t> </w:t>
      </w:r>
      <w:r>
        <w:rPr/>
        <w:t>such</w:t>
      </w:r>
      <w:r>
        <w:rPr>
          <w:spacing w:val="-4"/>
        </w:rPr>
        <w:t> </w:t>
      </w:r>
      <w:r>
        <w:rPr/>
        <w:t>other</w:t>
      </w:r>
      <w:r>
        <w:rPr>
          <w:spacing w:val="-4"/>
        </w:rPr>
        <w:t> </w:t>
      </w:r>
      <w:r>
        <w:rPr/>
        <w:t>risks</w:t>
      </w:r>
      <w:r>
        <w:rPr>
          <w:spacing w:val="-4"/>
        </w:rPr>
        <w:t> </w:t>
      </w:r>
      <w:r>
        <w:rPr/>
        <w:t>as</w:t>
      </w:r>
      <w:r>
        <w:rPr>
          <w:spacing w:val="-4"/>
        </w:rPr>
        <w:t> </w:t>
      </w:r>
      <w:r>
        <w:rPr/>
        <w:t>the</w:t>
      </w:r>
      <w:r>
        <w:rPr>
          <w:spacing w:val="-4"/>
        </w:rPr>
        <w:t> </w:t>
      </w:r>
      <w:r>
        <w:rPr/>
        <w:t>Landlord</w:t>
      </w:r>
      <w:r>
        <w:rPr>
          <w:spacing w:val="-4"/>
        </w:rPr>
        <w:t> </w:t>
      </w:r>
      <w:r>
        <w:rPr/>
        <w:t>may</w:t>
      </w:r>
      <w:r>
        <w:rPr>
          <w:spacing w:val="-4"/>
        </w:rPr>
        <w:t> </w:t>
      </w:r>
      <w:r>
        <w:rPr/>
        <w:t>from</w:t>
      </w:r>
      <w:r>
        <w:rPr>
          <w:spacing w:val="-4"/>
        </w:rPr>
        <w:t> </w:t>
      </w:r>
      <w:r>
        <w:rPr/>
        <w:t>time</w:t>
      </w:r>
      <w:r>
        <w:rPr>
          <w:spacing w:val="-4"/>
        </w:rPr>
        <w:t> </w:t>
      </w:r>
      <w:r>
        <w:rPr/>
        <w:t>to</w:t>
      </w:r>
      <w:r>
        <w:rPr>
          <w:spacing w:val="-4"/>
        </w:rPr>
        <w:t> </w:t>
      </w:r>
      <w:r>
        <w:rPr/>
        <w:t>time</w:t>
      </w:r>
      <w:r>
        <w:rPr>
          <w:spacing w:val="-4"/>
        </w:rPr>
        <w:t> </w:t>
      </w:r>
      <w:r>
        <w:rPr/>
        <w:t>reasonably </w:t>
      </w:r>
      <w:r>
        <w:rPr>
          <w:spacing w:val="-2"/>
        </w:rPr>
        <w:t>determine;</w:t>
      </w:r>
    </w:p>
    <w:p>
      <w:pPr>
        <w:pStyle w:val="ListParagraph"/>
        <w:numPr>
          <w:ilvl w:val="1"/>
          <w:numId w:val="1"/>
        </w:numPr>
        <w:tabs>
          <w:tab w:pos="717" w:val="left" w:leader="none"/>
        </w:tabs>
        <w:spacing w:line="266" w:lineRule="auto" w:before="116" w:after="0"/>
        <w:ind w:left="360" w:right="119" w:firstLine="0"/>
        <w:jc w:val="both"/>
        <w:rPr>
          <w:sz w:val="22"/>
        </w:rPr>
      </w:pPr>
      <w:r>
        <w:rPr>
          <w:sz w:val="22"/>
        </w:rPr>
        <w:t>In this Lease, references to statutes or statutory provisions include any statute or </w:t>
      </w:r>
      <w:r>
        <w:rPr>
          <w:sz w:val="22"/>
        </w:rPr>
        <w:t>statutory provision</w:t>
      </w:r>
      <w:r>
        <w:rPr>
          <w:spacing w:val="-4"/>
          <w:sz w:val="22"/>
        </w:rPr>
        <w:t> </w:t>
      </w:r>
      <w:r>
        <w:rPr>
          <w:sz w:val="22"/>
        </w:rPr>
        <w:t>which</w:t>
      </w:r>
      <w:r>
        <w:rPr>
          <w:spacing w:val="-4"/>
          <w:sz w:val="22"/>
        </w:rPr>
        <w:t> </w:t>
      </w:r>
      <w:r>
        <w:rPr>
          <w:sz w:val="22"/>
        </w:rPr>
        <w:t>amends,</w:t>
      </w:r>
      <w:r>
        <w:rPr>
          <w:spacing w:val="-4"/>
          <w:sz w:val="22"/>
        </w:rPr>
        <w:t> </w:t>
      </w:r>
      <w:r>
        <w:rPr>
          <w:sz w:val="22"/>
        </w:rPr>
        <w:t>extends,</w:t>
      </w:r>
      <w:r>
        <w:rPr>
          <w:spacing w:val="-4"/>
          <w:sz w:val="22"/>
        </w:rPr>
        <w:t> </w:t>
      </w:r>
      <w:r>
        <w:rPr>
          <w:sz w:val="22"/>
        </w:rPr>
        <w:t>consolidates</w:t>
      </w:r>
      <w:r>
        <w:rPr>
          <w:spacing w:val="-4"/>
          <w:sz w:val="22"/>
        </w:rPr>
        <w:t> </w:t>
      </w:r>
      <w:r>
        <w:rPr>
          <w:sz w:val="22"/>
        </w:rPr>
        <w:t>or</w:t>
      </w:r>
      <w:r>
        <w:rPr>
          <w:spacing w:val="-4"/>
          <w:sz w:val="22"/>
        </w:rPr>
        <w:t> </w:t>
      </w:r>
      <w:r>
        <w:rPr>
          <w:sz w:val="22"/>
        </w:rPr>
        <w:t>replaces</w:t>
      </w:r>
      <w:r>
        <w:rPr>
          <w:spacing w:val="-4"/>
          <w:sz w:val="22"/>
        </w:rPr>
        <w:t> </w:t>
      </w:r>
      <w:r>
        <w:rPr>
          <w:sz w:val="22"/>
        </w:rPr>
        <w:t>the</w:t>
      </w:r>
      <w:r>
        <w:rPr>
          <w:spacing w:val="-4"/>
          <w:sz w:val="22"/>
        </w:rPr>
        <w:t> </w:t>
      </w:r>
      <w:r>
        <w:rPr>
          <w:sz w:val="22"/>
        </w:rPr>
        <w:t>same,</w:t>
      </w:r>
      <w:r>
        <w:rPr>
          <w:spacing w:val="-4"/>
          <w:sz w:val="22"/>
        </w:rPr>
        <w:t> </w:t>
      </w:r>
      <w:r>
        <w:rPr>
          <w:sz w:val="22"/>
        </w:rPr>
        <w:t>and</w:t>
      </w:r>
      <w:r>
        <w:rPr>
          <w:spacing w:val="-4"/>
          <w:sz w:val="22"/>
        </w:rPr>
        <w:t> </w:t>
      </w:r>
      <w:r>
        <w:rPr>
          <w:sz w:val="22"/>
        </w:rPr>
        <w:t>shall</w:t>
      </w:r>
      <w:r>
        <w:rPr>
          <w:spacing w:val="-4"/>
          <w:sz w:val="22"/>
        </w:rPr>
        <w:t> </w:t>
      </w:r>
      <w:r>
        <w:rPr>
          <w:sz w:val="22"/>
        </w:rPr>
        <w:t>include</w:t>
      </w:r>
      <w:r>
        <w:rPr>
          <w:spacing w:val="-4"/>
          <w:sz w:val="22"/>
        </w:rPr>
        <w:t> </w:t>
      </w:r>
      <w:r>
        <w:rPr>
          <w:sz w:val="22"/>
        </w:rPr>
        <w:t>any</w:t>
      </w:r>
      <w:r>
        <w:rPr>
          <w:spacing w:val="-4"/>
          <w:sz w:val="22"/>
        </w:rPr>
        <w:t> </w:t>
      </w:r>
      <w:r>
        <w:rPr>
          <w:sz w:val="22"/>
        </w:rPr>
        <w:t>orders, regulations, instruments or other subordinate legislation made under the relevant statute or statutory provision.</w:t>
      </w:r>
    </w:p>
    <w:p>
      <w:pPr>
        <w:pStyle w:val="ListParagraph"/>
        <w:numPr>
          <w:ilvl w:val="1"/>
          <w:numId w:val="1"/>
        </w:numPr>
        <w:tabs>
          <w:tab w:pos="736" w:val="left" w:leader="none"/>
        </w:tabs>
        <w:spacing w:line="266" w:lineRule="auto" w:before="117" w:after="0"/>
        <w:ind w:left="360" w:right="119" w:firstLine="0"/>
        <w:jc w:val="both"/>
        <w:rPr>
          <w:sz w:val="22"/>
        </w:rPr>
      </w:pPr>
      <w:r>
        <w:rPr>
          <w:sz w:val="22"/>
        </w:rPr>
        <w:t>Words importing the singular number include the plural number and vice versa. </w:t>
      </w:r>
      <w:r>
        <w:rPr>
          <w:sz w:val="22"/>
        </w:rPr>
        <w:t>Words importing one gender include all genders. References to persons include bodies corporate, unincorporated associations and partnerships.</w:t>
      </w:r>
    </w:p>
    <w:p>
      <w:pPr>
        <w:pStyle w:val="ListParagraph"/>
        <w:numPr>
          <w:ilvl w:val="1"/>
          <w:numId w:val="1"/>
        </w:numPr>
        <w:tabs>
          <w:tab w:pos="698" w:val="left" w:leader="none"/>
        </w:tabs>
        <w:spacing w:line="266" w:lineRule="auto" w:before="118" w:after="0"/>
        <w:ind w:left="360" w:right="119" w:firstLine="0"/>
        <w:jc w:val="both"/>
        <w:rPr>
          <w:sz w:val="22"/>
        </w:rPr>
      </w:pPr>
      <w:r>
        <w:rPr>
          <w:sz w:val="22"/>
        </w:rPr>
        <w:t>The headings in this Lease are for convenience only and shall not affect the interpretation of any provision of this Lease.</w:t>
      </w:r>
    </w:p>
    <w:p>
      <w:pPr>
        <w:pStyle w:val="BodyText"/>
        <w:spacing w:before="108"/>
        <w:jc w:val="left"/>
      </w:pPr>
    </w:p>
    <w:p>
      <w:pPr>
        <w:pStyle w:val="Heading2"/>
      </w:pPr>
      <w:r>
        <w:rPr/>
        <w:t>Section 2 — </w:t>
      </w:r>
      <w:r>
        <w:rPr>
          <w:spacing w:val="-2"/>
        </w:rPr>
        <w:t>Demise</w:t>
      </w:r>
    </w:p>
    <w:p>
      <w:pPr>
        <w:pStyle w:val="Heading2"/>
        <w:spacing w:after="0"/>
        <w:sectPr>
          <w:pgSz w:w="11910" w:h="16840"/>
          <w:pgMar w:header="762" w:footer="745" w:top="1640" w:bottom="940" w:left="1417" w:right="1417"/>
        </w:sectPr>
      </w:pPr>
    </w:p>
    <w:p>
      <w:pPr>
        <w:pStyle w:val="ListParagraph"/>
        <w:numPr>
          <w:ilvl w:val="1"/>
          <w:numId w:val="2"/>
        </w:numPr>
        <w:tabs>
          <w:tab w:pos="723" w:val="left" w:leader="none"/>
        </w:tabs>
        <w:spacing w:line="266" w:lineRule="auto" w:before="80" w:after="0"/>
        <w:ind w:left="360" w:right="118" w:firstLine="0"/>
        <w:jc w:val="both"/>
        <w:rPr>
          <w:sz w:val="22"/>
        </w:rPr>
      </w:pPr>
      <w:r>
        <w:rPr>
          <w:sz w:val="22"/>
        </w:rPr>
        <w:t>In consideration of the rents herein reserved and the covenants on the part of the </w:t>
      </w:r>
      <w:r>
        <w:rPr>
          <w:sz w:val="22"/>
        </w:rPr>
        <w:t>Tenant herein contained, the Landlord hereby demises unto the Tenant ALL THAT the Premises TOGETHER</w:t>
      </w:r>
      <w:r>
        <w:rPr>
          <w:spacing w:val="-4"/>
          <w:sz w:val="22"/>
        </w:rPr>
        <w:t> </w:t>
      </w:r>
      <w:r>
        <w:rPr>
          <w:sz w:val="22"/>
        </w:rPr>
        <w:t>WITH</w:t>
      </w:r>
      <w:r>
        <w:rPr>
          <w:spacing w:val="-4"/>
          <w:sz w:val="22"/>
        </w:rPr>
        <w:t> </w:t>
      </w:r>
      <w:r>
        <w:rPr>
          <w:sz w:val="22"/>
        </w:rPr>
        <w:t>the</w:t>
      </w:r>
      <w:r>
        <w:rPr>
          <w:spacing w:val="-4"/>
          <w:sz w:val="22"/>
        </w:rPr>
        <w:t> </w:t>
      </w:r>
      <w:r>
        <w:rPr>
          <w:sz w:val="22"/>
        </w:rPr>
        <w:t>rights</w:t>
      </w:r>
      <w:r>
        <w:rPr>
          <w:spacing w:val="-4"/>
          <w:sz w:val="22"/>
        </w:rPr>
        <w:t> </w:t>
      </w:r>
      <w:r>
        <w:rPr>
          <w:sz w:val="22"/>
        </w:rPr>
        <w:t>set</w:t>
      </w:r>
      <w:r>
        <w:rPr>
          <w:spacing w:val="-4"/>
          <w:sz w:val="22"/>
        </w:rPr>
        <w:t> </w:t>
      </w:r>
      <w:r>
        <w:rPr>
          <w:sz w:val="22"/>
        </w:rPr>
        <w:t>out</w:t>
      </w:r>
      <w:r>
        <w:rPr>
          <w:spacing w:val="-4"/>
          <w:sz w:val="22"/>
        </w:rPr>
        <w:t> </w:t>
      </w:r>
      <w:r>
        <w:rPr>
          <w:sz w:val="22"/>
        </w:rPr>
        <w:t>in</w:t>
      </w:r>
      <w:r>
        <w:rPr>
          <w:spacing w:val="-4"/>
          <w:sz w:val="22"/>
        </w:rPr>
        <w:t> </w:t>
      </w:r>
      <w:r>
        <w:rPr>
          <w:sz w:val="22"/>
        </w:rPr>
        <w:t>Schedule</w:t>
      </w:r>
      <w:r>
        <w:rPr>
          <w:spacing w:val="-4"/>
          <w:sz w:val="22"/>
        </w:rPr>
        <w:t> </w:t>
      </w:r>
      <w:r>
        <w:rPr>
          <w:sz w:val="22"/>
        </w:rPr>
        <w:t>1</w:t>
      </w:r>
      <w:r>
        <w:rPr>
          <w:spacing w:val="-4"/>
          <w:sz w:val="22"/>
        </w:rPr>
        <w:t> </w:t>
      </w:r>
      <w:r>
        <w:rPr>
          <w:sz w:val="22"/>
        </w:rPr>
        <w:t>hereto</w:t>
      </w:r>
      <w:r>
        <w:rPr>
          <w:spacing w:val="-4"/>
          <w:sz w:val="22"/>
        </w:rPr>
        <w:t> </w:t>
      </w:r>
      <w:r>
        <w:rPr>
          <w:sz w:val="22"/>
        </w:rPr>
        <w:t>but</w:t>
      </w:r>
      <w:r>
        <w:rPr>
          <w:spacing w:val="-4"/>
          <w:sz w:val="22"/>
        </w:rPr>
        <w:t> </w:t>
      </w:r>
      <w:r>
        <w:rPr>
          <w:sz w:val="22"/>
        </w:rPr>
        <w:t>EXCEPTING</w:t>
      </w:r>
      <w:r>
        <w:rPr>
          <w:spacing w:val="-4"/>
          <w:sz w:val="22"/>
        </w:rPr>
        <w:t> </w:t>
      </w:r>
      <w:r>
        <w:rPr>
          <w:sz w:val="22"/>
        </w:rPr>
        <w:t>AND</w:t>
      </w:r>
      <w:r>
        <w:rPr>
          <w:spacing w:val="-4"/>
          <w:sz w:val="22"/>
        </w:rPr>
        <w:t> </w:t>
      </w:r>
      <w:r>
        <w:rPr>
          <w:sz w:val="22"/>
        </w:rPr>
        <w:t>RESERVING unto the Landlord the rights set out in Schedule 2 hereto TO HOLD the same unto the Tenant for the Term, YIELDING AND PAYING therefor during the Term:</w:t>
      </w:r>
    </w:p>
    <w:p>
      <w:pPr>
        <w:pStyle w:val="ListParagraph"/>
        <w:numPr>
          <w:ilvl w:val="2"/>
          <w:numId w:val="2"/>
        </w:numPr>
        <w:tabs>
          <w:tab w:pos="928" w:val="left" w:leader="none"/>
        </w:tabs>
        <w:spacing w:line="266" w:lineRule="auto" w:before="116" w:after="0"/>
        <w:ind w:left="600" w:right="119" w:firstLine="0"/>
        <w:jc w:val="both"/>
        <w:rPr>
          <w:sz w:val="22"/>
        </w:rPr>
      </w:pPr>
      <w:r>
        <w:rPr>
          <w:sz w:val="22"/>
        </w:rPr>
        <w:t>the yearly rent specified in clause 3 of this Lease, or such revised rent as may become payable pursuant to clause 3.2; and</w:t>
      </w:r>
    </w:p>
    <w:p>
      <w:pPr>
        <w:pStyle w:val="ListParagraph"/>
        <w:numPr>
          <w:ilvl w:val="2"/>
          <w:numId w:val="2"/>
        </w:numPr>
        <w:tabs>
          <w:tab w:pos="911" w:val="left" w:leader="none"/>
        </w:tabs>
        <w:spacing w:line="240" w:lineRule="auto" w:before="119" w:after="0"/>
        <w:ind w:left="911" w:right="0" w:hanging="311"/>
        <w:jc w:val="both"/>
        <w:rPr>
          <w:sz w:val="22"/>
        </w:rPr>
      </w:pPr>
      <w:r>
        <w:rPr>
          <w:sz w:val="22"/>
        </w:rPr>
        <w:t>by way of further additional rent, all other sums payable by the Tenant under this </w:t>
      </w:r>
      <w:r>
        <w:rPr>
          <w:spacing w:val="-2"/>
          <w:sz w:val="22"/>
        </w:rPr>
        <w:t>Lease.</w:t>
      </w:r>
    </w:p>
    <w:p>
      <w:pPr>
        <w:pStyle w:val="ListParagraph"/>
        <w:numPr>
          <w:ilvl w:val="1"/>
          <w:numId w:val="2"/>
        </w:numPr>
        <w:tabs>
          <w:tab w:pos="689" w:val="left" w:leader="none"/>
        </w:tabs>
        <w:spacing w:line="266" w:lineRule="auto" w:before="147" w:after="0"/>
        <w:ind w:left="360" w:right="119" w:firstLine="0"/>
        <w:jc w:val="both"/>
        <w:rPr>
          <w:sz w:val="22"/>
        </w:rPr>
      </w:pPr>
      <w:r>
        <w:rPr>
          <w:sz w:val="22"/>
        </w:rPr>
        <w:t>The</w:t>
      </w:r>
      <w:r>
        <w:rPr>
          <w:spacing w:val="-3"/>
          <w:sz w:val="22"/>
        </w:rPr>
        <w:t> </w:t>
      </w:r>
      <w:r>
        <w:rPr>
          <w:sz w:val="22"/>
        </w:rPr>
        <w:t>Premises</w:t>
      </w:r>
      <w:r>
        <w:rPr>
          <w:spacing w:val="-3"/>
          <w:sz w:val="22"/>
        </w:rPr>
        <w:t> </w:t>
      </w:r>
      <w:r>
        <w:rPr>
          <w:sz w:val="22"/>
        </w:rPr>
        <w:t>comprise</w:t>
      </w:r>
      <w:r>
        <w:rPr>
          <w:spacing w:val="-3"/>
          <w:sz w:val="22"/>
        </w:rPr>
        <w:t> </w:t>
      </w:r>
      <w:r>
        <w:rPr>
          <w:sz w:val="22"/>
        </w:rPr>
        <w:t>the</w:t>
      </w:r>
      <w:r>
        <w:rPr>
          <w:spacing w:val="-3"/>
          <w:sz w:val="22"/>
        </w:rPr>
        <w:t> </w:t>
      </w:r>
      <w:r>
        <w:rPr>
          <w:sz w:val="22"/>
        </w:rPr>
        <w:t>entirety</w:t>
      </w:r>
      <w:r>
        <w:rPr>
          <w:spacing w:val="-3"/>
          <w:sz w:val="22"/>
        </w:rPr>
        <w:t> </w:t>
      </w:r>
      <w:r>
        <w:rPr>
          <w:sz w:val="22"/>
        </w:rPr>
        <w:t>of</w:t>
      </w:r>
      <w:r>
        <w:rPr>
          <w:spacing w:val="-3"/>
          <w:sz w:val="22"/>
        </w:rPr>
        <w:t> </w:t>
      </w:r>
      <w:r>
        <w:rPr>
          <w:sz w:val="22"/>
        </w:rPr>
        <w:t>Floors</w:t>
      </w:r>
      <w:r>
        <w:rPr>
          <w:spacing w:val="-3"/>
          <w:sz w:val="22"/>
        </w:rPr>
        <w:t> </w:t>
      </w:r>
      <w:r>
        <w:rPr>
          <w:sz w:val="22"/>
        </w:rPr>
        <w:t>8,</w:t>
      </w:r>
      <w:r>
        <w:rPr>
          <w:spacing w:val="-3"/>
          <w:sz w:val="22"/>
        </w:rPr>
        <w:t> </w:t>
      </w:r>
      <w:r>
        <w:rPr>
          <w:sz w:val="22"/>
        </w:rPr>
        <w:t>9</w:t>
      </w:r>
      <w:r>
        <w:rPr>
          <w:spacing w:val="-3"/>
          <w:sz w:val="22"/>
        </w:rPr>
        <w:t> </w:t>
      </w:r>
      <w:r>
        <w:rPr>
          <w:sz w:val="22"/>
        </w:rPr>
        <w:t>and</w:t>
      </w:r>
      <w:r>
        <w:rPr>
          <w:spacing w:val="-3"/>
          <w:sz w:val="22"/>
        </w:rPr>
        <w:t> </w:t>
      </w:r>
      <w:r>
        <w:rPr>
          <w:sz w:val="22"/>
        </w:rPr>
        <w:t>10</w:t>
      </w:r>
      <w:r>
        <w:rPr>
          <w:spacing w:val="-3"/>
          <w:sz w:val="22"/>
        </w:rPr>
        <w:t> </w:t>
      </w:r>
      <w:r>
        <w:rPr>
          <w:sz w:val="22"/>
        </w:rPr>
        <w:t>of</w:t>
      </w:r>
      <w:r>
        <w:rPr>
          <w:spacing w:val="-3"/>
          <w:sz w:val="22"/>
        </w:rPr>
        <w:t> </w:t>
      </w:r>
      <w:r>
        <w:rPr>
          <w:sz w:val="22"/>
        </w:rPr>
        <w:t>the</w:t>
      </w:r>
      <w:r>
        <w:rPr>
          <w:spacing w:val="-3"/>
          <w:sz w:val="22"/>
        </w:rPr>
        <w:t> </w:t>
      </w:r>
      <w:r>
        <w:rPr>
          <w:sz w:val="22"/>
        </w:rPr>
        <w:t>Building,</w:t>
      </w:r>
      <w:r>
        <w:rPr>
          <w:spacing w:val="-3"/>
          <w:sz w:val="22"/>
        </w:rPr>
        <w:t> </w:t>
      </w:r>
      <w:r>
        <w:rPr>
          <w:sz w:val="22"/>
        </w:rPr>
        <w:t>having</w:t>
      </w:r>
      <w:r>
        <w:rPr>
          <w:spacing w:val="-3"/>
          <w:sz w:val="22"/>
        </w:rPr>
        <w:t> </w:t>
      </w:r>
      <w:r>
        <w:rPr>
          <w:sz w:val="22"/>
        </w:rPr>
        <w:t>an</w:t>
      </w:r>
      <w:r>
        <w:rPr>
          <w:spacing w:val="-3"/>
          <w:sz w:val="22"/>
        </w:rPr>
        <w:t> </w:t>
      </w:r>
      <w:r>
        <w:rPr>
          <w:sz w:val="22"/>
        </w:rPr>
        <w:t>aggregate net internal area of approximately 32,500 square feet (3,019 square metres), as measured </w:t>
      </w:r>
      <w:r>
        <w:rPr>
          <w:sz w:val="22"/>
        </w:rPr>
        <w:t>in accordance with the RICS Code of Measuring Practice (6th Edition).</w:t>
      </w:r>
    </w:p>
    <w:p>
      <w:pPr>
        <w:pStyle w:val="ListParagraph"/>
        <w:numPr>
          <w:ilvl w:val="1"/>
          <w:numId w:val="2"/>
        </w:numPr>
        <w:tabs>
          <w:tab w:pos="720" w:val="left" w:leader="none"/>
        </w:tabs>
        <w:spacing w:line="266" w:lineRule="auto" w:before="117" w:after="0"/>
        <w:ind w:left="360" w:right="119" w:firstLine="0"/>
        <w:jc w:val="both"/>
        <w:rPr>
          <w:sz w:val="22"/>
        </w:rPr>
      </w:pPr>
      <w:r>
        <w:rPr>
          <w:sz w:val="22"/>
        </w:rPr>
        <w:t>The Term shall be for a period of fifteen (15) years commencing on 1 January 2024 and expiring</w:t>
      </w:r>
      <w:r>
        <w:rPr>
          <w:spacing w:val="-4"/>
          <w:sz w:val="22"/>
        </w:rPr>
        <w:t> </w:t>
      </w:r>
      <w:r>
        <w:rPr>
          <w:sz w:val="22"/>
        </w:rPr>
        <w:t>on</w:t>
      </w:r>
      <w:r>
        <w:rPr>
          <w:spacing w:val="-4"/>
          <w:sz w:val="22"/>
        </w:rPr>
        <w:t> </w:t>
      </w:r>
      <w:r>
        <w:rPr>
          <w:sz w:val="22"/>
        </w:rPr>
        <w:t>31</w:t>
      </w:r>
      <w:r>
        <w:rPr>
          <w:spacing w:val="-4"/>
          <w:sz w:val="22"/>
        </w:rPr>
        <w:t> </w:t>
      </w:r>
      <w:r>
        <w:rPr>
          <w:sz w:val="22"/>
        </w:rPr>
        <w:t>December</w:t>
      </w:r>
      <w:r>
        <w:rPr>
          <w:spacing w:val="-4"/>
          <w:sz w:val="22"/>
        </w:rPr>
        <w:t> </w:t>
      </w:r>
      <w:r>
        <w:rPr>
          <w:sz w:val="22"/>
        </w:rPr>
        <w:t>2038,</w:t>
      </w:r>
      <w:r>
        <w:rPr>
          <w:spacing w:val="-4"/>
          <w:sz w:val="22"/>
        </w:rPr>
        <w:t> </w:t>
      </w:r>
      <w:r>
        <w:rPr>
          <w:sz w:val="22"/>
        </w:rPr>
        <w:t>subject</w:t>
      </w:r>
      <w:r>
        <w:rPr>
          <w:spacing w:val="-4"/>
          <w:sz w:val="22"/>
        </w:rPr>
        <w:t> </w:t>
      </w:r>
      <w:r>
        <w:rPr>
          <w:sz w:val="22"/>
        </w:rPr>
        <w:t>to</w:t>
      </w:r>
      <w:r>
        <w:rPr>
          <w:spacing w:val="-4"/>
          <w:sz w:val="22"/>
        </w:rPr>
        <w:t> </w:t>
      </w:r>
      <w:r>
        <w:rPr>
          <w:sz w:val="22"/>
        </w:rPr>
        <w:t>earlier</w:t>
      </w:r>
      <w:r>
        <w:rPr>
          <w:spacing w:val="-4"/>
          <w:sz w:val="22"/>
        </w:rPr>
        <w:t> </w:t>
      </w:r>
      <w:r>
        <w:rPr>
          <w:sz w:val="22"/>
        </w:rPr>
        <w:t>determination</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the</w:t>
      </w:r>
      <w:r>
        <w:rPr>
          <w:spacing w:val="-4"/>
          <w:sz w:val="22"/>
        </w:rPr>
        <w:t> </w:t>
      </w:r>
      <w:r>
        <w:rPr>
          <w:sz w:val="22"/>
        </w:rPr>
        <w:t>provisions of this Lease.</w:t>
      </w:r>
    </w:p>
    <w:p>
      <w:pPr>
        <w:pStyle w:val="BodyText"/>
        <w:spacing w:before="107"/>
        <w:jc w:val="left"/>
      </w:pPr>
    </w:p>
    <w:p>
      <w:pPr>
        <w:pStyle w:val="Heading2"/>
        <w:spacing w:before="1"/>
      </w:pPr>
      <w:r>
        <w:rPr/>
        <w:t>Section 3 — </w:t>
      </w:r>
      <w:r>
        <w:rPr>
          <w:spacing w:val="-4"/>
        </w:rPr>
        <w:t>Rent</w:t>
      </w:r>
    </w:p>
    <w:p>
      <w:pPr>
        <w:pStyle w:val="ListParagraph"/>
        <w:numPr>
          <w:ilvl w:val="1"/>
          <w:numId w:val="3"/>
        </w:numPr>
        <w:tabs>
          <w:tab w:pos="705" w:val="left" w:leader="none"/>
        </w:tabs>
        <w:spacing w:line="266" w:lineRule="auto" w:before="195" w:after="0"/>
        <w:ind w:left="360" w:right="118" w:firstLine="0"/>
        <w:jc w:val="both"/>
        <w:rPr>
          <w:sz w:val="22"/>
        </w:rPr>
      </w:pPr>
      <w:r>
        <w:rPr>
          <w:sz w:val="22"/>
        </w:rPr>
        <w:t>The Tenant shall pay to the Landlord the Initial Rent of Eight Hundred and Fifty Thousand Pounds (£850,000) per annum, without any deduction, counterclaim or set-off whatsoever, </w:t>
      </w:r>
      <w:r>
        <w:rPr>
          <w:sz w:val="22"/>
        </w:rPr>
        <w:t>by equal quarterly payments in advance on the usual quarter days (being 25 March, 24 June, 29 September and 25 December in each year), the first such payment (or a due proportion thereof in respect of the period from the Term Commencement Date to the next quarter day) to be made on the Term Commencement Date.</w:t>
      </w:r>
    </w:p>
    <w:p>
      <w:pPr>
        <w:pStyle w:val="Heading3"/>
        <w:numPr>
          <w:ilvl w:val="1"/>
          <w:numId w:val="3"/>
        </w:numPr>
        <w:tabs>
          <w:tab w:pos="760" w:val="left" w:leader="none"/>
        </w:tabs>
        <w:spacing w:line="240" w:lineRule="auto" w:before="235" w:after="0"/>
        <w:ind w:left="760" w:right="0" w:hanging="400"/>
        <w:jc w:val="both"/>
      </w:pPr>
      <w:r>
        <w:rPr/>
        <w:t>Rent Review </w:t>
      </w:r>
      <w:r>
        <w:rPr>
          <w:spacing w:val="-2"/>
        </w:rPr>
        <w:t>Mechanism</w:t>
      </w:r>
    </w:p>
    <w:p>
      <w:pPr>
        <w:pStyle w:val="ListParagraph"/>
        <w:numPr>
          <w:ilvl w:val="2"/>
          <w:numId w:val="3"/>
        </w:numPr>
        <w:tabs>
          <w:tab w:pos="1100" w:val="left" w:leader="none"/>
        </w:tabs>
        <w:spacing w:line="266" w:lineRule="auto" w:before="144" w:after="0"/>
        <w:ind w:left="600" w:right="119" w:firstLine="0"/>
        <w:jc w:val="both"/>
        <w:rPr>
          <w:sz w:val="22"/>
        </w:rPr>
      </w:pPr>
      <w:r>
        <w:rPr>
          <w:sz w:val="22"/>
        </w:rPr>
        <w:t>The rent payable under this Lease shall be reviewed on each Review Date in accordance with the provisions of this clause 3.2. With effect from each Review Date, the rent payable shall</w:t>
      </w:r>
      <w:r>
        <w:rPr>
          <w:spacing w:val="-3"/>
          <w:sz w:val="22"/>
        </w:rPr>
        <w:t> </w:t>
      </w:r>
      <w:r>
        <w:rPr>
          <w:sz w:val="22"/>
        </w:rPr>
        <w:t>be</w:t>
      </w:r>
      <w:r>
        <w:rPr>
          <w:spacing w:val="-3"/>
          <w:sz w:val="22"/>
        </w:rPr>
        <w:t> </w:t>
      </w:r>
      <w:r>
        <w:rPr>
          <w:sz w:val="22"/>
        </w:rPr>
        <w:t>the</w:t>
      </w:r>
      <w:r>
        <w:rPr>
          <w:spacing w:val="-3"/>
          <w:sz w:val="22"/>
        </w:rPr>
        <w:t> </w:t>
      </w:r>
      <w:r>
        <w:rPr>
          <w:sz w:val="22"/>
        </w:rPr>
        <w:t>higher</w:t>
      </w:r>
      <w:r>
        <w:rPr>
          <w:spacing w:val="-3"/>
          <w:sz w:val="22"/>
        </w:rPr>
        <w:t> </w:t>
      </w:r>
      <w:r>
        <w:rPr>
          <w:sz w:val="22"/>
        </w:rPr>
        <w:t>of</w:t>
      </w:r>
      <w:r>
        <w:rPr>
          <w:spacing w:val="-3"/>
          <w:sz w:val="22"/>
        </w:rPr>
        <w:t> </w:t>
      </w:r>
      <w:r>
        <w:rPr>
          <w:sz w:val="22"/>
        </w:rPr>
        <w:t>(a)</w:t>
      </w:r>
      <w:r>
        <w:rPr>
          <w:spacing w:val="-3"/>
          <w:sz w:val="22"/>
        </w:rPr>
        <w:t> </w:t>
      </w:r>
      <w:r>
        <w:rPr>
          <w:sz w:val="22"/>
        </w:rPr>
        <w:t>the</w:t>
      </w:r>
      <w:r>
        <w:rPr>
          <w:spacing w:val="-3"/>
          <w:sz w:val="22"/>
        </w:rPr>
        <w:t> </w:t>
      </w:r>
      <w:r>
        <w:rPr>
          <w:sz w:val="22"/>
        </w:rPr>
        <w:t>rent</w:t>
      </w:r>
      <w:r>
        <w:rPr>
          <w:spacing w:val="-3"/>
          <w:sz w:val="22"/>
        </w:rPr>
        <w:t> </w:t>
      </w:r>
      <w:r>
        <w:rPr>
          <w:sz w:val="22"/>
        </w:rPr>
        <w:t>payable</w:t>
      </w:r>
      <w:r>
        <w:rPr>
          <w:spacing w:val="-3"/>
          <w:sz w:val="22"/>
        </w:rPr>
        <w:t> </w:t>
      </w:r>
      <w:r>
        <w:rPr>
          <w:sz w:val="22"/>
        </w:rPr>
        <w:t>immediately</w:t>
      </w:r>
      <w:r>
        <w:rPr>
          <w:spacing w:val="-3"/>
          <w:sz w:val="22"/>
        </w:rPr>
        <w:t> </w:t>
      </w:r>
      <w:r>
        <w:rPr>
          <w:sz w:val="22"/>
        </w:rPr>
        <w:t>before</w:t>
      </w:r>
      <w:r>
        <w:rPr>
          <w:spacing w:val="-3"/>
          <w:sz w:val="22"/>
        </w:rPr>
        <w:t> </w:t>
      </w:r>
      <w:r>
        <w:rPr>
          <w:sz w:val="22"/>
        </w:rPr>
        <w:t>the</w:t>
      </w:r>
      <w:r>
        <w:rPr>
          <w:spacing w:val="-3"/>
          <w:sz w:val="22"/>
        </w:rPr>
        <w:t> </w:t>
      </w:r>
      <w:r>
        <w:rPr>
          <w:sz w:val="22"/>
        </w:rPr>
        <w:t>relevant</w:t>
      </w:r>
      <w:r>
        <w:rPr>
          <w:spacing w:val="-3"/>
          <w:sz w:val="22"/>
        </w:rPr>
        <w:t> </w:t>
      </w:r>
      <w:r>
        <w:rPr>
          <w:sz w:val="22"/>
        </w:rPr>
        <w:t>Review</w:t>
      </w:r>
      <w:r>
        <w:rPr>
          <w:spacing w:val="-3"/>
          <w:sz w:val="22"/>
        </w:rPr>
        <w:t> </w:t>
      </w:r>
      <w:r>
        <w:rPr>
          <w:sz w:val="22"/>
        </w:rPr>
        <w:t>Date</w:t>
      </w:r>
      <w:r>
        <w:rPr>
          <w:spacing w:val="-3"/>
          <w:sz w:val="22"/>
        </w:rPr>
        <w:t> </w:t>
      </w:r>
      <w:r>
        <w:rPr>
          <w:sz w:val="22"/>
        </w:rPr>
        <w:t>and</w:t>
      </w:r>
      <w:r>
        <w:rPr>
          <w:spacing w:val="-3"/>
          <w:sz w:val="22"/>
        </w:rPr>
        <w:t> </w:t>
      </w:r>
      <w:r>
        <w:rPr>
          <w:sz w:val="22"/>
        </w:rPr>
        <w:t>(b) the</w:t>
      </w:r>
      <w:r>
        <w:rPr>
          <w:spacing w:val="-2"/>
          <w:sz w:val="22"/>
        </w:rPr>
        <w:t> </w:t>
      </w:r>
      <w:r>
        <w:rPr>
          <w:sz w:val="22"/>
        </w:rPr>
        <w:t>open</w:t>
      </w:r>
      <w:r>
        <w:rPr>
          <w:spacing w:val="-2"/>
          <w:sz w:val="22"/>
        </w:rPr>
        <w:t> </w:t>
      </w:r>
      <w:r>
        <w:rPr>
          <w:sz w:val="22"/>
        </w:rPr>
        <w:t>market</w:t>
      </w:r>
      <w:r>
        <w:rPr>
          <w:spacing w:val="-2"/>
          <w:sz w:val="22"/>
        </w:rPr>
        <w:t> </w:t>
      </w:r>
      <w:r>
        <w:rPr>
          <w:sz w:val="22"/>
        </w:rPr>
        <w:t>rent</w:t>
      </w:r>
      <w:r>
        <w:rPr>
          <w:spacing w:val="-2"/>
          <w:sz w:val="22"/>
        </w:rPr>
        <w:t> </w:t>
      </w:r>
      <w:r>
        <w:rPr>
          <w:sz w:val="22"/>
        </w:rPr>
        <w:t>of</w:t>
      </w:r>
      <w:r>
        <w:rPr>
          <w:spacing w:val="-2"/>
          <w:sz w:val="22"/>
        </w:rPr>
        <w:t> </w:t>
      </w:r>
      <w:r>
        <w:rPr>
          <w:sz w:val="22"/>
        </w:rPr>
        <w:t>the</w:t>
      </w:r>
      <w:r>
        <w:rPr>
          <w:spacing w:val="-2"/>
          <w:sz w:val="22"/>
        </w:rPr>
        <w:t> </w:t>
      </w:r>
      <w:r>
        <w:rPr>
          <w:sz w:val="22"/>
        </w:rPr>
        <w:t>Premises</w:t>
      </w:r>
      <w:r>
        <w:rPr>
          <w:spacing w:val="-2"/>
          <w:sz w:val="22"/>
        </w:rPr>
        <w:t> </w:t>
      </w:r>
      <w:r>
        <w:rPr>
          <w:sz w:val="22"/>
        </w:rPr>
        <w:t>as</w:t>
      </w:r>
      <w:r>
        <w:rPr>
          <w:spacing w:val="-2"/>
          <w:sz w:val="22"/>
        </w:rPr>
        <w:t> </w:t>
      </w:r>
      <w:r>
        <w:rPr>
          <w:sz w:val="22"/>
        </w:rPr>
        <w:t>at</w:t>
      </w:r>
      <w:r>
        <w:rPr>
          <w:spacing w:val="-2"/>
          <w:sz w:val="22"/>
        </w:rPr>
        <w:t> </w:t>
      </w:r>
      <w:r>
        <w:rPr>
          <w:sz w:val="22"/>
        </w:rPr>
        <w:t>the</w:t>
      </w:r>
      <w:r>
        <w:rPr>
          <w:spacing w:val="-2"/>
          <w:sz w:val="22"/>
        </w:rPr>
        <w:t> </w:t>
      </w:r>
      <w:r>
        <w:rPr>
          <w:sz w:val="22"/>
        </w:rPr>
        <w:t>relevant</w:t>
      </w:r>
      <w:r>
        <w:rPr>
          <w:spacing w:val="-2"/>
          <w:sz w:val="22"/>
        </w:rPr>
        <w:t> </w:t>
      </w:r>
      <w:r>
        <w:rPr>
          <w:sz w:val="22"/>
        </w:rPr>
        <w:t>Review</w:t>
      </w:r>
      <w:r>
        <w:rPr>
          <w:spacing w:val="-2"/>
          <w:sz w:val="22"/>
        </w:rPr>
        <w:t> </w:t>
      </w:r>
      <w:r>
        <w:rPr>
          <w:sz w:val="22"/>
        </w:rPr>
        <w:t>Date,</w:t>
      </w:r>
      <w:r>
        <w:rPr>
          <w:spacing w:val="-2"/>
          <w:sz w:val="22"/>
        </w:rPr>
        <w:t> </w:t>
      </w:r>
      <w:r>
        <w:rPr>
          <w:sz w:val="22"/>
        </w:rPr>
        <w:t>determined</w:t>
      </w:r>
      <w:r>
        <w:rPr>
          <w:spacing w:val="-2"/>
          <w:sz w:val="22"/>
        </w:rPr>
        <w:t> </w:t>
      </w:r>
      <w:r>
        <w:rPr>
          <w:sz w:val="22"/>
        </w:rPr>
        <w:t>in</w:t>
      </w:r>
      <w:r>
        <w:rPr>
          <w:spacing w:val="-2"/>
          <w:sz w:val="22"/>
        </w:rPr>
        <w:t> </w:t>
      </w:r>
      <w:r>
        <w:rPr>
          <w:sz w:val="22"/>
        </w:rPr>
        <w:t>accordance with clauses 3.2.2 to 3.2.5 below (the </w:t>
      </w:r>
      <w:r>
        <w:rPr>
          <w:b/>
          <w:sz w:val="22"/>
        </w:rPr>
        <w:t>"Reviewed Rent"</w:t>
      </w:r>
      <w:r>
        <w:rPr>
          <w:sz w:val="22"/>
        </w:rPr>
        <w:t>).</w:t>
      </w:r>
    </w:p>
    <w:p>
      <w:pPr>
        <w:pStyle w:val="ListParagraph"/>
        <w:numPr>
          <w:ilvl w:val="2"/>
          <w:numId w:val="3"/>
        </w:numPr>
        <w:tabs>
          <w:tab w:pos="1105" w:val="left" w:leader="none"/>
        </w:tabs>
        <w:spacing w:line="266" w:lineRule="auto" w:before="116" w:after="0"/>
        <w:ind w:left="600" w:right="119" w:firstLine="0"/>
        <w:jc w:val="both"/>
        <w:rPr>
          <w:sz w:val="22"/>
        </w:rPr>
      </w:pPr>
      <w:r>
        <w:rPr>
          <w:sz w:val="22"/>
        </w:rPr>
        <w:t>The open market rent shall be such rent as might reasonably be expected to be </w:t>
      </w:r>
      <w:r>
        <w:rPr>
          <w:sz w:val="22"/>
        </w:rPr>
        <w:t>obtained on a letting of the Premises in the open market at the relevant Review Date by a willing landlord to a willing tenant, on the terms of this Lease (other than the amount of rent but including provisions for rent review), for a term equal to the residue of the Term unexpired at the Review Date or fifteen (15) years, whichever is the longer.</w:t>
      </w:r>
    </w:p>
    <w:p>
      <w:pPr>
        <w:pStyle w:val="ListParagraph"/>
        <w:numPr>
          <w:ilvl w:val="2"/>
          <w:numId w:val="3"/>
        </w:numPr>
        <w:tabs>
          <w:tab w:pos="1112" w:val="left" w:leader="none"/>
        </w:tabs>
        <w:spacing w:line="266" w:lineRule="auto" w:before="116" w:after="0"/>
        <w:ind w:left="600" w:right="119" w:firstLine="0"/>
        <w:jc w:val="both"/>
        <w:rPr>
          <w:sz w:val="22"/>
        </w:rPr>
      </w:pPr>
      <w:r>
        <w:rPr>
          <w:sz w:val="22"/>
        </w:rPr>
        <w:t>In determining the open market rent, the following assumptions shall be made: (a) </w:t>
      </w:r>
      <w:r>
        <w:rPr>
          <w:sz w:val="22"/>
        </w:rPr>
        <w:t>that the Premises are available to let on the open market without a fine or premium; (b) that the Premises are fit for immediate occupation and use; (c) that no work has been carried out to the Premises by the Tenant or any undertenant which has diminished the rental value of the Premises;</w:t>
      </w:r>
      <w:r>
        <w:rPr>
          <w:spacing w:val="-1"/>
          <w:sz w:val="22"/>
        </w:rPr>
        <w:t> </w:t>
      </w:r>
      <w:r>
        <w:rPr>
          <w:sz w:val="22"/>
        </w:rPr>
        <w:t>and</w:t>
      </w:r>
      <w:r>
        <w:rPr>
          <w:spacing w:val="-1"/>
          <w:sz w:val="22"/>
        </w:rPr>
        <w:t> </w:t>
      </w:r>
      <w:r>
        <w:rPr>
          <w:sz w:val="22"/>
        </w:rPr>
        <w:t>(d)</w:t>
      </w:r>
      <w:r>
        <w:rPr>
          <w:spacing w:val="-1"/>
          <w:sz w:val="22"/>
        </w:rPr>
        <w:t> </w:t>
      </w:r>
      <w:r>
        <w:rPr>
          <w:sz w:val="22"/>
        </w:rPr>
        <w:t>that</w:t>
      </w:r>
      <w:r>
        <w:rPr>
          <w:spacing w:val="-1"/>
          <w:sz w:val="22"/>
        </w:rPr>
        <w:t> </w:t>
      </w:r>
      <w:r>
        <w:rPr>
          <w:sz w:val="22"/>
        </w:rPr>
        <w:t>all</w:t>
      </w:r>
      <w:r>
        <w:rPr>
          <w:spacing w:val="-1"/>
          <w:sz w:val="22"/>
        </w:rPr>
        <w:t> </w:t>
      </w:r>
      <w:r>
        <w:rPr>
          <w:sz w:val="22"/>
        </w:rPr>
        <w:t>covenants</w:t>
      </w:r>
      <w:r>
        <w:rPr>
          <w:spacing w:val="-1"/>
          <w:sz w:val="22"/>
        </w:rPr>
        <w:t> </w:t>
      </w:r>
      <w:r>
        <w:rPr>
          <w:sz w:val="22"/>
        </w:rPr>
        <w:t>on</w:t>
      </w:r>
      <w:r>
        <w:rPr>
          <w:spacing w:val="-1"/>
          <w:sz w:val="22"/>
        </w:rPr>
        <w:t> </w:t>
      </w:r>
      <w:r>
        <w:rPr>
          <w:sz w:val="22"/>
        </w:rPr>
        <w:t>the</w:t>
      </w:r>
      <w:r>
        <w:rPr>
          <w:spacing w:val="-1"/>
          <w:sz w:val="22"/>
        </w:rPr>
        <w:t> </w:t>
      </w:r>
      <w:r>
        <w:rPr>
          <w:sz w:val="22"/>
        </w:rPr>
        <w:t>part</w:t>
      </w:r>
      <w:r>
        <w:rPr>
          <w:spacing w:val="-1"/>
          <w:sz w:val="22"/>
        </w:rPr>
        <w:t> </w:t>
      </w:r>
      <w:r>
        <w:rPr>
          <w:sz w:val="22"/>
        </w:rPr>
        <w:t>of</w:t>
      </w:r>
      <w:r>
        <w:rPr>
          <w:spacing w:val="-1"/>
          <w:sz w:val="22"/>
        </w:rPr>
        <w:t> </w:t>
      </w:r>
      <w:r>
        <w:rPr>
          <w:sz w:val="22"/>
        </w:rPr>
        <w:t>the</w:t>
      </w:r>
      <w:r>
        <w:rPr>
          <w:spacing w:val="-1"/>
          <w:sz w:val="22"/>
        </w:rPr>
        <w:t> </w:t>
      </w:r>
      <w:r>
        <w:rPr>
          <w:sz w:val="22"/>
        </w:rPr>
        <w:t>Landlord</w:t>
      </w:r>
      <w:r>
        <w:rPr>
          <w:spacing w:val="-1"/>
          <w:sz w:val="22"/>
        </w:rPr>
        <w:t> </w:t>
      </w:r>
      <w:r>
        <w:rPr>
          <w:sz w:val="22"/>
        </w:rPr>
        <w:t>and</w:t>
      </w:r>
      <w:r>
        <w:rPr>
          <w:spacing w:val="-1"/>
          <w:sz w:val="22"/>
        </w:rPr>
        <w:t> </w:t>
      </w:r>
      <w:r>
        <w:rPr>
          <w:sz w:val="22"/>
        </w:rPr>
        <w:t>the</w:t>
      </w:r>
      <w:r>
        <w:rPr>
          <w:spacing w:val="-1"/>
          <w:sz w:val="22"/>
        </w:rPr>
        <w:t> </w:t>
      </w:r>
      <w:r>
        <w:rPr>
          <w:sz w:val="22"/>
        </w:rPr>
        <w:t>Tenant</w:t>
      </w:r>
      <w:r>
        <w:rPr>
          <w:spacing w:val="-1"/>
          <w:sz w:val="22"/>
        </w:rPr>
        <w:t> </w:t>
      </w:r>
      <w:r>
        <w:rPr>
          <w:sz w:val="22"/>
        </w:rPr>
        <w:t>have</w:t>
      </w:r>
      <w:r>
        <w:rPr>
          <w:spacing w:val="-1"/>
          <w:sz w:val="22"/>
        </w:rPr>
        <w:t> </w:t>
      </w:r>
      <w:r>
        <w:rPr>
          <w:sz w:val="22"/>
        </w:rPr>
        <w:t>been</w:t>
      </w:r>
      <w:r>
        <w:rPr>
          <w:spacing w:val="-1"/>
          <w:sz w:val="22"/>
        </w:rPr>
        <w:t> </w:t>
      </w:r>
      <w:r>
        <w:rPr>
          <w:sz w:val="22"/>
        </w:rPr>
        <w:t>fully observed and performed.</w:t>
      </w:r>
    </w:p>
    <w:p>
      <w:pPr>
        <w:pStyle w:val="ListParagraph"/>
        <w:numPr>
          <w:ilvl w:val="2"/>
          <w:numId w:val="3"/>
        </w:numPr>
        <w:tabs>
          <w:tab w:pos="1105" w:val="left" w:leader="none"/>
        </w:tabs>
        <w:spacing w:line="266" w:lineRule="auto" w:before="115" w:after="0"/>
        <w:ind w:left="600" w:right="119" w:firstLine="0"/>
        <w:jc w:val="both"/>
        <w:rPr>
          <w:sz w:val="22"/>
        </w:rPr>
      </w:pPr>
      <w:r>
        <w:rPr>
          <w:sz w:val="22"/>
        </w:rPr>
        <w:t>In determining the open market rent, the following matters shall be disregarded: (a) </w:t>
      </w:r>
      <w:r>
        <w:rPr>
          <w:sz w:val="22"/>
        </w:rPr>
        <w:t>any effect on rent of the fact that the Tenant or any undertenant has been in occupation of the Premises; (b) any goodwill attached to the Premises by reason of the carrying on thereat of the business</w:t>
      </w:r>
      <w:r>
        <w:rPr>
          <w:spacing w:val="2"/>
          <w:sz w:val="22"/>
        </w:rPr>
        <w:t> </w:t>
      </w:r>
      <w:r>
        <w:rPr>
          <w:sz w:val="22"/>
        </w:rPr>
        <w:t>of</w:t>
      </w:r>
      <w:r>
        <w:rPr>
          <w:spacing w:val="2"/>
          <w:sz w:val="22"/>
        </w:rPr>
        <w:t> </w:t>
      </w:r>
      <w:r>
        <w:rPr>
          <w:sz w:val="22"/>
        </w:rPr>
        <w:t>the</w:t>
      </w:r>
      <w:r>
        <w:rPr>
          <w:spacing w:val="2"/>
          <w:sz w:val="22"/>
        </w:rPr>
        <w:t> </w:t>
      </w:r>
      <w:r>
        <w:rPr>
          <w:sz w:val="22"/>
        </w:rPr>
        <w:t>Tenant</w:t>
      </w:r>
      <w:r>
        <w:rPr>
          <w:spacing w:val="2"/>
          <w:sz w:val="22"/>
        </w:rPr>
        <w:t> </w:t>
      </w:r>
      <w:r>
        <w:rPr>
          <w:sz w:val="22"/>
        </w:rPr>
        <w:t>or</w:t>
      </w:r>
      <w:r>
        <w:rPr>
          <w:spacing w:val="2"/>
          <w:sz w:val="22"/>
        </w:rPr>
        <w:t> </w:t>
      </w:r>
      <w:r>
        <w:rPr>
          <w:sz w:val="22"/>
        </w:rPr>
        <w:t>any</w:t>
      </w:r>
      <w:r>
        <w:rPr>
          <w:spacing w:val="2"/>
          <w:sz w:val="22"/>
        </w:rPr>
        <w:t> </w:t>
      </w:r>
      <w:r>
        <w:rPr>
          <w:sz w:val="22"/>
        </w:rPr>
        <w:t>undertenant;</w:t>
      </w:r>
      <w:r>
        <w:rPr>
          <w:spacing w:val="2"/>
          <w:sz w:val="22"/>
        </w:rPr>
        <w:t> </w:t>
      </w:r>
      <w:r>
        <w:rPr>
          <w:sz w:val="22"/>
        </w:rPr>
        <w:t>(c)</w:t>
      </w:r>
      <w:r>
        <w:rPr>
          <w:spacing w:val="2"/>
          <w:sz w:val="22"/>
        </w:rPr>
        <w:t> </w:t>
      </w:r>
      <w:r>
        <w:rPr>
          <w:sz w:val="22"/>
        </w:rPr>
        <w:t>any</w:t>
      </w:r>
      <w:r>
        <w:rPr>
          <w:spacing w:val="2"/>
          <w:sz w:val="22"/>
        </w:rPr>
        <w:t> </w:t>
      </w:r>
      <w:r>
        <w:rPr>
          <w:sz w:val="22"/>
        </w:rPr>
        <w:t>improvement</w:t>
      </w:r>
      <w:r>
        <w:rPr>
          <w:spacing w:val="2"/>
          <w:sz w:val="22"/>
        </w:rPr>
        <w:t> </w:t>
      </w:r>
      <w:r>
        <w:rPr>
          <w:sz w:val="22"/>
        </w:rPr>
        <w:t>to</w:t>
      </w:r>
      <w:r>
        <w:rPr>
          <w:spacing w:val="2"/>
          <w:sz w:val="22"/>
        </w:rPr>
        <w:t> </w:t>
      </w:r>
      <w:r>
        <w:rPr>
          <w:sz w:val="22"/>
        </w:rPr>
        <w:t>the</w:t>
      </w:r>
      <w:r>
        <w:rPr>
          <w:spacing w:val="2"/>
          <w:sz w:val="22"/>
        </w:rPr>
        <w:t> </w:t>
      </w:r>
      <w:r>
        <w:rPr>
          <w:sz w:val="22"/>
        </w:rPr>
        <w:t>Premises</w:t>
      </w:r>
      <w:r>
        <w:rPr>
          <w:spacing w:val="2"/>
          <w:sz w:val="22"/>
        </w:rPr>
        <w:t> </w:t>
      </w:r>
      <w:r>
        <w:rPr>
          <w:sz w:val="22"/>
        </w:rPr>
        <w:t>carried</w:t>
      </w:r>
      <w:r>
        <w:rPr>
          <w:spacing w:val="2"/>
          <w:sz w:val="22"/>
        </w:rPr>
        <w:t> </w:t>
      </w:r>
      <w:r>
        <w:rPr>
          <w:sz w:val="22"/>
        </w:rPr>
        <w:t>out</w:t>
      </w:r>
      <w:r>
        <w:rPr>
          <w:spacing w:val="2"/>
          <w:sz w:val="22"/>
        </w:rPr>
        <w:t> </w:t>
      </w:r>
      <w:r>
        <w:rPr>
          <w:spacing w:val="-5"/>
          <w:sz w:val="22"/>
        </w:rPr>
        <w:t>by</w:t>
      </w:r>
    </w:p>
    <w:p>
      <w:pPr>
        <w:pStyle w:val="ListParagraph"/>
        <w:spacing w:after="0" w:line="266" w:lineRule="auto"/>
        <w:jc w:val="both"/>
        <w:rPr>
          <w:sz w:val="22"/>
        </w:rPr>
        <w:sectPr>
          <w:pgSz w:w="11910" w:h="16840"/>
          <w:pgMar w:header="762" w:footer="745" w:top="1640" w:bottom="940" w:left="1417" w:right="1417"/>
        </w:sectPr>
      </w:pPr>
    </w:p>
    <w:p>
      <w:pPr>
        <w:pStyle w:val="BodyText"/>
        <w:spacing w:line="266" w:lineRule="auto" w:before="80"/>
        <w:ind w:left="600" w:right="119"/>
      </w:pPr>
      <w:r>
        <w:rPr/>
        <w:t>and at the expense of the Tenant during the Term otherwise than in pursuance of an </w:t>
      </w:r>
      <w:r>
        <w:rPr/>
        <w:t>obligation to the Landlord.</w:t>
      </w:r>
    </w:p>
    <w:p>
      <w:pPr>
        <w:pStyle w:val="ListParagraph"/>
        <w:numPr>
          <w:ilvl w:val="2"/>
          <w:numId w:val="3"/>
        </w:numPr>
        <w:tabs>
          <w:tab w:pos="1094" w:val="left" w:leader="none"/>
        </w:tabs>
        <w:spacing w:line="266" w:lineRule="auto" w:before="119" w:after="0"/>
        <w:ind w:left="600" w:right="119" w:firstLine="0"/>
        <w:jc w:val="both"/>
        <w:rPr>
          <w:sz w:val="22"/>
        </w:rPr>
      </w:pPr>
      <w:r>
        <w:rPr>
          <w:sz w:val="22"/>
        </w:rPr>
        <w:t>In</w:t>
      </w:r>
      <w:r>
        <w:rPr>
          <w:spacing w:val="-3"/>
          <w:sz w:val="22"/>
        </w:rPr>
        <w:t> </w:t>
      </w:r>
      <w:r>
        <w:rPr>
          <w:sz w:val="22"/>
        </w:rPr>
        <w:t>default</w:t>
      </w:r>
      <w:r>
        <w:rPr>
          <w:spacing w:val="-3"/>
          <w:sz w:val="22"/>
        </w:rPr>
        <w:t> </w:t>
      </w:r>
      <w:r>
        <w:rPr>
          <w:sz w:val="22"/>
        </w:rPr>
        <w:t>of</w:t>
      </w:r>
      <w:r>
        <w:rPr>
          <w:spacing w:val="-3"/>
          <w:sz w:val="22"/>
        </w:rPr>
        <w:t> </w:t>
      </w:r>
      <w:r>
        <w:rPr>
          <w:sz w:val="22"/>
        </w:rPr>
        <w:t>agreement</w:t>
      </w:r>
      <w:r>
        <w:rPr>
          <w:spacing w:val="-3"/>
          <w:sz w:val="22"/>
        </w:rPr>
        <w:t> </w:t>
      </w:r>
      <w:r>
        <w:rPr>
          <w:sz w:val="22"/>
        </w:rPr>
        <w:t>between</w:t>
      </w:r>
      <w:r>
        <w:rPr>
          <w:spacing w:val="-3"/>
          <w:sz w:val="22"/>
        </w:rPr>
        <w:t> </w:t>
      </w:r>
      <w:r>
        <w:rPr>
          <w:sz w:val="22"/>
        </w:rPr>
        <w:t>the</w:t>
      </w:r>
      <w:r>
        <w:rPr>
          <w:spacing w:val="-3"/>
          <w:sz w:val="22"/>
        </w:rPr>
        <w:t> </w:t>
      </w:r>
      <w:r>
        <w:rPr>
          <w:sz w:val="22"/>
        </w:rPr>
        <w:t>Landlord</w:t>
      </w:r>
      <w:r>
        <w:rPr>
          <w:spacing w:val="-3"/>
          <w:sz w:val="22"/>
        </w:rPr>
        <w:t> </w:t>
      </w:r>
      <w:r>
        <w:rPr>
          <w:sz w:val="22"/>
        </w:rPr>
        <w:t>and</w:t>
      </w:r>
      <w:r>
        <w:rPr>
          <w:spacing w:val="-3"/>
          <w:sz w:val="22"/>
        </w:rPr>
        <w:t> </w:t>
      </w:r>
      <w:r>
        <w:rPr>
          <w:sz w:val="22"/>
        </w:rPr>
        <w:t>the</w:t>
      </w:r>
      <w:r>
        <w:rPr>
          <w:spacing w:val="-3"/>
          <w:sz w:val="22"/>
        </w:rPr>
        <w:t> </w:t>
      </w:r>
      <w:r>
        <w:rPr>
          <w:sz w:val="22"/>
        </w:rPr>
        <w:t>Tenant</w:t>
      </w:r>
      <w:r>
        <w:rPr>
          <w:spacing w:val="-3"/>
          <w:sz w:val="22"/>
        </w:rPr>
        <w:t> </w:t>
      </w:r>
      <w:r>
        <w:rPr>
          <w:sz w:val="22"/>
        </w:rPr>
        <w:t>as</w:t>
      </w:r>
      <w:r>
        <w:rPr>
          <w:spacing w:val="-3"/>
          <w:sz w:val="22"/>
        </w:rPr>
        <w:t> </w:t>
      </w:r>
      <w:r>
        <w:rPr>
          <w:sz w:val="22"/>
        </w:rPr>
        <w:t>to</w:t>
      </w:r>
      <w:r>
        <w:rPr>
          <w:spacing w:val="-3"/>
          <w:sz w:val="22"/>
        </w:rPr>
        <w:t> </w:t>
      </w:r>
      <w:r>
        <w:rPr>
          <w:sz w:val="22"/>
        </w:rPr>
        <w:t>the</w:t>
      </w:r>
      <w:r>
        <w:rPr>
          <w:spacing w:val="-3"/>
          <w:sz w:val="22"/>
        </w:rPr>
        <w:t> </w:t>
      </w:r>
      <w:r>
        <w:rPr>
          <w:sz w:val="22"/>
        </w:rPr>
        <w:t>Reviewed</w:t>
      </w:r>
      <w:r>
        <w:rPr>
          <w:spacing w:val="-3"/>
          <w:sz w:val="22"/>
        </w:rPr>
        <w:t> </w:t>
      </w:r>
      <w:r>
        <w:rPr>
          <w:sz w:val="22"/>
        </w:rPr>
        <w:t>Rent</w:t>
      </w:r>
      <w:r>
        <w:rPr>
          <w:spacing w:val="-3"/>
          <w:sz w:val="22"/>
        </w:rPr>
        <w:t> </w:t>
      </w:r>
      <w:r>
        <w:rPr>
          <w:sz w:val="22"/>
        </w:rPr>
        <w:t>by the relevant Review Date, the Reviewed Rent shall be determined by an independent </w:t>
      </w:r>
      <w:r>
        <w:rPr>
          <w:sz w:val="22"/>
        </w:rPr>
        <w:t>surveyor acting as an expert (and not as an arbitrator) appointed by agreement between the parties or, in default of agreement, by the President for the time being of the Royal Institution of Chartered Surveyors on the application of either party. The rent review shall be upward only.</w:t>
      </w:r>
    </w:p>
    <w:p>
      <w:pPr>
        <w:pStyle w:val="ListParagraph"/>
        <w:numPr>
          <w:ilvl w:val="1"/>
          <w:numId w:val="3"/>
        </w:numPr>
        <w:tabs>
          <w:tab w:pos="705" w:val="left" w:leader="none"/>
        </w:tabs>
        <w:spacing w:line="266" w:lineRule="auto" w:before="116" w:after="0"/>
        <w:ind w:left="360" w:right="119" w:firstLine="0"/>
        <w:jc w:val="both"/>
        <w:rPr>
          <w:sz w:val="22"/>
        </w:rPr>
      </w:pPr>
      <w:r>
        <w:rPr>
          <w:sz w:val="22"/>
        </w:rPr>
        <w:t>If and so long as the Reviewed Rent has not been ascertained by the relevant Review Date, the Tenant shall continue to pay rent at the rate payable immediately before that Review </w:t>
      </w:r>
      <w:r>
        <w:rPr>
          <w:sz w:val="22"/>
        </w:rPr>
        <w:t>Date. Upon</w:t>
      </w:r>
      <w:r>
        <w:rPr>
          <w:spacing w:val="5"/>
          <w:sz w:val="22"/>
        </w:rPr>
        <w:t> </w:t>
      </w:r>
      <w:r>
        <w:rPr>
          <w:sz w:val="22"/>
        </w:rPr>
        <w:t>the</w:t>
      </w:r>
      <w:r>
        <w:rPr>
          <w:spacing w:val="5"/>
          <w:sz w:val="22"/>
        </w:rPr>
        <w:t> </w:t>
      </w:r>
      <w:r>
        <w:rPr>
          <w:sz w:val="22"/>
        </w:rPr>
        <w:t>Reviewed</w:t>
      </w:r>
      <w:r>
        <w:rPr>
          <w:spacing w:val="5"/>
          <w:sz w:val="22"/>
        </w:rPr>
        <w:t> </w:t>
      </w:r>
      <w:r>
        <w:rPr>
          <w:sz w:val="22"/>
        </w:rPr>
        <w:t>Rent</w:t>
      </w:r>
      <w:r>
        <w:rPr>
          <w:spacing w:val="5"/>
          <w:sz w:val="22"/>
        </w:rPr>
        <w:t> </w:t>
      </w:r>
      <w:r>
        <w:rPr>
          <w:sz w:val="22"/>
        </w:rPr>
        <w:t>being</w:t>
      </w:r>
      <w:r>
        <w:rPr>
          <w:spacing w:val="5"/>
          <w:sz w:val="22"/>
        </w:rPr>
        <w:t> </w:t>
      </w:r>
      <w:r>
        <w:rPr>
          <w:sz w:val="22"/>
        </w:rPr>
        <w:t>ascertained,</w:t>
      </w:r>
      <w:r>
        <w:rPr>
          <w:spacing w:val="5"/>
          <w:sz w:val="22"/>
        </w:rPr>
        <w:t> </w:t>
      </w:r>
      <w:r>
        <w:rPr>
          <w:sz w:val="22"/>
        </w:rPr>
        <w:t>the</w:t>
      </w:r>
      <w:r>
        <w:rPr>
          <w:spacing w:val="5"/>
          <w:sz w:val="22"/>
        </w:rPr>
        <w:t> </w:t>
      </w:r>
      <w:r>
        <w:rPr>
          <w:sz w:val="22"/>
        </w:rPr>
        <w:t>Tenant</w:t>
      </w:r>
      <w:r>
        <w:rPr>
          <w:spacing w:val="5"/>
          <w:sz w:val="22"/>
        </w:rPr>
        <w:t> </w:t>
      </w:r>
      <w:r>
        <w:rPr>
          <w:sz w:val="22"/>
        </w:rPr>
        <w:t>shall</w:t>
      </w:r>
      <w:r>
        <w:rPr>
          <w:spacing w:val="5"/>
          <w:sz w:val="22"/>
        </w:rPr>
        <w:t> </w:t>
      </w:r>
      <w:r>
        <w:rPr>
          <w:sz w:val="22"/>
        </w:rPr>
        <w:t>pay</w:t>
      </w:r>
      <w:r>
        <w:rPr>
          <w:spacing w:val="5"/>
          <w:sz w:val="22"/>
        </w:rPr>
        <w:t> </w:t>
      </w:r>
      <w:r>
        <w:rPr>
          <w:sz w:val="22"/>
        </w:rPr>
        <w:t>to</w:t>
      </w:r>
      <w:r>
        <w:rPr>
          <w:spacing w:val="5"/>
          <w:sz w:val="22"/>
        </w:rPr>
        <w:t> </w:t>
      </w:r>
      <w:r>
        <w:rPr>
          <w:sz w:val="22"/>
        </w:rPr>
        <w:t>the</w:t>
      </w:r>
      <w:r>
        <w:rPr>
          <w:spacing w:val="5"/>
          <w:sz w:val="22"/>
        </w:rPr>
        <w:t> </w:t>
      </w:r>
      <w:r>
        <w:rPr>
          <w:sz w:val="22"/>
        </w:rPr>
        <w:t>Landlord</w:t>
      </w:r>
      <w:r>
        <w:rPr>
          <w:spacing w:val="5"/>
          <w:sz w:val="22"/>
        </w:rPr>
        <w:t> </w:t>
      </w:r>
      <w:r>
        <w:rPr>
          <w:sz w:val="22"/>
        </w:rPr>
        <w:t>within</w:t>
      </w:r>
      <w:r>
        <w:rPr>
          <w:spacing w:val="5"/>
          <w:sz w:val="22"/>
        </w:rPr>
        <w:t> </w:t>
      </w:r>
      <w:r>
        <w:rPr>
          <w:spacing w:val="-2"/>
          <w:sz w:val="22"/>
        </w:rPr>
        <w:t>fourteen</w:t>
      </w:r>
    </w:p>
    <w:p>
      <w:pPr>
        <w:pStyle w:val="BodyText"/>
        <w:spacing w:line="266" w:lineRule="auto"/>
        <w:ind w:left="360" w:right="119"/>
      </w:pPr>
      <w:r>
        <w:rPr/>
        <w:t>(14)</w:t>
      </w:r>
      <w:r>
        <w:rPr>
          <w:spacing w:val="-1"/>
        </w:rPr>
        <w:t> </w:t>
      </w:r>
      <w:r>
        <w:rPr/>
        <w:t>days</w:t>
      </w:r>
      <w:r>
        <w:rPr>
          <w:spacing w:val="-1"/>
        </w:rPr>
        <w:t> </w:t>
      </w:r>
      <w:r>
        <w:rPr/>
        <w:t>any</w:t>
      </w:r>
      <w:r>
        <w:rPr>
          <w:spacing w:val="-1"/>
        </w:rPr>
        <w:t> </w:t>
      </w:r>
      <w:r>
        <w:rPr/>
        <w:t>shortfall,</w:t>
      </w:r>
      <w:r>
        <w:rPr>
          <w:spacing w:val="-1"/>
        </w:rPr>
        <w:t> </w:t>
      </w:r>
      <w:r>
        <w:rPr/>
        <w:t>together</w:t>
      </w:r>
      <w:r>
        <w:rPr>
          <w:spacing w:val="-1"/>
        </w:rPr>
        <w:t> </w:t>
      </w:r>
      <w:r>
        <w:rPr/>
        <w:t>with</w:t>
      </w:r>
      <w:r>
        <w:rPr>
          <w:spacing w:val="-1"/>
        </w:rPr>
        <w:t> </w:t>
      </w:r>
      <w:r>
        <w:rPr/>
        <w:t>interest</w:t>
      </w:r>
      <w:r>
        <w:rPr>
          <w:spacing w:val="-1"/>
        </w:rPr>
        <w:t> </w:t>
      </w:r>
      <w:r>
        <w:rPr/>
        <w:t>thereon</w:t>
      </w:r>
      <w:r>
        <w:rPr>
          <w:spacing w:val="-1"/>
        </w:rPr>
        <w:t> </w:t>
      </w:r>
      <w:r>
        <w:rPr/>
        <w:t>at</w:t>
      </w:r>
      <w:r>
        <w:rPr>
          <w:spacing w:val="-1"/>
        </w:rPr>
        <w:t> </w:t>
      </w:r>
      <w:r>
        <w:rPr/>
        <w:t>2%</w:t>
      </w:r>
      <w:r>
        <w:rPr>
          <w:spacing w:val="-1"/>
        </w:rPr>
        <w:t> </w:t>
      </w:r>
      <w:r>
        <w:rPr/>
        <w:t>above</w:t>
      </w:r>
      <w:r>
        <w:rPr>
          <w:spacing w:val="-1"/>
        </w:rPr>
        <w:t> </w:t>
      </w:r>
      <w:r>
        <w:rPr/>
        <w:t>the</w:t>
      </w:r>
      <w:r>
        <w:rPr>
          <w:spacing w:val="-1"/>
        </w:rPr>
        <w:t> </w:t>
      </w:r>
      <w:r>
        <w:rPr/>
        <w:t>base</w:t>
      </w:r>
      <w:r>
        <w:rPr>
          <w:spacing w:val="-1"/>
        </w:rPr>
        <w:t> </w:t>
      </w:r>
      <w:r>
        <w:rPr/>
        <w:t>rate</w:t>
      </w:r>
      <w:r>
        <w:rPr>
          <w:spacing w:val="-1"/>
        </w:rPr>
        <w:t> </w:t>
      </w:r>
      <w:r>
        <w:rPr/>
        <w:t>of</w:t>
      </w:r>
      <w:r>
        <w:rPr>
          <w:spacing w:val="-1"/>
        </w:rPr>
        <w:t> </w:t>
      </w:r>
      <w:r>
        <w:rPr/>
        <w:t>Barclays</w:t>
      </w:r>
      <w:r>
        <w:rPr>
          <w:spacing w:val="-1"/>
        </w:rPr>
        <w:t> </w:t>
      </w:r>
      <w:r>
        <w:rPr/>
        <w:t>Bank PLC from the relevant Review Date to the date of payment.</w:t>
      </w:r>
    </w:p>
    <w:p>
      <w:pPr>
        <w:pStyle w:val="BodyText"/>
        <w:spacing w:before="105"/>
        <w:jc w:val="left"/>
      </w:pPr>
    </w:p>
    <w:p>
      <w:pPr>
        <w:pStyle w:val="Heading2"/>
      </w:pPr>
      <w:r>
        <w:rPr/>
        <w:t>Section 4 — Repair and </w:t>
      </w:r>
      <w:r>
        <w:rPr>
          <w:spacing w:val="-2"/>
        </w:rPr>
        <w:t>Maintenance</w:t>
      </w:r>
    </w:p>
    <w:p>
      <w:pPr>
        <w:pStyle w:val="Heading3"/>
        <w:numPr>
          <w:ilvl w:val="1"/>
          <w:numId w:val="4"/>
        </w:numPr>
        <w:tabs>
          <w:tab w:pos="760" w:val="left" w:leader="none"/>
        </w:tabs>
        <w:spacing w:line="240" w:lineRule="auto" w:before="276" w:after="0"/>
        <w:ind w:left="760" w:right="0" w:hanging="400"/>
        <w:jc w:val="both"/>
      </w:pPr>
      <w:r>
        <w:rPr/>
        <w:t>Tenant's </w:t>
      </w:r>
      <w:r>
        <w:rPr>
          <w:spacing w:val="-2"/>
        </w:rPr>
        <w:t>Obligations</w:t>
      </w:r>
    </w:p>
    <w:p>
      <w:pPr>
        <w:pStyle w:val="ListParagraph"/>
        <w:numPr>
          <w:ilvl w:val="2"/>
          <w:numId w:val="4"/>
        </w:numPr>
        <w:tabs>
          <w:tab w:pos="1114" w:val="left" w:leader="none"/>
        </w:tabs>
        <w:spacing w:line="266" w:lineRule="auto" w:before="144" w:after="0"/>
        <w:ind w:left="600" w:right="119" w:firstLine="0"/>
        <w:jc w:val="both"/>
        <w:rPr>
          <w:sz w:val="22"/>
        </w:rPr>
      </w:pPr>
      <w:r>
        <w:rPr>
          <w:sz w:val="22"/>
        </w:rPr>
        <w:t>The Tenant shall keep the Premises and every part thereof (including all additions and alterations</w:t>
      </w:r>
      <w:r>
        <w:rPr>
          <w:spacing w:val="-3"/>
          <w:sz w:val="22"/>
        </w:rPr>
        <w:t> </w:t>
      </w:r>
      <w:r>
        <w:rPr>
          <w:sz w:val="22"/>
        </w:rPr>
        <w:t>thereto)</w:t>
      </w:r>
      <w:r>
        <w:rPr>
          <w:spacing w:val="-3"/>
          <w:sz w:val="22"/>
        </w:rPr>
        <w:t> </w:t>
      </w:r>
      <w:r>
        <w:rPr>
          <w:sz w:val="22"/>
        </w:rPr>
        <w:t>in</w:t>
      </w:r>
      <w:r>
        <w:rPr>
          <w:spacing w:val="-3"/>
          <w:sz w:val="22"/>
        </w:rPr>
        <w:t> </w:t>
      </w:r>
      <w:r>
        <w:rPr>
          <w:sz w:val="22"/>
        </w:rPr>
        <w:t>good</w:t>
      </w:r>
      <w:r>
        <w:rPr>
          <w:spacing w:val="-3"/>
          <w:sz w:val="22"/>
        </w:rPr>
        <w:t> </w:t>
      </w:r>
      <w:r>
        <w:rPr>
          <w:sz w:val="22"/>
        </w:rPr>
        <w:t>and</w:t>
      </w:r>
      <w:r>
        <w:rPr>
          <w:spacing w:val="-3"/>
          <w:sz w:val="22"/>
        </w:rPr>
        <w:t> </w:t>
      </w:r>
      <w:r>
        <w:rPr>
          <w:sz w:val="22"/>
        </w:rPr>
        <w:t>substantial</w:t>
      </w:r>
      <w:r>
        <w:rPr>
          <w:spacing w:val="-3"/>
          <w:sz w:val="22"/>
        </w:rPr>
        <w:t> </w:t>
      </w:r>
      <w:r>
        <w:rPr>
          <w:sz w:val="22"/>
        </w:rPr>
        <w:t>repair</w:t>
      </w:r>
      <w:r>
        <w:rPr>
          <w:spacing w:val="-3"/>
          <w:sz w:val="22"/>
        </w:rPr>
        <w:t> </w:t>
      </w:r>
      <w:r>
        <w:rPr>
          <w:sz w:val="22"/>
        </w:rPr>
        <w:t>and</w:t>
      </w:r>
      <w:r>
        <w:rPr>
          <w:spacing w:val="-3"/>
          <w:sz w:val="22"/>
        </w:rPr>
        <w:t> </w:t>
      </w:r>
      <w:r>
        <w:rPr>
          <w:sz w:val="22"/>
        </w:rPr>
        <w:t>condition</w:t>
      </w:r>
      <w:r>
        <w:rPr>
          <w:spacing w:val="-3"/>
          <w:sz w:val="22"/>
        </w:rPr>
        <w:t> </w:t>
      </w:r>
      <w:r>
        <w:rPr>
          <w:sz w:val="22"/>
        </w:rPr>
        <w:t>throughout</w:t>
      </w:r>
      <w:r>
        <w:rPr>
          <w:spacing w:val="-3"/>
          <w:sz w:val="22"/>
        </w:rPr>
        <w:t> </w:t>
      </w:r>
      <w:r>
        <w:rPr>
          <w:sz w:val="22"/>
        </w:rPr>
        <w:t>the</w:t>
      </w:r>
      <w:r>
        <w:rPr>
          <w:spacing w:val="-3"/>
          <w:sz w:val="22"/>
        </w:rPr>
        <w:t> </w:t>
      </w:r>
      <w:r>
        <w:rPr>
          <w:sz w:val="22"/>
        </w:rPr>
        <w:t>Term,</w:t>
      </w:r>
      <w:r>
        <w:rPr>
          <w:spacing w:val="-3"/>
          <w:sz w:val="22"/>
        </w:rPr>
        <w:t> </w:t>
      </w:r>
      <w:r>
        <w:rPr>
          <w:sz w:val="22"/>
        </w:rPr>
        <w:t>fair</w:t>
      </w:r>
      <w:r>
        <w:rPr>
          <w:spacing w:val="-3"/>
          <w:sz w:val="22"/>
        </w:rPr>
        <w:t> </w:t>
      </w:r>
      <w:r>
        <w:rPr>
          <w:sz w:val="22"/>
        </w:rPr>
        <w:t>wear and</w:t>
      </w:r>
      <w:r>
        <w:rPr>
          <w:spacing w:val="-4"/>
          <w:sz w:val="22"/>
        </w:rPr>
        <w:t> </w:t>
      </w:r>
      <w:r>
        <w:rPr>
          <w:sz w:val="22"/>
        </w:rPr>
        <w:t>tear</w:t>
      </w:r>
      <w:r>
        <w:rPr>
          <w:spacing w:val="-4"/>
          <w:sz w:val="22"/>
        </w:rPr>
        <w:t> </w:t>
      </w:r>
      <w:r>
        <w:rPr>
          <w:sz w:val="22"/>
        </w:rPr>
        <w:t>excepted,</w:t>
      </w:r>
      <w:r>
        <w:rPr>
          <w:spacing w:val="-4"/>
          <w:sz w:val="22"/>
        </w:rPr>
        <w:t> </w:t>
      </w:r>
      <w:r>
        <w:rPr>
          <w:sz w:val="22"/>
        </w:rPr>
        <w:t>and</w:t>
      </w:r>
      <w:r>
        <w:rPr>
          <w:spacing w:val="-4"/>
          <w:sz w:val="22"/>
        </w:rPr>
        <w:t> </w:t>
      </w:r>
      <w:r>
        <w:rPr>
          <w:sz w:val="22"/>
        </w:rPr>
        <w:t>shall</w:t>
      </w:r>
      <w:r>
        <w:rPr>
          <w:spacing w:val="-4"/>
          <w:sz w:val="22"/>
        </w:rPr>
        <w:t> </w:t>
      </w:r>
      <w:r>
        <w:rPr>
          <w:sz w:val="22"/>
        </w:rPr>
        <w:t>yield</w:t>
      </w:r>
      <w:r>
        <w:rPr>
          <w:spacing w:val="-4"/>
          <w:sz w:val="22"/>
        </w:rPr>
        <w:t> </w:t>
      </w:r>
      <w:r>
        <w:rPr>
          <w:sz w:val="22"/>
        </w:rPr>
        <w:t>up</w:t>
      </w:r>
      <w:r>
        <w:rPr>
          <w:spacing w:val="-4"/>
          <w:sz w:val="22"/>
        </w:rPr>
        <w:t> </w:t>
      </w:r>
      <w:r>
        <w:rPr>
          <w:sz w:val="22"/>
        </w:rPr>
        <w:t>the</w:t>
      </w:r>
      <w:r>
        <w:rPr>
          <w:spacing w:val="-4"/>
          <w:sz w:val="22"/>
        </w:rPr>
        <w:t> </w:t>
      </w:r>
      <w:r>
        <w:rPr>
          <w:sz w:val="22"/>
        </w:rPr>
        <w:t>Premises</w:t>
      </w:r>
      <w:r>
        <w:rPr>
          <w:spacing w:val="-4"/>
          <w:sz w:val="22"/>
        </w:rPr>
        <w:t> </w:t>
      </w:r>
      <w:r>
        <w:rPr>
          <w:sz w:val="22"/>
        </w:rPr>
        <w:t>in</w:t>
      </w:r>
      <w:r>
        <w:rPr>
          <w:spacing w:val="-4"/>
          <w:sz w:val="22"/>
        </w:rPr>
        <w:t> </w:t>
      </w:r>
      <w:r>
        <w:rPr>
          <w:sz w:val="22"/>
        </w:rPr>
        <w:t>such</w:t>
      </w:r>
      <w:r>
        <w:rPr>
          <w:spacing w:val="-4"/>
          <w:sz w:val="22"/>
        </w:rPr>
        <w:t> </w:t>
      </w:r>
      <w:r>
        <w:rPr>
          <w:sz w:val="22"/>
        </w:rPr>
        <w:t>repair</w:t>
      </w:r>
      <w:r>
        <w:rPr>
          <w:spacing w:val="-4"/>
          <w:sz w:val="22"/>
        </w:rPr>
        <w:t> </w:t>
      </w:r>
      <w:r>
        <w:rPr>
          <w:sz w:val="22"/>
        </w:rPr>
        <w:t>and</w:t>
      </w:r>
      <w:r>
        <w:rPr>
          <w:spacing w:val="-4"/>
          <w:sz w:val="22"/>
        </w:rPr>
        <w:t> </w:t>
      </w:r>
      <w:r>
        <w:rPr>
          <w:sz w:val="22"/>
        </w:rPr>
        <w:t>condition</w:t>
      </w:r>
      <w:r>
        <w:rPr>
          <w:spacing w:val="-4"/>
          <w:sz w:val="22"/>
        </w:rPr>
        <w:t> </w:t>
      </w:r>
      <w:r>
        <w:rPr>
          <w:sz w:val="22"/>
        </w:rPr>
        <w:t>at</w:t>
      </w:r>
      <w:r>
        <w:rPr>
          <w:spacing w:val="-4"/>
          <w:sz w:val="22"/>
        </w:rPr>
        <w:t> </w:t>
      </w:r>
      <w:r>
        <w:rPr>
          <w:sz w:val="22"/>
        </w:rPr>
        <w:t>the</w:t>
      </w:r>
      <w:r>
        <w:rPr>
          <w:spacing w:val="-4"/>
          <w:sz w:val="22"/>
        </w:rPr>
        <w:t> </w:t>
      </w:r>
      <w:r>
        <w:rPr>
          <w:sz w:val="22"/>
        </w:rPr>
        <w:t>expiration or sooner determination of the Term.</w:t>
      </w:r>
    </w:p>
    <w:p>
      <w:pPr>
        <w:pStyle w:val="ListParagraph"/>
        <w:numPr>
          <w:ilvl w:val="2"/>
          <w:numId w:val="4"/>
        </w:numPr>
        <w:tabs>
          <w:tab w:pos="1106" w:val="left" w:leader="none"/>
        </w:tabs>
        <w:spacing w:line="266" w:lineRule="auto" w:before="117" w:after="0"/>
        <w:ind w:left="600" w:right="118" w:firstLine="0"/>
        <w:jc w:val="both"/>
        <w:rPr>
          <w:sz w:val="22"/>
        </w:rPr>
      </w:pPr>
      <w:r>
        <w:rPr>
          <w:sz w:val="22"/>
        </w:rPr>
        <w:t>The Tenant shall keep the interior of the Premises (including the internal surfaces of </w:t>
      </w:r>
      <w:r>
        <w:rPr>
          <w:sz w:val="22"/>
        </w:rPr>
        <w:t>all external and load-bearing walls, floors, ceilings, columns, doors, windows and window frames) properly decorated to a standard consistent with that of a first-class office building in the</w:t>
      </w:r>
      <w:r>
        <w:rPr>
          <w:spacing w:val="13"/>
          <w:sz w:val="22"/>
        </w:rPr>
        <w:t> </w:t>
      </w:r>
      <w:r>
        <w:rPr>
          <w:sz w:val="22"/>
        </w:rPr>
        <w:t>City</w:t>
      </w:r>
      <w:r>
        <w:rPr>
          <w:spacing w:val="13"/>
          <w:sz w:val="22"/>
        </w:rPr>
        <w:t> </w:t>
      </w:r>
      <w:r>
        <w:rPr>
          <w:sz w:val="22"/>
        </w:rPr>
        <w:t>of</w:t>
      </w:r>
      <w:r>
        <w:rPr>
          <w:spacing w:val="13"/>
          <w:sz w:val="22"/>
        </w:rPr>
        <w:t> </w:t>
      </w:r>
      <w:r>
        <w:rPr>
          <w:sz w:val="22"/>
        </w:rPr>
        <w:t>London,</w:t>
      </w:r>
      <w:r>
        <w:rPr>
          <w:spacing w:val="13"/>
          <w:sz w:val="22"/>
        </w:rPr>
        <w:t> </w:t>
      </w:r>
      <w:r>
        <w:rPr>
          <w:sz w:val="22"/>
        </w:rPr>
        <w:t>and</w:t>
      </w:r>
      <w:r>
        <w:rPr>
          <w:spacing w:val="13"/>
          <w:sz w:val="22"/>
        </w:rPr>
        <w:t> </w:t>
      </w:r>
      <w:r>
        <w:rPr>
          <w:sz w:val="22"/>
        </w:rPr>
        <w:t>shall</w:t>
      </w:r>
      <w:r>
        <w:rPr>
          <w:spacing w:val="13"/>
          <w:sz w:val="22"/>
        </w:rPr>
        <w:t> </w:t>
      </w:r>
      <w:r>
        <w:rPr>
          <w:sz w:val="22"/>
        </w:rPr>
        <w:t>redecorate</w:t>
      </w:r>
      <w:r>
        <w:rPr>
          <w:spacing w:val="13"/>
          <w:sz w:val="22"/>
        </w:rPr>
        <w:t> </w:t>
      </w:r>
      <w:r>
        <w:rPr>
          <w:sz w:val="22"/>
        </w:rPr>
        <w:t>the</w:t>
      </w:r>
      <w:r>
        <w:rPr>
          <w:spacing w:val="13"/>
          <w:sz w:val="22"/>
        </w:rPr>
        <w:t> </w:t>
      </w:r>
      <w:r>
        <w:rPr>
          <w:sz w:val="22"/>
        </w:rPr>
        <w:t>same</w:t>
      </w:r>
      <w:r>
        <w:rPr>
          <w:spacing w:val="13"/>
          <w:sz w:val="22"/>
        </w:rPr>
        <w:t> </w:t>
      </w:r>
      <w:r>
        <w:rPr>
          <w:sz w:val="22"/>
        </w:rPr>
        <w:t>not</w:t>
      </w:r>
      <w:r>
        <w:rPr>
          <w:spacing w:val="13"/>
          <w:sz w:val="22"/>
        </w:rPr>
        <w:t> </w:t>
      </w:r>
      <w:r>
        <w:rPr>
          <w:sz w:val="22"/>
        </w:rPr>
        <w:t>less</w:t>
      </w:r>
      <w:r>
        <w:rPr>
          <w:spacing w:val="13"/>
          <w:sz w:val="22"/>
        </w:rPr>
        <w:t> </w:t>
      </w:r>
      <w:r>
        <w:rPr>
          <w:sz w:val="22"/>
        </w:rPr>
        <w:t>frequently</w:t>
      </w:r>
      <w:r>
        <w:rPr>
          <w:spacing w:val="13"/>
          <w:sz w:val="22"/>
        </w:rPr>
        <w:t> </w:t>
      </w:r>
      <w:r>
        <w:rPr>
          <w:sz w:val="22"/>
        </w:rPr>
        <w:t>than</w:t>
      </w:r>
      <w:r>
        <w:rPr>
          <w:spacing w:val="13"/>
          <w:sz w:val="22"/>
        </w:rPr>
        <w:t> </w:t>
      </w:r>
      <w:r>
        <w:rPr>
          <w:sz w:val="22"/>
        </w:rPr>
        <w:t>once</w:t>
      </w:r>
      <w:r>
        <w:rPr>
          <w:spacing w:val="13"/>
          <w:sz w:val="22"/>
        </w:rPr>
        <w:t> </w:t>
      </w:r>
      <w:r>
        <w:rPr>
          <w:sz w:val="22"/>
        </w:rPr>
        <w:t>in</w:t>
      </w:r>
      <w:r>
        <w:rPr>
          <w:spacing w:val="13"/>
          <w:sz w:val="22"/>
        </w:rPr>
        <w:t> </w:t>
      </w:r>
      <w:r>
        <w:rPr>
          <w:sz w:val="22"/>
        </w:rPr>
        <w:t>every</w:t>
      </w:r>
      <w:r>
        <w:rPr>
          <w:spacing w:val="13"/>
          <w:sz w:val="22"/>
        </w:rPr>
        <w:t> </w:t>
      </w:r>
      <w:r>
        <w:rPr>
          <w:spacing w:val="-4"/>
          <w:sz w:val="22"/>
        </w:rPr>
        <w:t>five</w:t>
      </w:r>
    </w:p>
    <w:p>
      <w:pPr>
        <w:pStyle w:val="BodyText"/>
        <w:spacing w:line="250" w:lineRule="exact"/>
        <w:ind w:left="600"/>
      </w:pPr>
      <w:r>
        <w:rPr/>
        <w:t>(5) years of the Term and in the last year of the Term (howsoever </w:t>
      </w:r>
      <w:r>
        <w:rPr>
          <w:spacing w:val="-2"/>
        </w:rPr>
        <w:t>determined).</w:t>
      </w:r>
    </w:p>
    <w:p>
      <w:pPr>
        <w:pStyle w:val="ListParagraph"/>
        <w:numPr>
          <w:ilvl w:val="2"/>
          <w:numId w:val="4"/>
        </w:numPr>
        <w:tabs>
          <w:tab w:pos="1121" w:val="left" w:leader="none"/>
        </w:tabs>
        <w:spacing w:line="266" w:lineRule="auto" w:before="147" w:after="0"/>
        <w:ind w:left="600" w:right="119" w:firstLine="0"/>
        <w:jc w:val="both"/>
        <w:rPr>
          <w:sz w:val="22"/>
        </w:rPr>
      </w:pPr>
      <w:r>
        <w:rPr>
          <w:sz w:val="22"/>
        </w:rPr>
        <w:t>The Tenant shall not commit or permit any waste, spoil or destruction in or upon the </w:t>
      </w:r>
      <w:r>
        <w:rPr>
          <w:spacing w:val="-2"/>
          <w:sz w:val="22"/>
        </w:rPr>
        <w:t>Premises.</w:t>
      </w:r>
    </w:p>
    <w:p>
      <w:pPr>
        <w:pStyle w:val="Heading3"/>
        <w:numPr>
          <w:ilvl w:val="1"/>
          <w:numId w:val="4"/>
        </w:numPr>
        <w:tabs>
          <w:tab w:pos="760" w:val="left" w:leader="none"/>
        </w:tabs>
        <w:spacing w:line="240" w:lineRule="auto" w:before="238" w:after="0"/>
        <w:ind w:left="760" w:right="0" w:hanging="400"/>
        <w:jc w:val="both"/>
      </w:pPr>
      <w:r>
        <w:rPr/>
        <w:t>Landlord's </w:t>
      </w:r>
      <w:r>
        <w:rPr>
          <w:spacing w:val="-2"/>
        </w:rPr>
        <w:t>Obligations</w:t>
      </w:r>
    </w:p>
    <w:p>
      <w:pPr>
        <w:pStyle w:val="ListParagraph"/>
        <w:numPr>
          <w:ilvl w:val="2"/>
          <w:numId w:val="4"/>
        </w:numPr>
        <w:tabs>
          <w:tab w:pos="1110" w:val="left" w:leader="none"/>
        </w:tabs>
        <w:spacing w:line="266" w:lineRule="auto" w:before="144" w:after="0"/>
        <w:ind w:left="600" w:right="119" w:firstLine="0"/>
        <w:jc w:val="both"/>
        <w:rPr>
          <w:sz w:val="22"/>
        </w:rPr>
      </w:pPr>
      <w:r>
        <w:rPr>
          <w:sz w:val="22"/>
        </w:rPr>
        <w:t>The Landlord shall keep in good and substantial repair the structure and exterior of </w:t>
      </w:r>
      <w:r>
        <w:rPr>
          <w:sz w:val="22"/>
        </w:rPr>
        <w:t>the Building (including the roof, foundations, external walls and common parts) and all</w:t>
      </w:r>
      <w:r>
        <w:rPr>
          <w:spacing w:val="40"/>
          <w:sz w:val="22"/>
        </w:rPr>
        <w:t> </w:t>
      </w:r>
      <w:r>
        <w:rPr>
          <w:sz w:val="22"/>
        </w:rPr>
        <w:t>conducting media serving the Building.</w:t>
      </w:r>
    </w:p>
    <w:p>
      <w:pPr>
        <w:pStyle w:val="ListParagraph"/>
        <w:numPr>
          <w:ilvl w:val="2"/>
          <w:numId w:val="4"/>
        </w:numPr>
        <w:tabs>
          <w:tab w:pos="1128" w:val="left" w:leader="none"/>
        </w:tabs>
        <w:spacing w:line="266" w:lineRule="auto" w:before="118" w:after="0"/>
        <w:ind w:left="600" w:right="119" w:firstLine="0"/>
        <w:jc w:val="both"/>
        <w:rPr>
          <w:sz w:val="22"/>
        </w:rPr>
      </w:pPr>
      <w:r>
        <w:rPr>
          <w:sz w:val="22"/>
        </w:rPr>
        <w:t>The Landlord shall maintain, repair and as necessary renew all plant, machinery and equipment serving the Building, including the lifts, air conditioning system, fire detection and suppression systems, and common area lighting.</w:t>
      </w:r>
    </w:p>
    <w:p>
      <w:pPr>
        <w:pStyle w:val="ListParagraph"/>
        <w:numPr>
          <w:ilvl w:val="2"/>
          <w:numId w:val="4"/>
        </w:numPr>
        <w:tabs>
          <w:tab w:pos="1097" w:val="left" w:leader="none"/>
        </w:tabs>
        <w:spacing w:line="266" w:lineRule="auto" w:before="117" w:after="0"/>
        <w:ind w:left="600" w:right="119" w:firstLine="0"/>
        <w:jc w:val="both"/>
        <w:rPr>
          <w:sz w:val="22"/>
        </w:rPr>
      </w:pPr>
      <w:r>
        <w:rPr>
          <w:sz w:val="22"/>
        </w:rPr>
        <w:t>The cost of the Landlord's obligations under this clause 4.2 shall be recoverable from the Tenant as part of the service charge in accordance with Schedule 3 hereto, the </w:t>
      </w:r>
      <w:r>
        <w:rPr>
          <w:sz w:val="22"/>
        </w:rPr>
        <w:t>Tenant's proportion being 18.7% (representing the ratio of the net internal area of the Premises to the total lettable area of the Building).</w:t>
      </w:r>
    </w:p>
    <w:p>
      <w:pPr>
        <w:pStyle w:val="ListParagraph"/>
        <w:numPr>
          <w:ilvl w:val="1"/>
          <w:numId w:val="4"/>
        </w:numPr>
        <w:tabs>
          <w:tab w:pos="720" w:val="left" w:leader="none"/>
        </w:tabs>
        <w:spacing w:line="266" w:lineRule="auto" w:before="117" w:after="0"/>
        <w:ind w:left="360" w:right="119" w:firstLine="0"/>
        <w:jc w:val="both"/>
        <w:rPr>
          <w:sz w:val="22"/>
        </w:rPr>
      </w:pPr>
      <w:r>
        <w:rPr>
          <w:sz w:val="22"/>
        </w:rPr>
        <w:t>A schedule of condition recording the state and condition of the Premises as at the Term Commencement</w:t>
      </w:r>
      <w:r>
        <w:rPr>
          <w:spacing w:val="-3"/>
          <w:sz w:val="22"/>
        </w:rPr>
        <w:t> </w:t>
      </w:r>
      <w:r>
        <w:rPr>
          <w:sz w:val="22"/>
        </w:rPr>
        <w:t>Date</w:t>
      </w:r>
      <w:r>
        <w:rPr>
          <w:spacing w:val="-3"/>
          <w:sz w:val="22"/>
        </w:rPr>
        <w:t> </w:t>
      </w:r>
      <w:r>
        <w:rPr>
          <w:sz w:val="22"/>
        </w:rPr>
        <w:t>has</w:t>
      </w:r>
      <w:r>
        <w:rPr>
          <w:spacing w:val="-3"/>
          <w:sz w:val="22"/>
        </w:rPr>
        <w:t> </w:t>
      </w:r>
      <w:r>
        <w:rPr>
          <w:sz w:val="22"/>
        </w:rPr>
        <w:t>been</w:t>
      </w:r>
      <w:r>
        <w:rPr>
          <w:spacing w:val="-3"/>
          <w:sz w:val="22"/>
        </w:rPr>
        <w:t> </w:t>
      </w:r>
      <w:r>
        <w:rPr>
          <w:sz w:val="22"/>
        </w:rPr>
        <w:t>prepared</w:t>
      </w:r>
      <w:r>
        <w:rPr>
          <w:spacing w:val="-3"/>
          <w:sz w:val="22"/>
        </w:rPr>
        <w:t> </w:t>
      </w:r>
      <w:r>
        <w:rPr>
          <w:sz w:val="22"/>
        </w:rPr>
        <w:t>by</w:t>
      </w:r>
      <w:r>
        <w:rPr>
          <w:spacing w:val="-3"/>
          <w:sz w:val="22"/>
        </w:rPr>
        <w:t> </w:t>
      </w:r>
      <w:r>
        <w:rPr>
          <w:sz w:val="22"/>
        </w:rPr>
        <w:t>Carter</w:t>
      </w:r>
      <w:r>
        <w:rPr>
          <w:spacing w:val="-3"/>
          <w:sz w:val="22"/>
        </w:rPr>
        <w:t> </w:t>
      </w:r>
      <w:r>
        <w:rPr>
          <w:sz w:val="22"/>
        </w:rPr>
        <w:t>Mitchell</w:t>
      </w:r>
      <w:r>
        <w:rPr>
          <w:spacing w:val="-3"/>
          <w:sz w:val="22"/>
        </w:rPr>
        <w:t> </w:t>
      </w:r>
      <w:r>
        <w:rPr>
          <w:sz w:val="22"/>
        </w:rPr>
        <w:t>Surveyors</w:t>
      </w:r>
      <w:r>
        <w:rPr>
          <w:spacing w:val="-3"/>
          <w:sz w:val="22"/>
        </w:rPr>
        <w:t> </w:t>
      </w:r>
      <w:r>
        <w:rPr>
          <w:sz w:val="22"/>
        </w:rPr>
        <w:t>LLP</w:t>
      </w:r>
      <w:r>
        <w:rPr>
          <w:spacing w:val="-3"/>
          <w:sz w:val="22"/>
        </w:rPr>
        <w:t> </w:t>
      </w:r>
      <w:r>
        <w:rPr>
          <w:sz w:val="22"/>
        </w:rPr>
        <w:t>and</w:t>
      </w:r>
      <w:r>
        <w:rPr>
          <w:spacing w:val="-3"/>
          <w:sz w:val="22"/>
        </w:rPr>
        <w:t> </w:t>
      </w:r>
      <w:r>
        <w:rPr>
          <w:sz w:val="22"/>
        </w:rPr>
        <w:t>is</w:t>
      </w:r>
      <w:r>
        <w:rPr>
          <w:spacing w:val="-3"/>
          <w:sz w:val="22"/>
        </w:rPr>
        <w:t> </w:t>
      </w:r>
      <w:r>
        <w:rPr>
          <w:sz w:val="22"/>
        </w:rPr>
        <w:t>annexed</w:t>
      </w:r>
      <w:r>
        <w:rPr>
          <w:spacing w:val="-3"/>
          <w:sz w:val="22"/>
        </w:rPr>
        <w:t> </w:t>
      </w:r>
      <w:r>
        <w:rPr>
          <w:sz w:val="22"/>
        </w:rPr>
        <w:t>to</w:t>
      </w:r>
      <w:r>
        <w:rPr>
          <w:spacing w:val="-3"/>
          <w:sz w:val="22"/>
        </w:rPr>
        <w:t> </w:t>
      </w:r>
      <w:r>
        <w:rPr>
          <w:sz w:val="22"/>
        </w:rPr>
        <w:t>this Lease at Schedule 4. The Tenant's repairing obligations under clause 4.1 shall not require the Tenant to put the Premises in any better state or condition than that evidenced by the schedule of </w:t>
      </w:r>
      <w:r>
        <w:rPr>
          <w:spacing w:val="-2"/>
          <w:sz w:val="22"/>
        </w:rPr>
        <w:t>condition.</w:t>
      </w:r>
    </w:p>
    <w:p>
      <w:pPr>
        <w:pStyle w:val="ListParagraph"/>
        <w:spacing w:after="0" w:line="266" w:lineRule="auto"/>
        <w:jc w:val="both"/>
        <w:rPr>
          <w:sz w:val="22"/>
        </w:rPr>
        <w:sectPr>
          <w:pgSz w:w="11910" w:h="16840"/>
          <w:pgMar w:header="762" w:footer="745" w:top="1640" w:bottom="940" w:left="1417" w:right="1417"/>
        </w:sectPr>
      </w:pPr>
    </w:p>
    <w:p>
      <w:pPr>
        <w:pStyle w:val="Heading2"/>
        <w:spacing w:before="83"/>
      </w:pPr>
      <w:r>
        <w:rPr/>
        <w:t>Section 5 — </w:t>
      </w:r>
      <w:r>
        <w:rPr>
          <w:spacing w:val="-2"/>
        </w:rPr>
        <w:t>Insurance</w:t>
      </w:r>
    </w:p>
    <w:p>
      <w:pPr>
        <w:pStyle w:val="ListParagraph"/>
        <w:numPr>
          <w:ilvl w:val="1"/>
          <w:numId w:val="5"/>
        </w:numPr>
        <w:tabs>
          <w:tab w:pos="694" w:val="left" w:leader="none"/>
        </w:tabs>
        <w:spacing w:line="266" w:lineRule="auto" w:before="195" w:after="0"/>
        <w:ind w:left="360" w:right="119" w:firstLine="0"/>
        <w:jc w:val="both"/>
        <w:rPr>
          <w:sz w:val="22"/>
        </w:rPr>
      </w:pPr>
      <w:r>
        <w:rPr>
          <w:sz w:val="22"/>
        </w:rPr>
        <w:t>The Landlord shall insure the Building (including the Premises) against the Insured Risks for their full reinstatement value (including professional fees, demolition and site clearance </w:t>
      </w:r>
      <w:r>
        <w:rPr>
          <w:sz w:val="22"/>
        </w:rPr>
        <w:t>costs, and Value Added Tax) and against loss of rent for a period of not less than three (3) years.</w:t>
      </w:r>
    </w:p>
    <w:p>
      <w:pPr>
        <w:pStyle w:val="ListParagraph"/>
        <w:numPr>
          <w:ilvl w:val="1"/>
          <w:numId w:val="5"/>
        </w:numPr>
        <w:tabs>
          <w:tab w:pos="698" w:val="left" w:leader="none"/>
        </w:tabs>
        <w:spacing w:line="266" w:lineRule="auto" w:before="118" w:after="0"/>
        <w:ind w:left="360" w:right="119" w:firstLine="0"/>
        <w:jc w:val="both"/>
        <w:rPr>
          <w:sz w:val="22"/>
        </w:rPr>
      </w:pPr>
      <w:r>
        <w:rPr>
          <w:sz w:val="22"/>
        </w:rPr>
        <w:t>The Landlord shall use reasonable endeavours to procure that the insurer waives all rights </w:t>
      </w:r>
      <w:r>
        <w:rPr>
          <w:sz w:val="22"/>
        </w:rPr>
        <w:t>of subrogation against the Tenant in respect of the Insured Risks.</w:t>
      </w:r>
    </w:p>
    <w:p>
      <w:pPr>
        <w:pStyle w:val="ListParagraph"/>
        <w:numPr>
          <w:ilvl w:val="1"/>
          <w:numId w:val="5"/>
        </w:numPr>
        <w:tabs>
          <w:tab w:pos="702" w:val="left" w:leader="none"/>
        </w:tabs>
        <w:spacing w:line="266" w:lineRule="auto" w:before="118" w:after="0"/>
        <w:ind w:left="360" w:right="119" w:firstLine="0"/>
        <w:jc w:val="both"/>
        <w:rPr>
          <w:sz w:val="22"/>
        </w:rPr>
      </w:pPr>
      <w:r>
        <w:rPr>
          <w:sz w:val="22"/>
        </w:rPr>
        <w:t>The Tenant shall reimburse to the Landlord on demand a fair proportion (being the </w:t>
      </w:r>
      <w:r>
        <w:rPr>
          <w:sz w:val="22"/>
        </w:rPr>
        <w:t>Tenant's proportion as defined in clause 4.2.3) of the premium paid or payable by the Landlord for such insurance and any excess applicable under the policy. Such reimbursement shall constitute additional rent payable under this Lease.</w:t>
      </w:r>
    </w:p>
    <w:p>
      <w:pPr>
        <w:pStyle w:val="ListParagraph"/>
        <w:numPr>
          <w:ilvl w:val="1"/>
          <w:numId w:val="5"/>
        </w:numPr>
        <w:tabs>
          <w:tab w:pos="688" w:val="left" w:leader="none"/>
        </w:tabs>
        <w:spacing w:line="266" w:lineRule="auto" w:before="117" w:after="0"/>
        <w:ind w:left="360" w:right="119" w:firstLine="0"/>
        <w:jc w:val="both"/>
        <w:rPr>
          <w:sz w:val="22"/>
        </w:rPr>
      </w:pPr>
      <w:r>
        <w:rPr>
          <w:sz w:val="22"/>
        </w:rPr>
        <w:t>The</w:t>
      </w:r>
      <w:r>
        <w:rPr>
          <w:spacing w:val="-4"/>
          <w:sz w:val="22"/>
        </w:rPr>
        <w:t> </w:t>
      </w:r>
      <w:r>
        <w:rPr>
          <w:sz w:val="22"/>
        </w:rPr>
        <w:t>Tenant</w:t>
      </w:r>
      <w:r>
        <w:rPr>
          <w:spacing w:val="-4"/>
          <w:sz w:val="22"/>
        </w:rPr>
        <w:t> </w:t>
      </w:r>
      <w:r>
        <w:rPr>
          <w:sz w:val="22"/>
        </w:rPr>
        <w:t>shall</w:t>
      </w:r>
      <w:r>
        <w:rPr>
          <w:spacing w:val="-4"/>
          <w:sz w:val="22"/>
        </w:rPr>
        <w:t> </w:t>
      </w:r>
      <w:r>
        <w:rPr>
          <w:sz w:val="22"/>
        </w:rPr>
        <w:t>not</w:t>
      </w:r>
      <w:r>
        <w:rPr>
          <w:spacing w:val="-4"/>
          <w:sz w:val="22"/>
        </w:rPr>
        <w:t> </w:t>
      </w:r>
      <w:r>
        <w:rPr>
          <w:sz w:val="22"/>
        </w:rPr>
        <w:t>do</w:t>
      </w:r>
      <w:r>
        <w:rPr>
          <w:spacing w:val="-4"/>
          <w:sz w:val="22"/>
        </w:rPr>
        <w:t> </w:t>
      </w:r>
      <w:r>
        <w:rPr>
          <w:sz w:val="22"/>
        </w:rPr>
        <w:t>or</w:t>
      </w:r>
      <w:r>
        <w:rPr>
          <w:spacing w:val="-4"/>
          <w:sz w:val="22"/>
        </w:rPr>
        <w:t> </w:t>
      </w:r>
      <w:r>
        <w:rPr>
          <w:sz w:val="22"/>
        </w:rPr>
        <w:t>permit</w:t>
      </w:r>
      <w:r>
        <w:rPr>
          <w:spacing w:val="-4"/>
          <w:sz w:val="22"/>
        </w:rPr>
        <w:t> </w:t>
      </w:r>
      <w:r>
        <w:rPr>
          <w:sz w:val="22"/>
        </w:rPr>
        <w:t>anything</w:t>
      </w:r>
      <w:r>
        <w:rPr>
          <w:spacing w:val="-4"/>
          <w:sz w:val="22"/>
        </w:rPr>
        <w:t> </w:t>
      </w:r>
      <w:r>
        <w:rPr>
          <w:sz w:val="22"/>
        </w:rPr>
        <w:t>to</w:t>
      </w:r>
      <w:r>
        <w:rPr>
          <w:spacing w:val="-4"/>
          <w:sz w:val="22"/>
        </w:rPr>
        <w:t> </w:t>
      </w:r>
      <w:r>
        <w:rPr>
          <w:sz w:val="22"/>
        </w:rPr>
        <w:t>be</w:t>
      </w:r>
      <w:r>
        <w:rPr>
          <w:spacing w:val="-4"/>
          <w:sz w:val="22"/>
        </w:rPr>
        <w:t> </w:t>
      </w:r>
      <w:r>
        <w:rPr>
          <w:sz w:val="22"/>
        </w:rPr>
        <w:t>done</w:t>
      </w:r>
      <w:r>
        <w:rPr>
          <w:spacing w:val="-4"/>
          <w:sz w:val="22"/>
        </w:rPr>
        <w:t> </w:t>
      </w:r>
      <w:r>
        <w:rPr>
          <w:sz w:val="22"/>
        </w:rPr>
        <w:t>on</w:t>
      </w:r>
      <w:r>
        <w:rPr>
          <w:spacing w:val="-4"/>
          <w:sz w:val="22"/>
        </w:rPr>
        <w:t> </w:t>
      </w:r>
      <w:r>
        <w:rPr>
          <w:sz w:val="22"/>
        </w:rPr>
        <w:t>the</w:t>
      </w:r>
      <w:r>
        <w:rPr>
          <w:spacing w:val="-4"/>
          <w:sz w:val="22"/>
        </w:rPr>
        <w:t> </w:t>
      </w:r>
      <w:r>
        <w:rPr>
          <w:sz w:val="22"/>
        </w:rPr>
        <w:t>Premises</w:t>
      </w:r>
      <w:r>
        <w:rPr>
          <w:spacing w:val="-4"/>
          <w:sz w:val="22"/>
        </w:rPr>
        <w:t> </w:t>
      </w:r>
      <w:r>
        <w:rPr>
          <w:sz w:val="22"/>
        </w:rPr>
        <w:t>which</w:t>
      </w:r>
      <w:r>
        <w:rPr>
          <w:spacing w:val="-4"/>
          <w:sz w:val="22"/>
        </w:rPr>
        <w:t> </w:t>
      </w:r>
      <w:r>
        <w:rPr>
          <w:sz w:val="22"/>
        </w:rPr>
        <w:t>may</w:t>
      </w:r>
      <w:r>
        <w:rPr>
          <w:spacing w:val="-4"/>
          <w:sz w:val="22"/>
        </w:rPr>
        <w:t> </w:t>
      </w:r>
      <w:r>
        <w:rPr>
          <w:sz w:val="22"/>
        </w:rPr>
        <w:t>render</w:t>
      </w:r>
      <w:r>
        <w:rPr>
          <w:spacing w:val="-4"/>
          <w:sz w:val="22"/>
        </w:rPr>
        <w:t> </w:t>
      </w:r>
      <w:r>
        <w:rPr>
          <w:sz w:val="22"/>
        </w:rPr>
        <w:t>void or voidable any policy of insurance on the Building or which may cause any increased premium to become payable in respect thereof.</w:t>
      </w:r>
    </w:p>
    <w:p>
      <w:pPr>
        <w:pStyle w:val="BodyText"/>
        <w:spacing w:before="107"/>
        <w:jc w:val="left"/>
      </w:pPr>
    </w:p>
    <w:p>
      <w:pPr>
        <w:pStyle w:val="Heading2"/>
      </w:pPr>
      <w:r>
        <w:rPr/>
        <w:t>Section 6 — Permitted </w:t>
      </w:r>
      <w:r>
        <w:rPr>
          <w:spacing w:val="-5"/>
        </w:rPr>
        <w:t>Use</w:t>
      </w:r>
    </w:p>
    <w:p>
      <w:pPr>
        <w:pStyle w:val="ListParagraph"/>
        <w:numPr>
          <w:ilvl w:val="1"/>
          <w:numId w:val="6"/>
        </w:numPr>
        <w:tabs>
          <w:tab w:pos="730" w:val="left" w:leader="none"/>
        </w:tabs>
        <w:spacing w:line="266" w:lineRule="auto" w:before="196" w:after="0"/>
        <w:ind w:left="360" w:right="118" w:firstLine="0"/>
        <w:jc w:val="both"/>
        <w:rPr>
          <w:sz w:val="22"/>
        </w:rPr>
      </w:pPr>
      <w:r>
        <w:rPr>
          <w:sz w:val="22"/>
        </w:rPr>
        <w:t>The Tenant shall use the Premises for the Permitted Use only and for no other purpose whatsoever. The Permitted Use shall be limited to use falling within Class E(g)(i) of the Town and Country Planning (Use Classes) Order 1987 (as amended), being offices for the conduct </w:t>
      </w:r>
      <w:r>
        <w:rPr>
          <w:sz w:val="22"/>
        </w:rPr>
        <w:t>of business operations that may be carried out in a residential area without detriment to its amenity.</w:t>
      </w:r>
    </w:p>
    <w:p>
      <w:pPr>
        <w:pStyle w:val="ListParagraph"/>
        <w:numPr>
          <w:ilvl w:val="1"/>
          <w:numId w:val="6"/>
        </w:numPr>
        <w:tabs>
          <w:tab w:pos="696" w:val="left" w:leader="none"/>
        </w:tabs>
        <w:spacing w:line="266" w:lineRule="auto" w:before="117" w:after="0"/>
        <w:ind w:left="360" w:right="119" w:firstLine="0"/>
        <w:jc w:val="both"/>
        <w:rPr>
          <w:sz w:val="22"/>
        </w:rPr>
      </w:pPr>
      <w:r>
        <w:rPr>
          <w:sz w:val="22"/>
        </w:rPr>
        <w:t>The Tenant shall not use the Premises or any part thereof for any illegal or immoral </w:t>
      </w:r>
      <w:r>
        <w:rPr>
          <w:sz w:val="22"/>
        </w:rPr>
        <w:t>purpose, for any sale by auction, or for any purpose which in the reasonable opinion of the Landlord may be or become a nuisance, annoyance or disturbance to the Landlord or the other tenants or occupiers of the Building or the neighbourhood.</w:t>
      </w:r>
    </w:p>
    <w:p>
      <w:pPr>
        <w:pStyle w:val="BodyText"/>
        <w:spacing w:before="106"/>
        <w:jc w:val="left"/>
      </w:pPr>
    </w:p>
    <w:p>
      <w:pPr>
        <w:pStyle w:val="Heading2"/>
      </w:pPr>
      <w:r>
        <w:rPr/>
        <w:t>Section 7 — </w:t>
      </w:r>
      <w:r>
        <w:rPr>
          <w:spacing w:val="-2"/>
        </w:rPr>
        <w:t>Alienation</w:t>
      </w:r>
    </w:p>
    <w:p>
      <w:pPr>
        <w:pStyle w:val="Heading3"/>
        <w:numPr>
          <w:ilvl w:val="1"/>
          <w:numId w:val="7"/>
        </w:numPr>
        <w:tabs>
          <w:tab w:pos="760" w:val="left" w:leader="none"/>
        </w:tabs>
        <w:spacing w:line="240" w:lineRule="auto" w:before="276" w:after="0"/>
        <w:ind w:left="760" w:right="0" w:hanging="400"/>
        <w:jc w:val="both"/>
      </w:pPr>
      <w:r>
        <w:rPr>
          <w:spacing w:val="-2"/>
        </w:rPr>
        <w:t>Assignment</w:t>
      </w:r>
    </w:p>
    <w:p>
      <w:pPr>
        <w:pStyle w:val="ListParagraph"/>
        <w:numPr>
          <w:ilvl w:val="2"/>
          <w:numId w:val="7"/>
        </w:numPr>
        <w:tabs>
          <w:tab w:pos="1102" w:val="left" w:leader="none"/>
        </w:tabs>
        <w:spacing w:line="266" w:lineRule="auto" w:before="143" w:after="0"/>
        <w:ind w:left="600" w:right="119" w:firstLine="0"/>
        <w:jc w:val="both"/>
        <w:rPr>
          <w:sz w:val="22"/>
        </w:rPr>
      </w:pPr>
      <w:r>
        <w:rPr>
          <w:sz w:val="22"/>
        </w:rPr>
        <w:t>The Tenant shall not assign the whole or any part of this Lease without the prior </w:t>
      </w:r>
      <w:r>
        <w:rPr>
          <w:sz w:val="22"/>
        </w:rPr>
        <w:t>written consent of the Landlord, such consent not to be unreasonably withheld or delayed. The Landlord may impose reasonable conditions on any such consent, including (without limitation) a requirement for an authorised guarantee agreement from the outgoing Tenant.</w:t>
      </w:r>
    </w:p>
    <w:p>
      <w:pPr>
        <w:pStyle w:val="ListParagraph"/>
        <w:numPr>
          <w:ilvl w:val="2"/>
          <w:numId w:val="7"/>
        </w:numPr>
        <w:tabs>
          <w:tab w:pos="1105" w:val="left" w:leader="none"/>
        </w:tabs>
        <w:spacing w:line="266" w:lineRule="auto" w:before="117" w:after="0"/>
        <w:ind w:left="600" w:right="119" w:firstLine="0"/>
        <w:jc w:val="both"/>
        <w:rPr>
          <w:sz w:val="22"/>
        </w:rPr>
      </w:pPr>
      <w:r>
        <w:rPr>
          <w:sz w:val="22"/>
        </w:rPr>
        <w:t>The Landlord shall not be obliged to give consent to an assignment unless the </w:t>
      </w:r>
      <w:r>
        <w:rPr>
          <w:sz w:val="22"/>
        </w:rPr>
        <w:t>proposed assignee has first demonstrated to the Landlord's reasonable satisfaction that: (a) it is of sufficient financial standing to enable it to comply with the Tenant's covenants in this Lease; and (b) it is a respectable and responsible person or entity.</w:t>
      </w:r>
    </w:p>
    <w:p>
      <w:pPr>
        <w:pStyle w:val="Heading3"/>
        <w:numPr>
          <w:ilvl w:val="1"/>
          <w:numId w:val="7"/>
        </w:numPr>
        <w:tabs>
          <w:tab w:pos="760" w:val="left" w:leader="none"/>
        </w:tabs>
        <w:spacing w:line="240" w:lineRule="auto" w:before="237" w:after="0"/>
        <w:ind w:left="760" w:right="0" w:hanging="400"/>
        <w:jc w:val="both"/>
      </w:pPr>
      <w:r>
        <w:rPr/>
        <w:t>Subletting of </w:t>
      </w:r>
      <w:r>
        <w:rPr>
          <w:spacing w:val="-2"/>
        </w:rPr>
        <w:t>Whole</w:t>
      </w:r>
    </w:p>
    <w:p>
      <w:pPr>
        <w:pStyle w:val="ListParagraph"/>
        <w:numPr>
          <w:ilvl w:val="2"/>
          <w:numId w:val="7"/>
        </w:numPr>
        <w:tabs>
          <w:tab w:pos="1107" w:val="left" w:leader="none"/>
        </w:tabs>
        <w:spacing w:line="266" w:lineRule="auto" w:before="144" w:after="0"/>
        <w:ind w:left="600" w:right="119" w:firstLine="0"/>
        <w:jc w:val="both"/>
        <w:rPr>
          <w:sz w:val="22"/>
        </w:rPr>
      </w:pPr>
      <w:r>
        <w:rPr>
          <w:sz w:val="22"/>
        </w:rPr>
        <w:t>The Tenant shall not sublet the whole of the Premises without the prior written consent of the Landlord, such consent not to be unreasonably withheld or delayed, provided that any subletting</w:t>
      </w:r>
      <w:r>
        <w:rPr>
          <w:spacing w:val="-2"/>
          <w:sz w:val="22"/>
        </w:rPr>
        <w:t> </w:t>
      </w:r>
      <w:r>
        <w:rPr>
          <w:sz w:val="22"/>
        </w:rPr>
        <w:t>shall</w:t>
      </w:r>
      <w:r>
        <w:rPr>
          <w:spacing w:val="-2"/>
          <w:sz w:val="22"/>
        </w:rPr>
        <w:t> </w:t>
      </w:r>
      <w:r>
        <w:rPr>
          <w:sz w:val="22"/>
        </w:rPr>
        <w:t>be</w:t>
      </w:r>
      <w:r>
        <w:rPr>
          <w:spacing w:val="-2"/>
          <w:sz w:val="22"/>
        </w:rPr>
        <w:t> </w:t>
      </w:r>
      <w:r>
        <w:rPr>
          <w:sz w:val="22"/>
        </w:rPr>
        <w:t>at</w:t>
      </w:r>
      <w:r>
        <w:rPr>
          <w:spacing w:val="-2"/>
          <w:sz w:val="22"/>
        </w:rPr>
        <w:t> </w:t>
      </w:r>
      <w:r>
        <w:rPr>
          <w:sz w:val="22"/>
        </w:rPr>
        <w:t>a</w:t>
      </w:r>
      <w:r>
        <w:rPr>
          <w:spacing w:val="-2"/>
          <w:sz w:val="22"/>
        </w:rPr>
        <w:t> </w:t>
      </w:r>
      <w:r>
        <w:rPr>
          <w:sz w:val="22"/>
        </w:rPr>
        <w:t>rent</w:t>
      </w:r>
      <w:r>
        <w:rPr>
          <w:spacing w:val="-2"/>
          <w:sz w:val="22"/>
        </w:rPr>
        <w:t> </w:t>
      </w:r>
      <w:r>
        <w:rPr>
          <w:sz w:val="22"/>
        </w:rPr>
        <w:t>not</w:t>
      </w:r>
      <w:r>
        <w:rPr>
          <w:spacing w:val="-2"/>
          <w:sz w:val="22"/>
        </w:rPr>
        <w:t> </w:t>
      </w:r>
      <w:r>
        <w:rPr>
          <w:sz w:val="22"/>
        </w:rPr>
        <w:t>less</w:t>
      </w:r>
      <w:r>
        <w:rPr>
          <w:spacing w:val="-2"/>
          <w:sz w:val="22"/>
        </w:rPr>
        <w:t> </w:t>
      </w:r>
      <w:r>
        <w:rPr>
          <w:sz w:val="22"/>
        </w:rPr>
        <w:t>than</w:t>
      </w:r>
      <w:r>
        <w:rPr>
          <w:spacing w:val="-2"/>
          <w:sz w:val="22"/>
        </w:rPr>
        <w:t> </w:t>
      </w:r>
      <w:r>
        <w:rPr>
          <w:sz w:val="22"/>
        </w:rPr>
        <w:t>the</w:t>
      </w:r>
      <w:r>
        <w:rPr>
          <w:spacing w:val="-2"/>
          <w:sz w:val="22"/>
        </w:rPr>
        <w:t> </w:t>
      </w:r>
      <w:r>
        <w:rPr>
          <w:sz w:val="22"/>
        </w:rPr>
        <w:t>higher</w:t>
      </w:r>
      <w:r>
        <w:rPr>
          <w:spacing w:val="-2"/>
          <w:sz w:val="22"/>
        </w:rPr>
        <w:t> </w:t>
      </w:r>
      <w:r>
        <w:rPr>
          <w:sz w:val="22"/>
        </w:rPr>
        <w:t>of</w:t>
      </w:r>
      <w:r>
        <w:rPr>
          <w:spacing w:val="-2"/>
          <w:sz w:val="22"/>
        </w:rPr>
        <w:t> </w:t>
      </w:r>
      <w:r>
        <w:rPr>
          <w:sz w:val="22"/>
        </w:rPr>
        <w:t>the</w:t>
      </w:r>
      <w:r>
        <w:rPr>
          <w:spacing w:val="-2"/>
          <w:sz w:val="22"/>
        </w:rPr>
        <w:t> </w:t>
      </w:r>
      <w:r>
        <w:rPr>
          <w:sz w:val="22"/>
        </w:rPr>
        <w:t>rent</w:t>
      </w:r>
      <w:r>
        <w:rPr>
          <w:spacing w:val="-2"/>
          <w:sz w:val="22"/>
        </w:rPr>
        <w:t> </w:t>
      </w:r>
      <w:r>
        <w:rPr>
          <w:sz w:val="22"/>
        </w:rPr>
        <w:t>payable</w:t>
      </w:r>
      <w:r>
        <w:rPr>
          <w:spacing w:val="-2"/>
          <w:sz w:val="22"/>
        </w:rPr>
        <w:t> </w:t>
      </w:r>
      <w:r>
        <w:rPr>
          <w:sz w:val="22"/>
        </w:rPr>
        <w:t>under</w:t>
      </w:r>
      <w:r>
        <w:rPr>
          <w:spacing w:val="-2"/>
          <w:sz w:val="22"/>
        </w:rPr>
        <w:t> </w:t>
      </w:r>
      <w:r>
        <w:rPr>
          <w:sz w:val="22"/>
        </w:rPr>
        <w:t>this</w:t>
      </w:r>
      <w:r>
        <w:rPr>
          <w:spacing w:val="-2"/>
          <w:sz w:val="22"/>
        </w:rPr>
        <w:t> </w:t>
      </w:r>
      <w:r>
        <w:rPr>
          <w:sz w:val="22"/>
        </w:rPr>
        <w:t>Lease</w:t>
      </w:r>
      <w:r>
        <w:rPr>
          <w:spacing w:val="-2"/>
          <w:sz w:val="22"/>
        </w:rPr>
        <w:t> </w:t>
      </w:r>
      <w:r>
        <w:rPr>
          <w:sz w:val="22"/>
        </w:rPr>
        <w:t>and</w:t>
      </w:r>
      <w:r>
        <w:rPr>
          <w:spacing w:val="-2"/>
          <w:sz w:val="22"/>
        </w:rPr>
        <w:t> </w:t>
      </w:r>
      <w:r>
        <w:rPr>
          <w:sz w:val="22"/>
        </w:rPr>
        <w:t>the then open market rent of the Premises.</w:t>
      </w:r>
    </w:p>
    <w:p>
      <w:pPr>
        <w:pStyle w:val="ListParagraph"/>
        <w:spacing w:after="0" w:line="266" w:lineRule="auto"/>
        <w:jc w:val="both"/>
        <w:rPr>
          <w:sz w:val="22"/>
        </w:rPr>
        <w:sectPr>
          <w:pgSz w:w="11910" w:h="16840"/>
          <w:pgMar w:header="762" w:footer="745" w:top="1640" w:bottom="940" w:left="1417" w:right="1417"/>
        </w:sectPr>
      </w:pPr>
    </w:p>
    <w:p>
      <w:pPr>
        <w:pStyle w:val="ListParagraph"/>
        <w:numPr>
          <w:ilvl w:val="2"/>
          <w:numId w:val="7"/>
        </w:numPr>
        <w:tabs>
          <w:tab w:pos="1097" w:val="left" w:leader="none"/>
        </w:tabs>
        <w:spacing w:line="266" w:lineRule="auto" w:before="80" w:after="0"/>
        <w:ind w:left="600" w:right="118" w:firstLine="0"/>
        <w:jc w:val="both"/>
        <w:rPr>
          <w:sz w:val="22"/>
        </w:rPr>
      </w:pPr>
      <w:r>
        <w:rPr>
          <w:sz w:val="22"/>
        </w:rPr>
        <w:t>Any subletting shall be by way of a sub-lease which contains provisions for upward </w:t>
      </w:r>
      <w:r>
        <w:rPr>
          <w:sz w:val="22"/>
        </w:rPr>
        <w:t>only rent review at intervals of not more than five (5) years, and which otherwise contains provisions consistent with the terms of this Lease.</w:t>
      </w:r>
    </w:p>
    <w:p>
      <w:pPr>
        <w:pStyle w:val="Heading3"/>
        <w:numPr>
          <w:ilvl w:val="1"/>
          <w:numId w:val="7"/>
        </w:numPr>
        <w:tabs>
          <w:tab w:pos="760" w:val="left" w:leader="none"/>
        </w:tabs>
        <w:spacing w:line="240" w:lineRule="auto" w:before="238" w:after="0"/>
        <w:ind w:left="760" w:right="0" w:hanging="400"/>
        <w:jc w:val="left"/>
      </w:pPr>
      <w:r>
        <w:rPr/>
        <w:t>Subletting of </w:t>
      </w:r>
      <w:r>
        <w:rPr>
          <w:spacing w:val="-4"/>
        </w:rPr>
        <w:t>Part</w:t>
      </w:r>
    </w:p>
    <w:p>
      <w:pPr>
        <w:pStyle w:val="ListParagraph"/>
        <w:numPr>
          <w:ilvl w:val="2"/>
          <w:numId w:val="7"/>
        </w:numPr>
        <w:tabs>
          <w:tab w:pos="1095" w:val="left" w:leader="none"/>
        </w:tabs>
        <w:spacing w:line="240" w:lineRule="auto" w:before="144" w:after="0"/>
        <w:ind w:left="1095" w:right="0" w:hanging="495"/>
        <w:jc w:val="both"/>
        <w:rPr>
          <w:sz w:val="22"/>
        </w:rPr>
      </w:pPr>
      <w:r>
        <w:rPr>
          <w:sz w:val="22"/>
        </w:rPr>
        <w:t>The Tenant shall not sublet any part of the Premises (as distinct from the </w:t>
      </w:r>
      <w:r>
        <w:rPr>
          <w:spacing w:val="-2"/>
          <w:sz w:val="22"/>
        </w:rPr>
        <w:t>whole).</w:t>
      </w:r>
    </w:p>
    <w:p>
      <w:pPr>
        <w:pStyle w:val="BodyText"/>
        <w:spacing w:before="137"/>
        <w:jc w:val="left"/>
      </w:pPr>
    </w:p>
    <w:p>
      <w:pPr>
        <w:pStyle w:val="Heading2"/>
      </w:pPr>
      <w:r>
        <w:rPr/>
        <w:t>Section 8 — Break </w:t>
      </w:r>
      <w:r>
        <w:rPr>
          <w:spacing w:val="-2"/>
        </w:rPr>
        <w:t>Clause</w:t>
      </w:r>
    </w:p>
    <w:p>
      <w:pPr>
        <w:pStyle w:val="Heading3"/>
        <w:numPr>
          <w:ilvl w:val="1"/>
          <w:numId w:val="8"/>
        </w:numPr>
        <w:tabs>
          <w:tab w:pos="760" w:val="left" w:leader="none"/>
        </w:tabs>
        <w:spacing w:line="240" w:lineRule="auto" w:before="275" w:after="0"/>
        <w:ind w:left="760" w:right="0" w:hanging="400"/>
        <w:jc w:val="left"/>
      </w:pPr>
      <w:r>
        <w:rPr/>
        <w:t>Tenant's Break </w:t>
      </w:r>
      <w:r>
        <w:rPr>
          <w:spacing w:val="-2"/>
        </w:rPr>
        <w:t>Rights</w:t>
      </w:r>
    </w:p>
    <w:p>
      <w:pPr>
        <w:pStyle w:val="ListParagraph"/>
        <w:numPr>
          <w:ilvl w:val="2"/>
          <w:numId w:val="8"/>
        </w:numPr>
        <w:tabs>
          <w:tab w:pos="1155" w:val="left" w:leader="none"/>
        </w:tabs>
        <w:spacing w:line="266" w:lineRule="auto" w:before="144" w:after="0"/>
        <w:ind w:left="600" w:right="119" w:firstLine="0"/>
        <w:jc w:val="both"/>
        <w:rPr>
          <w:sz w:val="22"/>
        </w:rPr>
      </w:pPr>
      <w:r>
        <w:rPr>
          <w:sz w:val="22"/>
        </w:rPr>
        <w:t>The Tenant may determine this Lease on the fifth (5th) anniversary of the Term Commencement Date (being 1 January 2029) or the tenth (10th) anniversary of the </w:t>
      </w:r>
      <w:r>
        <w:rPr>
          <w:sz w:val="22"/>
        </w:rPr>
        <w:t>Term Commencement</w:t>
      </w:r>
      <w:r>
        <w:rPr>
          <w:spacing w:val="-5"/>
          <w:sz w:val="22"/>
        </w:rPr>
        <w:t> </w:t>
      </w:r>
      <w:r>
        <w:rPr>
          <w:sz w:val="22"/>
        </w:rPr>
        <w:t>Date</w:t>
      </w:r>
      <w:r>
        <w:rPr>
          <w:spacing w:val="-5"/>
          <w:sz w:val="22"/>
        </w:rPr>
        <w:t> </w:t>
      </w:r>
      <w:r>
        <w:rPr>
          <w:sz w:val="22"/>
        </w:rPr>
        <w:t>(being</w:t>
      </w:r>
      <w:r>
        <w:rPr>
          <w:spacing w:val="-5"/>
          <w:sz w:val="22"/>
        </w:rPr>
        <w:t> </w:t>
      </w:r>
      <w:r>
        <w:rPr>
          <w:sz w:val="22"/>
        </w:rPr>
        <w:t>1</w:t>
      </w:r>
      <w:r>
        <w:rPr>
          <w:spacing w:val="-5"/>
          <w:sz w:val="22"/>
        </w:rPr>
        <w:t> </w:t>
      </w:r>
      <w:r>
        <w:rPr>
          <w:sz w:val="22"/>
        </w:rPr>
        <w:t>January</w:t>
      </w:r>
      <w:r>
        <w:rPr>
          <w:spacing w:val="-5"/>
          <w:sz w:val="22"/>
        </w:rPr>
        <w:t> </w:t>
      </w:r>
      <w:r>
        <w:rPr>
          <w:sz w:val="22"/>
        </w:rPr>
        <w:t>2034)</w:t>
      </w:r>
      <w:r>
        <w:rPr>
          <w:spacing w:val="-5"/>
          <w:sz w:val="22"/>
        </w:rPr>
        <w:t> </w:t>
      </w:r>
      <w:r>
        <w:rPr>
          <w:sz w:val="22"/>
        </w:rPr>
        <w:t>(each</w:t>
      </w:r>
      <w:r>
        <w:rPr>
          <w:spacing w:val="-5"/>
          <w:sz w:val="22"/>
        </w:rPr>
        <w:t> </w:t>
      </w:r>
      <w:r>
        <w:rPr>
          <w:sz w:val="22"/>
        </w:rPr>
        <w:t>a</w:t>
      </w:r>
      <w:r>
        <w:rPr>
          <w:spacing w:val="-5"/>
          <w:sz w:val="22"/>
        </w:rPr>
        <w:t> </w:t>
      </w:r>
      <w:r>
        <w:rPr>
          <w:b/>
          <w:sz w:val="22"/>
        </w:rPr>
        <w:t>"Break</w:t>
      </w:r>
      <w:r>
        <w:rPr>
          <w:b/>
          <w:spacing w:val="-5"/>
          <w:sz w:val="22"/>
        </w:rPr>
        <w:t> </w:t>
      </w:r>
      <w:r>
        <w:rPr>
          <w:b/>
          <w:sz w:val="22"/>
        </w:rPr>
        <w:t>Date"</w:t>
      </w:r>
      <w:r>
        <w:rPr>
          <w:sz w:val="22"/>
        </w:rPr>
        <w:t>)</w:t>
      </w:r>
      <w:r>
        <w:rPr>
          <w:spacing w:val="-5"/>
          <w:sz w:val="22"/>
        </w:rPr>
        <w:t> </w:t>
      </w:r>
      <w:r>
        <w:rPr>
          <w:sz w:val="22"/>
        </w:rPr>
        <w:t>by</w:t>
      </w:r>
      <w:r>
        <w:rPr>
          <w:spacing w:val="-5"/>
          <w:sz w:val="22"/>
        </w:rPr>
        <w:t> </w:t>
      </w:r>
      <w:r>
        <w:rPr>
          <w:sz w:val="22"/>
        </w:rPr>
        <w:t>serving</w:t>
      </w:r>
      <w:r>
        <w:rPr>
          <w:spacing w:val="-5"/>
          <w:sz w:val="22"/>
        </w:rPr>
        <w:t> </w:t>
      </w:r>
      <w:r>
        <w:rPr>
          <w:sz w:val="22"/>
        </w:rPr>
        <w:t>written</w:t>
      </w:r>
      <w:r>
        <w:rPr>
          <w:spacing w:val="-5"/>
          <w:sz w:val="22"/>
        </w:rPr>
        <w:t> </w:t>
      </w:r>
      <w:r>
        <w:rPr>
          <w:sz w:val="22"/>
        </w:rPr>
        <w:t>notice on the Landlord in accordance with clause 8.2.</w:t>
      </w:r>
    </w:p>
    <w:p>
      <w:pPr>
        <w:pStyle w:val="Heading3"/>
        <w:numPr>
          <w:ilvl w:val="1"/>
          <w:numId w:val="8"/>
        </w:numPr>
        <w:tabs>
          <w:tab w:pos="760" w:val="left" w:leader="none"/>
        </w:tabs>
        <w:spacing w:line="240" w:lineRule="auto" w:before="237" w:after="0"/>
        <w:ind w:left="760" w:right="0" w:hanging="400"/>
        <w:jc w:val="left"/>
      </w:pPr>
      <w:r>
        <w:rPr/>
        <w:t>Notice </w:t>
      </w:r>
      <w:r>
        <w:rPr>
          <w:spacing w:val="-2"/>
        </w:rPr>
        <w:t>Requirements</w:t>
      </w:r>
    </w:p>
    <w:p>
      <w:pPr>
        <w:pStyle w:val="ListParagraph"/>
        <w:numPr>
          <w:ilvl w:val="2"/>
          <w:numId w:val="8"/>
        </w:numPr>
        <w:tabs>
          <w:tab w:pos="1097" w:val="left" w:leader="none"/>
        </w:tabs>
        <w:spacing w:line="266" w:lineRule="auto" w:before="144" w:after="0"/>
        <w:ind w:left="600" w:right="119" w:firstLine="0"/>
        <w:jc w:val="both"/>
        <w:rPr>
          <w:sz w:val="22"/>
        </w:rPr>
      </w:pPr>
      <w:r>
        <w:rPr>
          <w:sz w:val="22"/>
        </w:rPr>
        <w:t>The</w:t>
      </w:r>
      <w:r>
        <w:rPr>
          <w:spacing w:val="-1"/>
          <w:sz w:val="22"/>
        </w:rPr>
        <w:t> </w:t>
      </w:r>
      <w:r>
        <w:rPr>
          <w:sz w:val="22"/>
        </w:rPr>
        <w:t>Tenant</w:t>
      </w:r>
      <w:r>
        <w:rPr>
          <w:spacing w:val="-1"/>
          <w:sz w:val="22"/>
        </w:rPr>
        <w:t> </w:t>
      </w:r>
      <w:r>
        <w:rPr>
          <w:sz w:val="22"/>
        </w:rPr>
        <w:t>must</w:t>
      </w:r>
      <w:r>
        <w:rPr>
          <w:spacing w:val="-1"/>
          <w:sz w:val="22"/>
        </w:rPr>
        <w:t> </w:t>
      </w:r>
      <w:r>
        <w:rPr>
          <w:sz w:val="22"/>
        </w:rPr>
        <w:t>give</w:t>
      </w:r>
      <w:r>
        <w:rPr>
          <w:spacing w:val="-1"/>
          <w:sz w:val="22"/>
        </w:rPr>
        <w:t> </w:t>
      </w:r>
      <w:r>
        <w:rPr>
          <w:sz w:val="22"/>
        </w:rPr>
        <w:t>the</w:t>
      </w:r>
      <w:r>
        <w:rPr>
          <w:spacing w:val="-1"/>
          <w:sz w:val="22"/>
        </w:rPr>
        <w:t> </w:t>
      </w:r>
      <w:r>
        <w:rPr>
          <w:sz w:val="22"/>
        </w:rPr>
        <w:t>Landlord</w:t>
      </w:r>
      <w:r>
        <w:rPr>
          <w:spacing w:val="-1"/>
          <w:sz w:val="22"/>
        </w:rPr>
        <w:t> </w:t>
      </w:r>
      <w:r>
        <w:rPr>
          <w:sz w:val="22"/>
        </w:rPr>
        <w:t>not</w:t>
      </w:r>
      <w:r>
        <w:rPr>
          <w:spacing w:val="-1"/>
          <w:sz w:val="22"/>
        </w:rPr>
        <w:t> </w:t>
      </w:r>
      <w:r>
        <w:rPr>
          <w:sz w:val="22"/>
        </w:rPr>
        <w:t>less</w:t>
      </w:r>
      <w:r>
        <w:rPr>
          <w:spacing w:val="-1"/>
          <w:sz w:val="22"/>
        </w:rPr>
        <w:t> </w:t>
      </w:r>
      <w:r>
        <w:rPr>
          <w:sz w:val="22"/>
        </w:rPr>
        <w:t>than</w:t>
      </w:r>
      <w:r>
        <w:rPr>
          <w:spacing w:val="-1"/>
          <w:sz w:val="22"/>
        </w:rPr>
        <w:t> </w:t>
      </w:r>
      <w:r>
        <w:rPr>
          <w:sz w:val="22"/>
        </w:rPr>
        <w:t>twelve</w:t>
      </w:r>
      <w:r>
        <w:rPr>
          <w:spacing w:val="-1"/>
          <w:sz w:val="22"/>
        </w:rPr>
        <w:t> </w:t>
      </w:r>
      <w:r>
        <w:rPr>
          <w:sz w:val="22"/>
        </w:rPr>
        <w:t>(12)</w:t>
      </w:r>
      <w:r>
        <w:rPr>
          <w:spacing w:val="-1"/>
          <w:sz w:val="22"/>
        </w:rPr>
        <w:t> </w:t>
      </w:r>
      <w:r>
        <w:rPr>
          <w:sz w:val="22"/>
        </w:rPr>
        <w:t>months'</w:t>
      </w:r>
      <w:r>
        <w:rPr>
          <w:spacing w:val="-1"/>
          <w:sz w:val="22"/>
        </w:rPr>
        <w:t> </w:t>
      </w:r>
      <w:r>
        <w:rPr>
          <w:sz w:val="22"/>
        </w:rPr>
        <w:t>prior</w:t>
      </w:r>
      <w:r>
        <w:rPr>
          <w:spacing w:val="-1"/>
          <w:sz w:val="22"/>
        </w:rPr>
        <w:t> </w:t>
      </w:r>
      <w:r>
        <w:rPr>
          <w:sz w:val="22"/>
        </w:rPr>
        <w:t>written</w:t>
      </w:r>
      <w:r>
        <w:rPr>
          <w:spacing w:val="-1"/>
          <w:sz w:val="22"/>
        </w:rPr>
        <w:t> </w:t>
      </w:r>
      <w:r>
        <w:rPr>
          <w:sz w:val="22"/>
        </w:rPr>
        <w:t>notice of</w:t>
      </w:r>
      <w:r>
        <w:rPr>
          <w:spacing w:val="-3"/>
          <w:sz w:val="22"/>
        </w:rPr>
        <w:t> </w:t>
      </w:r>
      <w:r>
        <w:rPr>
          <w:sz w:val="22"/>
        </w:rPr>
        <w:t>its</w:t>
      </w:r>
      <w:r>
        <w:rPr>
          <w:spacing w:val="-3"/>
          <w:sz w:val="22"/>
        </w:rPr>
        <w:t> </w:t>
      </w:r>
      <w:r>
        <w:rPr>
          <w:sz w:val="22"/>
        </w:rPr>
        <w:t>intention</w:t>
      </w:r>
      <w:r>
        <w:rPr>
          <w:spacing w:val="-3"/>
          <w:sz w:val="22"/>
        </w:rPr>
        <w:t> </w:t>
      </w:r>
      <w:r>
        <w:rPr>
          <w:sz w:val="22"/>
        </w:rPr>
        <w:t>to</w:t>
      </w:r>
      <w:r>
        <w:rPr>
          <w:spacing w:val="-3"/>
          <w:sz w:val="22"/>
        </w:rPr>
        <w:t> </w:t>
      </w:r>
      <w:r>
        <w:rPr>
          <w:sz w:val="22"/>
        </w:rPr>
        <w:t>exercise</w:t>
      </w:r>
      <w:r>
        <w:rPr>
          <w:spacing w:val="-3"/>
          <w:sz w:val="22"/>
        </w:rPr>
        <w:t> </w:t>
      </w:r>
      <w:r>
        <w:rPr>
          <w:sz w:val="22"/>
        </w:rPr>
        <w:t>a</w:t>
      </w:r>
      <w:r>
        <w:rPr>
          <w:spacing w:val="-3"/>
          <w:sz w:val="22"/>
        </w:rPr>
        <w:t> </w:t>
      </w:r>
      <w:r>
        <w:rPr>
          <w:sz w:val="22"/>
        </w:rPr>
        <w:t>break</w:t>
      </w:r>
      <w:r>
        <w:rPr>
          <w:spacing w:val="-3"/>
          <w:sz w:val="22"/>
        </w:rPr>
        <w:t> </w:t>
      </w:r>
      <w:r>
        <w:rPr>
          <w:sz w:val="22"/>
        </w:rPr>
        <w:t>right</w:t>
      </w:r>
      <w:r>
        <w:rPr>
          <w:spacing w:val="-3"/>
          <w:sz w:val="22"/>
        </w:rPr>
        <w:t> </w:t>
      </w:r>
      <w:r>
        <w:rPr>
          <w:sz w:val="22"/>
        </w:rPr>
        <w:t>(a</w:t>
      </w:r>
      <w:r>
        <w:rPr>
          <w:spacing w:val="-3"/>
          <w:sz w:val="22"/>
        </w:rPr>
        <w:t> </w:t>
      </w:r>
      <w:r>
        <w:rPr>
          <w:b/>
          <w:sz w:val="22"/>
        </w:rPr>
        <w:t>"Break</w:t>
      </w:r>
      <w:r>
        <w:rPr>
          <w:b/>
          <w:spacing w:val="-3"/>
          <w:sz w:val="22"/>
        </w:rPr>
        <w:t> </w:t>
      </w:r>
      <w:r>
        <w:rPr>
          <w:b/>
          <w:sz w:val="22"/>
        </w:rPr>
        <w:t>Notice"</w:t>
      </w:r>
      <w:r>
        <w:rPr>
          <w:sz w:val="22"/>
        </w:rPr>
        <w:t>).</w:t>
      </w:r>
      <w:r>
        <w:rPr>
          <w:spacing w:val="-3"/>
          <w:sz w:val="22"/>
        </w:rPr>
        <w:t> </w:t>
      </w:r>
      <w:r>
        <w:rPr>
          <w:sz w:val="22"/>
        </w:rPr>
        <w:t>A</w:t>
      </w:r>
      <w:r>
        <w:rPr>
          <w:spacing w:val="-3"/>
          <w:sz w:val="22"/>
        </w:rPr>
        <w:t> </w:t>
      </w:r>
      <w:r>
        <w:rPr>
          <w:sz w:val="22"/>
        </w:rPr>
        <w:t>Break</w:t>
      </w:r>
      <w:r>
        <w:rPr>
          <w:spacing w:val="-3"/>
          <w:sz w:val="22"/>
        </w:rPr>
        <w:t> </w:t>
      </w:r>
      <w:r>
        <w:rPr>
          <w:sz w:val="22"/>
        </w:rPr>
        <w:t>Notice,</w:t>
      </w:r>
      <w:r>
        <w:rPr>
          <w:spacing w:val="-3"/>
          <w:sz w:val="22"/>
        </w:rPr>
        <w:t> </w:t>
      </w:r>
      <w:r>
        <w:rPr>
          <w:sz w:val="22"/>
        </w:rPr>
        <w:t>once</w:t>
      </w:r>
      <w:r>
        <w:rPr>
          <w:spacing w:val="-3"/>
          <w:sz w:val="22"/>
        </w:rPr>
        <w:t> </w:t>
      </w:r>
      <w:r>
        <w:rPr>
          <w:sz w:val="22"/>
        </w:rPr>
        <w:t>given,</w:t>
      </w:r>
      <w:r>
        <w:rPr>
          <w:spacing w:val="-3"/>
          <w:sz w:val="22"/>
        </w:rPr>
        <w:t> </w:t>
      </w:r>
      <w:r>
        <w:rPr>
          <w:sz w:val="22"/>
        </w:rPr>
        <w:t>shall be irrevocable. Any Break Notice must be served in accordance with Section 196 of the Law of Property Act 1925 (as amended).</w:t>
      </w:r>
    </w:p>
    <w:p>
      <w:pPr>
        <w:pStyle w:val="Heading3"/>
        <w:numPr>
          <w:ilvl w:val="1"/>
          <w:numId w:val="8"/>
        </w:numPr>
        <w:tabs>
          <w:tab w:pos="760" w:val="left" w:leader="none"/>
        </w:tabs>
        <w:spacing w:line="240" w:lineRule="auto" w:before="237" w:after="0"/>
        <w:ind w:left="760" w:right="0" w:hanging="400"/>
        <w:jc w:val="left"/>
      </w:pPr>
      <w:r>
        <w:rPr/>
        <w:t>Conditions for Exercise of </w:t>
      </w:r>
      <w:r>
        <w:rPr>
          <w:spacing w:val="-2"/>
        </w:rPr>
        <w:t>Break</w:t>
      </w:r>
    </w:p>
    <w:p>
      <w:pPr>
        <w:pStyle w:val="ListParagraph"/>
        <w:numPr>
          <w:ilvl w:val="2"/>
          <w:numId w:val="8"/>
        </w:numPr>
        <w:tabs>
          <w:tab w:pos="1099" w:val="left" w:leader="none"/>
        </w:tabs>
        <w:spacing w:line="266" w:lineRule="auto" w:before="144" w:after="0"/>
        <w:ind w:left="600" w:right="119" w:firstLine="0"/>
        <w:jc w:val="both"/>
        <w:rPr>
          <w:sz w:val="22"/>
        </w:rPr>
      </w:pPr>
      <w:r>
        <w:rPr>
          <w:sz w:val="22"/>
        </w:rPr>
        <w:t>The Tenant's right to determine this Lease on a Break Date shall be conditional upon the following conditions being satisfied on or before the relevant Break Date:</w:t>
      </w:r>
    </w:p>
    <w:p>
      <w:pPr>
        <w:pStyle w:val="ListParagraph"/>
        <w:numPr>
          <w:ilvl w:val="3"/>
          <w:numId w:val="8"/>
        </w:numPr>
        <w:tabs>
          <w:tab w:pos="1147" w:val="left" w:leader="none"/>
        </w:tabs>
        <w:spacing w:line="266" w:lineRule="auto" w:before="118" w:after="0"/>
        <w:ind w:left="840" w:right="119" w:firstLine="0"/>
        <w:jc w:val="both"/>
        <w:rPr>
          <w:sz w:val="22"/>
        </w:rPr>
      </w:pPr>
      <w:r>
        <w:rPr>
          <w:sz w:val="22"/>
        </w:rPr>
        <w:t>there is no material breach by the Tenant of any of the Tenant's covenants in this Lease which remains unremedied at the Break Date;</w:t>
      </w:r>
    </w:p>
    <w:p>
      <w:pPr>
        <w:pStyle w:val="ListParagraph"/>
        <w:numPr>
          <w:ilvl w:val="3"/>
          <w:numId w:val="8"/>
        </w:numPr>
        <w:tabs>
          <w:tab w:pos="1165" w:val="left" w:leader="none"/>
        </w:tabs>
        <w:spacing w:line="266" w:lineRule="auto" w:before="118" w:after="0"/>
        <w:ind w:left="840" w:right="119" w:firstLine="0"/>
        <w:jc w:val="both"/>
        <w:rPr>
          <w:sz w:val="22"/>
        </w:rPr>
      </w:pPr>
      <w:r>
        <w:rPr>
          <w:sz w:val="22"/>
        </w:rPr>
        <w:t>the Tenant gives vacant possession of the whole of the Premises to the Landlord on </w:t>
      </w:r>
      <w:r>
        <w:rPr>
          <w:sz w:val="22"/>
        </w:rPr>
        <w:t>or before the Break Date, free from all occupiers, subtenants and other persons claiming through or under the Tenant;</w:t>
      </w:r>
    </w:p>
    <w:p>
      <w:pPr>
        <w:pStyle w:val="ListParagraph"/>
        <w:numPr>
          <w:ilvl w:val="3"/>
          <w:numId w:val="8"/>
        </w:numPr>
        <w:tabs>
          <w:tab w:pos="1144" w:val="left" w:leader="none"/>
        </w:tabs>
        <w:spacing w:line="266" w:lineRule="auto" w:before="118" w:after="0"/>
        <w:ind w:left="840" w:right="119" w:firstLine="0"/>
        <w:jc w:val="both"/>
        <w:rPr>
          <w:sz w:val="22"/>
        </w:rPr>
      </w:pPr>
      <w:r>
        <w:rPr>
          <w:sz w:val="22"/>
        </w:rPr>
        <w:t>the Tenant pays to the Landlord on or before the Break Date a sum equivalent to six (6) months' rent at the rate payable immediately before the Break Date (the </w:t>
      </w:r>
      <w:r>
        <w:rPr>
          <w:b/>
          <w:sz w:val="22"/>
        </w:rPr>
        <w:t>"Break Premium"</w:t>
      </w:r>
      <w:r>
        <w:rPr>
          <w:sz w:val="22"/>
        </w:rPr>
        <w:t>), such payment to be made by way of cleared funds.</w:t>
      </w:r>
    </w:p>
    <w:p>
      <w:pPr>
        <w:pStyle w:val="ListParagraph"/>
        <w:numPr>
          <w:ilvl w:val="2"/>
          <w:numId w:val="8"/>
        </w:numPr>
        <w:tabs>
          <w:tab w:pos="1105" w:val="left" w:leader="none"/>
        </w:tabs>
        <w:spacing w:line="266" w:lineRule="auto" w:before="118" w:after="0"/>
        <w:ind w:left="600" w:right="119" w:firstLine="0"/>
        <w:jc w:val="both"/>
        <w:rPr>
          <w:sz w:val="22"/>
        </w:rPr>
      </w:pPr>
      <w:r>
        <w:rPr>
          <w:sz w:val="22"/>
        </w:rPr>
        <w:t>If any of the conditions in clause 8.3.1 are not satisfied, the Break Notice shall be of </w:t>
      </w:r>
      <w:r>
        <w:rPr>
          <w:sz w:val="22"/>
        </w:rPr>
        <w:t>no effect and this Lease shall continue in full force and effect.</w:t>
      </w:r>
    </w:p>
    <w:p>
      <w:pPr>
        <w:pStyle w:val="BodyText"/>
        <w:spacing w:before="108"/>
        <w:jc w:val="left"/>
      </w:pPr>
    </w:p>
    <w:p>
      <w:pPr>
        <w:pStyle w:val="Heading2"/>
      </w:pPr>
      <w:r>
        <w:rPr/>
        <w:t>Section 9 — </w:t>
      </w:r>
      <w:r>
        <w:rPr>
          <w:spacing w:val="-2"/>
        </w:rPr>
        <w:t>Indemnity</w:t>
      </w:r>
    </w:p>
    <w:p>
      <w:pPr>
        <w:pStyle w:val="Heading3"/>
        <w:numPr>
          <w:ilvl w:val="1"/>
          <w:numId w:val="9"/>
        </w:numPr>
        <w:tabs>
          <w:tab w:pos="760" w:val="left" w:leader="none"/>
        </w:tabs>
        <w:spacing w:line="240" w:lineRule="auto" w:before="275" w:after="0"/>
        <w:ind w:left="760" w:right="0" w:hanging="400"/>
        <w:jc w:val="left"/>
      </w:pPr>
      <w:r>
        <w:rPr/>
        <w:t>General </w:t>
      </w:r>
      <w:r>
        <w:rPr>
          <w:spacing w:val="-2"/>
        </w:rPr>
        <w:t>Indemnity</w:t>
      </w:r>
    </w:p>
    <w:p>
      <w:pPr>
        <w:pStyle w:val="ListParagraph"/>
        <w:numPr>
          <w:ilvl w:val="2"/>
          <w:numId w:val="9"/>
        </w:numPr>
        <w:tabs>
          <w:tab w:pos="1143" w:val="left" w:leader="none"/>
        </w:tabs>
        <w:spacing w:line="266" w:lineRule="auto" w:before="144" w:after="0"/>
        <w:ind w:left="600" w:right="119" w:firstLine="0"/>
        <w:jc w:val="both"/>
        <w:rPr>
          <w:sz w:val="22"/>
        </w:rPr>
      </w:pPr>
      <w:r>
        <w:rPr>
          <w:sz w:val="22"/>
        </w:rPr>
        <w:t>The Tenant shall indemnify and keep indemnified the Landlord against all actions, proceedings, claims, demands, losses, costs, expenses, damages and liability </w:t>
      </w:r>
      <w:r>
        <w:rPr>
          <w:sz w:val="22"/>
        </w:rPr>
        <w:t>(including professional fees and Value Added Tax thereon) arising directly or indirectly out of: (a) any act, omission or negligence of the Tenant or any person at the Premises with the express or implied</w:t>
      </w:r>
      <w:r>
        <w:rPr>
          <w:spacing w:val="50"/>
          <w:sz w:val="22"/>
        </w:rPr>
        <w:t> </w:t>
      </w:r>
      <w:r>
        <w:rPr>
          <w:sz w:val="22"/>
        </w:rPr>
        <w:t>authority</w:t>
      </w:r>
      <w:r>
        <w:rPr>
          <w:spacing w:val="50"/>
          <w:sz w:val="22"/>
        </w:rPr>
        <w:t> </w:t>
      </w:r>
      <w:r>
        <w:rPr>
          <w:sz w:val="22"/>
        </w:rPr>
        <w:t>of</w:t>
      </w:r>
      <w:r>
        <w:rPr>
          <w:spacing w:val="50"/>
          <w:sz w:val="22"/>
        </w:rPr>
        <w:t> </w:t>
      </w:r>
      <w:r>
        <w:rPr>
          <w:sz w:val="22"/>
        </w:rPr>
        <w:t>the</w:t>
      </w:r>
      <w:r>
        <w:rPr>
          <w:spacing w:val="50"/>
          <w:sz w:val="22"/>
        </w:rPr>
        <w:t> </w:t>
      </w:r>
      <w:r>
        <w:rPr>
          <w:sz w:val="22"/>
        </w:rPr>
        <w:t>Tenant;</w:t>
      </w:r>
      <w:r>
        <w:rPr>
          <w:spacing w:val="50"/>
          <w:sz w:val="22"/>
        </w:rPr>
        <w:t> </w:t>
      </w:r>
      <w:r>
        <w:rPr>
          <w:sz w:val="22"/>
        </w:rPr>
        <w:t>(b)</w:t>
      </w:r>
      <w:r>
        <w:rPr>
          <w:spacing w:val="50"/>
          <w:sz w:val="22"/>
        </w:rPr>
        <w:t> </w:t>
      </w:r>
      <w:r>
        <w:rPr>
          <w:sz w:val="22"/>
        </w:rPr>
        <w:t>any</w:t>
      </w:r>
      <w:r>
        <w:rPr>
          <w:spacing w:val="50"/>
          <w:sz w:val="22"/>
        </w:rPr>
        <w:t> </w:t>
      </w:r>
      <w:r>
        <w:rPr>
          <w:sz w:val="22"/>
        </w:rPr>
        <w:t>breach</w:t>
      </w:r>
      <w:r>
        <w:rPr>
          <w:spacing w:val="50"/>
          <w:sz w:val="22"/>
        </w:rPr>
        <w:t> </w:t>
      </w:r>
      <w:r>
        <w:rPr>
          <w:sz w:val="22"/>
        </w:rPr>
        <w:t>or</w:t>
      </w:r>
      <w:r>
        <w:rPr>
          <w:spacing w:val="50"/>
          <w:sz w:val="22"/>
        </w:rPr>
        <w:t> </w:t>
      </w:r>
      <w:r>
        <w:rPr>
          <w:sz w:val="22"/>
        </w:rPr>
        <w:t>non-observance</w:t>
      </w:r>
      <w:r>
        <w:rPr>
          <w:spacing w:val="50"/>
          <w:sz w:val="22"/>
        </w:rPr>
        <w:t> </w:t>
      </w:r>
      <w:r>
        <w:rPr>
          <w:sz w:val="22"/>
        </w:rPr>
        <w:t>by</w:t>
      </w:r>
      <w:r>
        <w:rPr>
          <w:spacing w:val="50"/>
          <w:sz w:val="22"/>
        </w:rPr>
        <w:t> </w:t>
      </w:r>
      <w:r>
        <w:rPr>
          <w:sz w:val="22"/>
        </w:rPr>
        <w:t>the</w:t>
      </w:r>
      <w:r>
        <w:rPr>
          <w:spacing w:val="50"/>
          <w:sz w:val="22"/>
        </w:rPr>
        <w:t> </w:t>
      </w:r>
      <w:r>
        <w:rPr>
          <w:sz w:val="22"/>
        </w:rPr>
        <w:t>Tenant</w:t>
      </w:r>
      <w:r>
        <w:rPr>
          <w:spacing w:val="50"/>
          <w:sz w:val="22"/>
        </w:rPr>
        <w:t> </w:t>
      </w:r>
      <w:r>
        <w:rPr>
          <w:sz w:val="22"/>
        </w:rPr>
        <w:t>of</w:t>
      </w:r>
      <w:r>
        <w:rPr>
          <w:spacing w:val="50"/>
          <w:sz w:val="22"/>
        </w:rPr>
        <w:t> </w:t>
      </w:r>
      <w:r>
        <w:rPr>
          <w:spacing w:val="-5"/>
          <w:sz w:val="22"/>
        </w:rPr>
        <w:t>the</w:t>
      </w:r>
    </w:p>
    <w:p>
      <w:pPr>
        <w:pStyle w:val="ListParagraph"/>
        <w:spacing w:after="0" w:line="266" w:lineRule="auto"/>
        <w:jc w:val="both"/>
        <w:rPr>
          <w:sz w:val="22"/>
        </w:rPr>
        <w:sectPr>
          <w:pgSz w:w="11910" w:h="16840"/>
          <w:pgMar w:header="762" w:footer="745" w:top="1640" w:bottom="940" w:left="1417" w:right="1417"/>
        </w:sectPr>
      </w:pPr>
    </w:p>
    <w:p>
      <w:pPr>
        <w:pStyle w:val="BodyText"/>
        <w:spacing w:line="266" w:lineRule="auto" w:before="80"/>
        <w:ind w:left="600"/>
        <w:jc w:val="left"/>
      </w:pPr>
      <w:r>
        <w:rPr/>
        <w:t>covenants,</w:t>
      </w:r>
      <w:r>
        <w:rPr>
          <w:spacing w:val="40"/>
        </w:rPr>
        <w:t> </w:t>
      </w:r>
      <w:r>
        <w:rPr/>
        <w:t>conditions</w:t>
      </w:r>
      <w:r>
        <w:rPr>
          <w:spacing w:val="40"/>
        </w:rPr>
        <w:t> </w:t>
      </w:r>
      <w:r>
        <w:rPr/>
        <w:t>and</w:t>
      </w:r>
      <w:r>
        <w:rPr>
          <w:spacing w:val="40"/>
        </w:rPr>
        <w:t> </w:t>
      </w:r>
      <w:r>
        <w:rPr/>
        <w:t>other</w:t>
      </w:r>
      <w:r>
        <w:rPr>
          <w:spacing w:val="40"/>
        </w:rPr>
        <w:t> </w:t>
      </w:r>
      <w:r>
        <w:rPr/>
        <w:t>provisions</w:t>
      </w:r>
      <w:r>
        <w:rPr>
          <w:spacing w:val="40"/>
        </w:rPr>
        <w:t> </w:t>
      </w:r>
      <w:r>
        <w:rPr/>
        <w:t>of</w:t>
      </w:r>
      <w:r>
        <w:rPr>
          <w:spacing w:val="40"/>
        </w:rPr>
        <w:t> </w:t>
      </w:r>
      <w:r>
        <w:rPr/>
        <w:t>this</w:t>
      </w:r>
      <w:r>
        <w:rPr>
          <w:spacing w:val="40"/>
        </w:rPr>
        <w:t> </w:t>
      </w:r>
      <w:r>
        <w:rPr/>
        <w:t>Lease;</w:t>
      </w:r>
      <w:r>
        <w:rPr>
          <w:spacing w:val="40"/>
        </w:rPr>
        <w:t> </w:t>
      </w:r>
      <w:r>
        <w:rPr/>
        <w:t>or</w:t>
      </w:r>
      <w:r>
        <w:rPr>
          <w:spacing w:val="40"/>
        </w:rPr>
        <w:t> </w:t>
      </w:r>
      <w:r>
        <w:rPr/>
        <w:t>(c)</w:t>
      </w:r>
      <w:r>
        <w:rPr>
          <w:spacing w:val="40"/>
        </w:rPr>
        <w:t> </w:t>
      </w:r>
      <w:r>
        <w:rPr/>
        <w:t>the</w:t>
      </w:r>
      <w:r>
        <w:rPr>
          <w:spacing w:val="40"/>
        </w:rPr>
        <w:t> </w:t>
      </w:r>
      <w:r>
        <w:rPr/>
        <w:t>exercise</w:t>
      </w:r>
      <w:r>
        <w:rPr>
          <w:spacing w:val="40"/>
        </w:rPr>
        <w:t> </w:t>
      </w:r>
      <w:r>
        <w:rPr/>
        <w:t>or</w:t>
      </w:r>
      <w:r>
        <w:rPr>
          <w:spacing w:val="40"/>
        </w:rPr>
        <w:t> </w:t>
      </w:r>
      <w:r>
        <w:rPr/>
        <w:t>purported exercise by the Tenant of any of the rights granted to the Tenant under this Lease.</w:t>
      </w:r>
    </w:p>
    <w:p>
      <w:pPr>
        <w:pStyle w:val="Heading3"/>
        <w:numPr>
          <w:ilvl w:val="1"/>
          <w:numId w:val="9"/>
        </w:numPr>
        <w:tabs>
          <w:tab w:pos="760" w:val="left" w:leader="none"/>
        </w:tabs>
        <w:spacing w:line="240" w:lineRule="auto" w:before="239" w:after="0"/>
        <w:ind w:left="760" w:right="0" w:hanging="400"/>
        <w:jc w:val="left"/>
      </w:pPr>
      <w:r>
        <w:rPr/>
        <w:t>Environmental </w:t>
      </w:r>
      <w:r>
        <w:rPr>
          <w:spacing w:val="-2"/>
        </w:rPr>
        <w:t>Indemnity</w:t>
      </w:r>
    </w:p>
    <w:p>
      <w:pPr>
        <w:pStyle w:val="ListParagraph"/>
        <w:numPr>
          <w:ilvl w:val="2"/>
          <w:numId w:val="9"/>
        </w:numPr>
        <w:tabs>
          <w:tab w:pos="1105" w:val="left" w:leader="none"/>
        </w:tabs>
        <w:spacing w:line="266" w:lineRule="auto" w:before="144" w:after="0"/>
        <w:ind w:left="600" w:right="119" w:firstLine="0"/>
        <w:jc w:val="both"/>
        <w:rPr>
          <w:sz w:val="22"/>
        </w:rPr>
      </w:pPr>
      <w:r>
        <w:rPr>
          <w:sz w:val="22"/>
        </w:rPr>
        <w:t>The Tenant shall indemnify and keep indemnified the Landlord against all claims, costs and liabilities arising from or in connection with any contamination of or damage to the environment (including the Premises, the Building, the air, soil, groundwater, surface </w:t>
      </w:r>
      <w:r>
        <w:rPr>
          <w:sz w:val="22"/>
        </w:rPr>
        <w:t>water and any living organism) caused by or attributable to the acts, omissions or operations of the Tenant or any person at the Premises with the express or implied authority of the Tenant.</w:t>
      </w:r>
    </w:p>
    <w:p>
      <w:pPr>
        <w:pStyle w:val="ListParagraph"/>
        <w:numPr>
          <w:ilvl w:val="2"/>
          <w:numId w:val="9"/>
        </w:numPr>
        <w:tabs>
          <w:tab w:pos="1094" w:val="left" w:leader="none"/>
        </w:tabs>
        <w:spacing w:line="266" w:lineRule="auto" w:before="116" w:after="0"/>
        <w:ind w:left="600" w:right="119" w:firstLine="0"/>
        <w:jc w:val="both"/>
        <w:rPr>
          <w:sz w:val="22"/>
        </w:rPr>
      </w:pPr>
      <w:r>
        <w:rPr>
          <w:sz w:val="22"/>
        </w:rPr>
        <w:t>Without</w:t>
      </w:r>
      <w:r>
        <w:rPr>
          <w:spacing w:val="-4"/>
          <w:sz w:val="22"/>
        </w:rPr>
        <w:t> </w:t>
      </w:r>
      <w:r>
        <w:rPr>
          <w:sz w:val="22"/>
        </w:rPr>
        <w:t>prejudice</w:t>
      </w:r>
      <w:r>
        <w:rPr>
          <w:spacing w:val="-4"/>
          <w:sz w:val="22"/>
        </w:rPr>
        <w:t> </w:t>
      </w:r>
      <w:r>
        <w:rPr>
          <w:sz w:val="22"/>
        </w:rPr>
        <w:t>to</w:t>
      </w:r>
      <w:r>
        <w:rPr>
          <w:spacing w:val="-4"/>
          <w:sz w:val="22"/>
        </w:rPr>
        <w:t> </w:t>
      </w:r>
      <w:r>
        <w:rPr>
          <w:sz w:val="22"/>
        </w:rPr>
        <w:t>the</w:t>
      </w:r>
      <w:r>
        <w:rPr>
          <w:spacing w:val="-4"/>
          <w:sz w:val="22"/>
        </w:rPr>
        <w:t> </w:t>
      </w:r>
      <w:r>
        <w:rPr>
          <w:sz w:val="22"/>
        </w:rPr>
        <w:t>generality</w:t>
      </w:r>
      <w:r>
        <w:rPr>
          <w:spacing w:val="-4"/>
          <w:sz w:val="22"/>
        </w:rPr>
        <w:t> </w:t>
      </w:r>
      <w:r>
        <w:rPr>
          <w:sz w:val="22"/>
        </w:rPr>
        <w:t>of</w:t>
      </w:r>
      <w:r>
        <w:rPr>
          <w:spacing w:val="-4"/>
          <w:sz w:val="22"/>
        </w:rPr>
        <w:t> </w:t>
      </w:r>
      <w:r>
        <w:rPr>
          <w:sz w:val="22"/>
        </w:rPr>
        <w:t>clause</w:t>
      </w:r>
      <w:r>
        <w:rPr>
          <w:spacing w:val="-4"/>
          <w:sz w:val="22"/>
        </w:rPr>
        <w:t> </w:t>
      </w:r>
      <w:r>
        <w:rPr>
          <w:sz w:val="22"/>
        </w:rPr>
        <w:t>9.2.1,</w:t>
      </w:r>
      <w:r>
        <w:rPr>
          <w:spacing w:val="-4"/>
          <w:sz w:val="22"/>
        </w:rPr>
        <w:t> </w:t>
      </w:r>
      <w:r>
        <w:rPr>
          <w:sz w:val="22"/>
        </w:rPr>
        <w:t>the</w:t>
      </w:r>
      <w:r>
        <w:rPr>
          <w:spacing w:val="-4"/>
          <w:sz w:val="22"/>
        </w:rPr>
        <w:t> </w:t>
      </w:r>
      <w:r>
        <w:rPr>
          <w:sz w:val="22"/>
        </w:rPr>
        <w:t>Tenant's</w:t>
      </w:r>
      <w:r>
        <w:rPr>
          <w:spacing w:val="-4"/>
          <w:sz w:val="22"/>
        </w:rPr>
        <w:t> </w:t>
      </w:r>
      <w:r>
        <w:rPr>
          <w:sz w:val="22"/>
        </w:rPr>
        <w:t>environmental</w:t>
      </w:r>
      <w:r>
        <w:rPr>
          <w:spacing w:val="-4"/>
          <w:sz w:val="22"/>
        </w:rPr>
        <w:t> </w:t>
      </w:r>
      <w:r>
        <w:rPr>
          <w:sz w:val="22"/>
        </w:rPr>
        <w:t>indemnity shall include liability under Part IIA of the Environmental Protection Act 1990, the Water Resources Act 1991, and any other environmental legislation in force from time to time.</w:t>
      </w:r>
    </w:p>
    <w:p>
      <w:pPr>
        <w:pStyle w:val="BodyText"/>
        <w:spacing w:before="107"/>
        <w:jc w:val="left"/>
      </w:pPr>
    </w:p>
    <w:p>
      <w:pPr>
        <w:pStyle w:val="Heading2"/>
      </w:pPr>
      <w:r>
        <w:rPr/>
        <w:t>Section 10 — Dispute </w:t>
      </w:r>
      <w:r>
        <w:rPr>
          <w:spacing w:val="-2"/>
        </w:rPr>
        <w:t>Resolution</w:t>
      </w:r>
    </w:p>
    <w:p>
      <w:pPr>
        <w:pStyle w:val="Heading3"/>
        <w:numPr>
          <w:ilvl w:val="1"/>
          <w:numId w:val="10"/>
        </w:numPr>
        <w:tabs>
          <w:tab w:pos="893" w:val="left" w:leader="none"/>
        </w:tabs>
        <w:spacing w:line="240" w:lineRule="auto" w:before="276" w:after="0"/>
        <w:ind w:left="893" w:right="0" w:hanging="533"/>
        <w:jc w:val="left"/>
      </w:pPr>
      <w:r>
        <w:rPr>
          <w:spacing w:val="-2"/>
        </w:rPr>
        <w:t>Mediation</w:t>
      </w:r>
    </w:p>
    <w:p>
      <w:pPr>
        <w:pStyle w:val="ListParagraph"/>
        <w:numPr>
          <w:ilvl w:val="2"/>
          <w:numId w:val="10"/>
        </w:numPr>
        <w:tabs>
          <w:tab w:pos="1208" w:val="left" w:leader="none"/>
        </w:tabs>
        <w:spacing w:line="266" w:lineRule="auto" w:before="143" w:after="0"/>
        <w:ind w:left="600" w:right="119" w:firstLine="0"/>
        <w:jc w:val="both"/>
        <w:rPr>
          <w:sz w:val="22"/>
        </w:rPr>
      </w:pPr>
      <w:r>
        <w:rPr>
          <w:sz w:val="22"/>
        </w:rPr>
        <w:t>In the event of any dispute or difference arising out of or in connection with this Lease, including any question regarding its existence, validity or termination (a </w:t>
      </w:r>
      <w:r>
        <w:rPr>
          <w:b/>
          <w:sz w:val="22"/>
        </w:rPr>
        <w:t>"Dispute"</w:t>
      </w:r>
      <w:r>
        <w:rPr>
          <w:sz w:val="22"/>
        </w:rPr>
        <w:t>), </w:t>
      </w:r>
      <w:r>
        <w:rPr>
          <w:sz w:val="22"/>
        </w:rPr>
        <w:t>the parties</w:t>
      </w:r>
      <w:r>
        <w:rPr>
          <w:spacing w:val="-4"/>
          <w:sz w:val="22"/>
        </w:rPr>
        <w:t> </w:t>
      </w:r>
      <w:r>
        <w:rPr>
          <w:sz w:val="22"/>
        </w:rPr>
        <w:t>shall</w:t>
      </w:r>
      <w:r>
        <w:rPr>
          <w:spacing w:val="-4"/>
          <w:sz w:val="22"/>
        </w:rPr>
        <w:t> </w:t>
      </w:r>
      <w:r>
        <w:rPr>
          <w:sz w:val="22"/>
        </w:rPr>
        <w:t>first</w:t>
      </w:r>
      <w:r>
        <w:rPr>
          <w:spacing w:val="-4"/>
          <w:sz w:val="22"/>
        </w:rPr>
        <w:t> </w:t>
      </w:r>
      <w:r>
        <w:rPr>
          <w:sz w:val="22"/>
        </w:rPr>
        <w:t>attempt</w:t>
      </w:r>
      <w:r>
        <w:rPr>
          <w:spacing w:val="-4"/>
          <w:sz w:val="22"/>
        </w:rPr>
        <w:t> </w:t>
      </w:r>
      <w:r>
        <w:rPr>
          <w:sz w:val="22"/>
        </w:rPr>
        <w:t>to</w:t>
      </w:r>
      <w:r>
        <w:rPr>
          <w:spacing w:val="-4"/>
          <w:sz w:val="22"/>
        </w:rPr>
        <w:t> </w:t>
      </w:r>
      <w:r>
        <w:rPr>
          <w:sz w:val="22"/>
        </w:rPr>
        <w:t>resolve</w:t>
      </w:r>
      <w:r>
        <w:rPr>
          <w:spacing w:val="-4"/>
          <w:sz w:val="22"/>
        </w:rPr>
        <w:t> </w:t>
      </w:r>
      <w:r>
        <w:rPr>
          <w:sz w:val="22"/>
        </w:rPr>
        <w:t>the</w:t>
      </w:r>
      <w:r>
        <w:rPr>
          <w:spacing w:val="-4"/>
          <w:sz w:val="22"/>
        </w:rPr>
        <w:t> </w:t>
      </w:r>
      <w:r>
        <w:rPr>
          <w:sz w:val="22"/>
        </w:rPr>
        <w:t>Dispute</w:t>
      </w:r>
      <w:r>
        <w:rPr>
          <w:spacing w:val="-4"/>
          <w:sz w:val="22"/>
        </w:rPr>
        <w:t> </w:t>
      </w:r>
      <w:r>
        <w:rPr>
          <w:sz w:val="22"/>
        </w:rPr>
        <w:t>by</w:t>
      </w:r>
      <w:r>
        <w:rPr>
          <w:spacing w:val="-4"/>
          <w:sz w:val="22"/>
        </w:rPr>
        <w:t> </w:t>
      </w:r>
      <w:r>
        <w:rPr>
          <w:sz w:val="22"/>
        </w:rPr>
        <w:t>mediation</w:t>
      </w:r>
      <w:r>
        <w:rPr>
          <w:spacing w:val="-4"/>
          <w:sz w:val="22"/>
        </w:rPr>
        <w:t> </w:t>
      </w:r>
      <w:r>
        <w:rPr>
          <w:sz w:val="22"/>
        </w:rPr>
        <w:t>in</w:t>
      </w:r>
      <w:r>
        <w:rPr>
          <w:spacing w:val="-4"/>
          <w:sz w:val="22"/>
        </w:rPr>
        <w:t> </w:t>
      </w:r>
      <w:r>
        <w:rPr>
          <w:sz w:val="22"/>
        </w:rPr>
        <w:t>accordance</w:t>
      </w:r>
      <w:r>
        <w:rPr>
          <w:spacing w:val="-4"/>
          <w:sz w:val="22"/>
        </w:rPr>
        <w:t> </w:t>
      </w:r>
      <w:r>
        <w:rPr>
          <w:sz w:val="22"/>
        </w:rPr>
        <w:t>with</w:t>
      </w:r>
      <w:r>
        <w:rPr>
          <w:spacing w:val="-4"/>
          <w:sz w:val="22"/>
        </w:rPr>
        <w:t> </w:t>
      </w:r>
      <w:r>
        <w:rPr>
          <w:sz w:val="22"/>
        </w:rPr>
        <w:t>the</w:t>
      </w:r>
      <w:r>
        <w:rPr>
          <w:spacing w:val="-4"/>
          <w:sz w:val="22"/>
        </w:rPr>
        <w:t> </w:t>
      </w:r>
      <w:r>
        <w:rPr>
          <w:sz w:val="22"/>
        </w:rPr>
        <w:t>Centre</w:t>
      </w:r>
      <w:r>
        <w:rPr>
          <w:spacing w:val="-4"/>
          <w:sz w:val="22"/>
        </w:rPr>
        <w:t> </w:t>
      </w:r>
      <w:r>
        <w:rPr>
          <w:sz w:val="22"/>
        </w:rPr>
        <w:t>for Effective Dispute Resolution (CEDR) Model Mediation Procedure. To initiate mediation, a party</w:t>
      </w:r>
      <w:r>
        <w:rPr>
          <w:spacing w:val="-5"/>
          <w:sz w:val="22"/>
        </w:rPr>
        <w:t> </w:t>
      </w:r>
      <w:r>
        <w:rPr>
          <w:sz w:val="22"/>
        </w:rPr>
        <w:t>must</w:t>
      </w:r>
      <w:r>
        <w:rPr>
          <w:spacing w:val="-3"/>
          <w:sz w:val="22"/>
        </w:rPr>
        <w:t> </w:t>
      </w:r>
      <w:r>
        <w:rPr>
          <w:sz w:val="22"/>
        </w:rPr>
        <w:t>give</w:t>
      </w:r>
      <w:r>
        <w:rPr>
          <w:spacing w:val="-3"/>
          <w:sz w:val="22"/>
        </w:rPr>
        <w:t> </w:t>
      </w:r>
      <w:r>
        <w:rPr>
          <w:sz w:val="22"/>
        </w:rPr>
        <w:t>written</w:t>
      </w:r>
      <w:r>
        <w:rPr>
          <w:spacing w:val="-3"/>
          <w:sz w:val="22"/>
        </w:rPr>
        <w:t> </w:t>
      </w:r>
      <w:r>
        <w:rPr>
          <w:sz w:val="22"/>
        </w:rPr>
        <w:t>notice</w:t>
      </w:r>
      <w:r>
        <w:rPr>
          <w:spacing w:val="-3"/>
          <w:sz w:val="22"/>
        </w:rPr>
        <w:t> </w:t>
      </w:r>
      <w:r>
        <w:rPr>
          <w:sz w:val="22"/>
        </w:rPr>
        <w:t>to</w:t>
      </w:r>
      <w:r>
        <w:rPr>
          <w:spacing w:val="-3"/>
          <w:sz w:val="22"/>
        </w:rPr>
        <w:t> </w:t>
      </w:r>
      <w:r>
        <w:rPr>
          <w:sz w:val="22"/>
        </w:rPr>
        <w:t>the</w:t>
      </w:r>
      <w:r>
        <w:rPr>
          <w:spacing w:val="-3"/>
          <w:sz w:val="22"/>
        </w:rPr>
        <w:t> </w:t>
      </w:r>
      <w:r>
        <w:rPr>
          <w:sz w:val="22"/>
        </w:rPr>
        <w:t>other</w:t>
      </w:r>
      <w:r>
        <w:rPr>
          <w:spacing w:val="-3"/>
          <w:sz w:val="22"/>
        </w:rPr>
        <w:t> </w:t>
      </w:r>
      <w:r>
        <w:rPr>
          <w:sz w:val="22"/>
        </w:rPr>
        <w:t>party</w:t>
      </w:r>
      <w:r>
        <w:rPr>
          <w:spacing w:val="-3"/>
          <w:sz w:val="22"/>
        </w:rPr>
        <w:t> </w:t>
      </w:r>
      <w:r>
        <w:rPr>
          <w:sz w:val="22"/>
        </w:rPr>
        <w:t>requesting</w:t>
      </w:r>
      <w:r>
        <w:rPr>
          <w:spacing w:val="-3"/>
          <w:sz w:val="22"/>
        </w:rPr>
        <w:t> </w:t>
      </w:r>
      <w:r>
        <w:rPr>
          <w:sz w:val="22"/>
        </w:rPr>
        <w:t>mediation</w:t>
      </w:r>
      <w:r>
        <w:rPr>
          <w:spacing w:val="-3"/>
          <w:sz w:val="22"/>
        </w:rPr>
        <w:t> </w:t>
      </w:r>
      <w:r>
        <w:rPr>
          <w:sz w:val="22"/>
        </w:rPr>
        <w:t>(a</w:t>
      </w:r>
      <w:r>
        <w:rPr>
          <w:spacing w:val="-3"/>
          <w:sz w:val="22"/>
        </w:rPr>
        <w:t> </w:t>
      </w:r>
      <w:r>
        <w:rPr>
          <w:b/>
          <w:sz w:val="22"/>
        </w:rPr>
        <w:t>"Mediation</w:t>
      </w:r>
      <w:r>
        <w:rPr>
          <w:b/>
          <w:spacing w:val="-3"/>
          <w:sz w:val="22"/>
        </w:rPr>
        <w:t> </w:t>
      </w:r>
      <w:r>
        <w:rPr>
          <w:b/>
          <w:spacing w:val="-2"/>
          <w:sz w:val="22"/>
        </w:rPr>
        <w:t>Notice"</w:t>
      </w:r>
      <w:r>
        <w:rPr>
          <w:spacing w:val="-2"/>
          <w:sz w:val="22"/>
        </w:rPr>
        <w:t>).</w:t>
      </w:r>
    </w:p>
    <w:p>
      <w:pPr>
        <w:pStyle w:val="ListParagraph"/>
        <w:numPr>
          <w:ilvl w:val="2"/>
          <w:numId w:val="10"/>
        </w:numPr>
        <w:tabs>
          <w:tab w:pos="1214" w:val="left" w:leader="none"/>
        </w:tabs>
        <w:spacing w:line="266" w:lineRule="auto" w:before="116" w:after="0"/>
        <w:ind w:left="600" w:right="119" w:firstLine="0"/>
        <w:jc w:val="both"/>
        <w:rPr>
          <w:sz w:val="22"/>
        </w:rPr>
      </w:pPr>
      <w:r>
        <w:rPr>
          <w:sz w:val="22"/>
        </w:rPr>
        <w:t>The mediation shall commence within twenty-eight (28) days of the Mediation </w:t>
      </w:r>
      <w:r>
        <w:rPr>
          <w:sz w:val="22"/>
        </w:rPr>
        <w:t>Notice. If</w:t>
      </w:r>
      <w:r>
        <w:rPr>
          <w:spacing w:val="-3"/>
          <w:sz w:val="22"/>
        </w:rPr>
        <w:t> </w:t>
      </w:r>
      <w:r>
        <w:rPr>
          <w:sz w:val="22"/>
        </w:rPr>
        <w:t>the</w:t>
      </w:r>
      <w:r>
        <w:rPr>
          <w:spacing w:val="-3"/>
          <w:sz w:val="22"/>
        </w:rPr>
        <w:t> </w:t>
      </w:r>
      <w:r>
        <w:rPr>
          <w:sz w:val="22"/>
        </w:rPr>
        <w:t>Dispute</w:t>
      </w:r>
      <w:r>
        <w:rPr>
          <w:spacing w:val="-3"/>
          <w:sz w:val="22"/>
        </w:rPr>
        <w:t> </w:t>
      </w:r>
      <w:r>
        <w:rPr>
          <w:sz w:val="22"/>
        </w:rPr>
        <w:t>is</w:t>
      </w:r>
      <w:r>
        <w:rPr>
          <w:spacing w:val="-3"/>
          <w:sz w:val="22"/>
        </w:rPr>
        <w:t> </w:t>
      </w:r>
      <w:r>
        <w:rPr>
          <w:sz w:val="22"/>
        </w:rPr>
        <w:t>not</w:t>
      </w:r>
      <w:r>
        <w:rPr>
          <w:spacing w:val="-3"/>
          <w:sz w:val="22"/>
        </w:rPr>
        <w:t> </w:t>
      </w:r>
      <w:r>
        <w:rPr>
          <w:sz w:val="22"/>
        </w:rPr>
        <w:t>resolved</w:t>
      </w:r>
      <w:r>
        <w:rPr>
          <w:spacing w:val="-3"/>
          <w:sz w:val="22"/>
        </w:rPr>
        <w:t> </w:t>
      </w:r>
      <w:r>
        <w:rPr>
          <w:sz w:val="22"/>
        </w:rPr>
        <w:t>within</w:t>
      </w:r>
      <w:r>
        <w:rPr>
          <w:spacing w:val="-3"/>
          <w:sz w:val="22"/>
        </w:rPr>
        <w:t> </w:t>
      </w:r>
      <w:r>
        <w:rPr>
          <w:sz w:val="22"/>
        </w:rPr>
        <w:t>fifty-six</w:t>
      </w:r>
      <w:r>
        <w:rPr>
          <w:spacing w:val="-3"/>
          <w:sz w:val="22"/>
        </w:rPr>
        <w:t> </w:t>
      </w:r>
      <w:r>
        <w:rPr>
          <w:sz w:val="22"/>
        </w:rPr>
        <w:t>(56)</w:t>
      </w:r>
      <w:r>
        <w:rPr>
          <w:spacing w:val="-3"/>
          <w:sz w:val="22"/>
        </w:rPr>
        <w:t> </w:t>
      </w:r>
      <w:r>
        <w:rPr>
          <w:sz w:val="22"/>
        </w:rPr>
        <w:t>days</w:t>
      </w:r>
      <w:r>
        <w:rPr>
          <w:spacing w:val="-3"/>
          <w:sz w:val="22"/>
        </w:rPr>
        <w:t> </w:t>
      </w:r>
      <w:r>
        <w:rPr>
          <w:sz w:val="22"/>
        </w:rPr>
        <w:t>of</w:t>
      </w:r>
      <w:r>
        <w:rPr>
          <w:spacing w:val="-3"/>
          <w:sz w:val="22"/>
        </w:rPr>
        <w:t> </w:t>
      </w:r>
      <w:r>
        <w:rPr>
          <w:sz w:val="22"/>
        </w:rPr>
        <w:t>the</w:t>
      </w:r>
      <w:r>
        <w:rPr>
          <w:spacing w:val="-3"/>
          <w:sz w:val="22"/>
        </w:rPr>
        <w:t> </w:t>
      </w:r>
      <w:r>
        <w:rPr>
          <w:sz w:val="22"/>
        </w:rPr>
        <w:t>Mediation</w:t>
      </w:r>
      <w:r>
        <w:rPr>
          <w:spacing w:val="-3"/>
          <w:sz w:val="22"/>
        </w:rPr>
        <w:t> </w:t>
      </w:r>
      <w:r>
        <w:rPr>
          <w:sz w:val="22"/>
        </w:rPr>
        <w:t>Notice</w:t>
      </w:r>
      <w:r>
        <w:rPr>
          <w:spacing w:val="-3"/>
          <w:sz w:val="22"/>
        </w:rPr>
        <w:t> </w:t>
      </w:r>
      <w:r>
        <w:rPr>
          <w:sz w:val="22"/>
        </w:rPr>
        <w:t>(or</w:t>
      </w:r>
      <w:r>
        <w:rPr>
          <w:spacing w:val="-3"/>
          <w:sz w:val="22"/>
        </w:rPr>
        <w:t> </w:t>
      </w:r>
      <w:r>
        <w:rPr>
          <w:sz w:val="22"/>
        </w:rPr>
        <w:t>such</w:t>
      </w:r>
      <w:r>
        <w:rPr>
          <w:spacing w:val="-3"/>
          <w:sz w:val="22"/>
        </w:rPr>
        <w:t> </w:t>
      </w:r>
      <w:r>
        <w:rPr>
          <w:sz w:val="22"/>
        </w:rPr>
        <w:t>longer period as the parties may agree in writing), either party may refer the Dispute to arbitration in accordance with clause 10.2.</w:t>
      </w:r>
    </w:p>
    <w:p>
      <w:pPr>
        <w:pStyle w:val="Heading3"/>
        <w:numPr>
          <w:ilvl w:val="1"/>
          <w:numId w:val="10"/>
        </w:numPr>
        <w:tabs>
          <w:tab w:pos="893" w:val="left" w:leader="none"/>
        </w:tabs>
        <w:spacing w:line="240" w:lineRule="auto" w:before="237" w:after="0"/>
        <w:ind w:left="893" w:right="0" w:hanging="533"/>
        <w:jc w:val="left"/>
      </w:pPr>
      <w:r>
        <w:rPr>
          <w:spacing w:val="-2"/>
        </w:rPr>
        <w:t>Arbitration</w:t>
      </w:r>
    </w:p>
    <w:p>
      <w:pPr>
        <w:pStyle w:val="ListParagraph"/>
        <w:numPr>
          <w:ilvl w:val="2"/>
          <w:numId w:val="10"/>
        </w:numPr>
        <w:tabs>
          <w:tab w:pos="1207" w:val="left" w:leader="none"/>
        </w:tabs>
        <w:spacing w:line="266" w:lineRule="auto" w:before="144" w:after="0"/>
        <w:ind w:left="600" w:right="119" w:firstLine="0"/>
        <w:jc w:val="both"/>
        <w:rPr>
          <w:sz w:val="22"/>
        </w:rPr>
      </w:pPr>
      <w:r>
        <w:rPr>
          <w:sz w:val="22"/>
        </w:rPr>
        <w:t>Any Dispute not resolved by mediation in accordance with clause 10.1 shall be </w:t>
      </w:r>
      <w:r>
        <w:rPr>
          <w:sz w:val="22"/>
        </w:rPr>
        <w:t>referred to</w:t>
      </w:r>
      <w:r>
        <w:rPr>
          <w:spacing w:val="-3"/>
          <w:sz w:val="22"/>
        </w:rPr>
        <w:t> </w:t>
      </w:r>
      <w:r>
        <w:rPr>
          <w:sz w:val="22"/>
        </w:rPr>
        <w:t>and</w:t>
      </w:r>
      <w:r>
        <w:rPr>
          <w:spacing w:val="-3"/>
          <w:sz w:val="22"/>
        </w:rPr>
        <w:t> </w:t>
      </w:r>
      <w:r>
        <w:rPr>
          <w:sz w:val="22"/>
        </w:rPr>
        <w:t>finally</w:t>
      </w:r>
      <w:r>
        <w:rPr>
          <w:spacing w:val="-3"/>
          <w:sz w:val="22"/>
        </w:rPr>
        <w:t> </w:t>
      </w:r>
      <w:r>
        <w:rPr>
          <w:sz w:val="22"/>
        </w:rPr>
        <w:t>resolved</w:t>
      </w:r>
      <w:r>
        <w:rPr>
          <w:spacing w:val="-3"/>
          <w:sz w:val="22"/>
        </w:rPr>
        <w:t> </w:t>
      </w:r>
      <w:r>
        <w:rPr>
          <w:sz w:val="22"/>
        </w:rPr>
        <w:t>by</w:t>
      </w:r>
      <w:r>
        <w:rPr>
          <w:spacing w:val="-3"/>
          <w:sz w:val="22"/>
        </w:rPr>
        <w:t> </w:t>
      </w:r>
      <w:r>
        <w:rPr>
          <w:sz w:val="22"/>
        </w:rPr>
        <w:t>arbitration</w:t>
      </w:r>
      <w:r>
        <w:rPr>
          <w:spacing w:val="-3"/>
          <w:sz w:val="22"/>
        </w:rPr>
        <w:t> </w:t>
      </w:r>
      <w:r>
        <w:rPr>
          <w:sz w:val="22"/>
        </w:rPr>
        <w:t>under</w:t>
      </w:r>
      <w:r>
        <w:rPr>
          <w:spacing w:val="-3"/>
          <w:sz w:val="22"/>
        </w:rPr>
        <w:t> </w:t>
      </w:r>
      <w:r>
        <w:rPr>
          <w:sz w:val="22"/>
        </w:rPr>
        <w:t>the</w:t>
      </w:r>
      <w:r>
        <w:rPr>
          <w:spacing w:val="-3"/>
          <w:sz w:val="22"/>
        </w:rPr>
        <w:t> </w:t>
      </w:r>
      <w:r>
        <w:rPr>
          <w:sz w:val="22"/>
        </w:rPr>
        <w:t>Arbitration</w:t>
      </w:r>
      <w:r>
        <w:rPr>
          <w:spacing w:val="-3"/>
          <w:sz w:val="22"/>
        </w:rPr>
        <w:t> </w:t>
      </w:r>
      <w:r>
        <w:rPr>
          <w:sz w:val="22"/>
        </w:rPr>
        <w:t>Act</w:t>
      </w:r>
      <w:r>
        <w:rPr>
          <w:spacing w:val="-3"/>
          <w:sz w:val="22"/>
        </w:rPr>
        <w:t> </w:t>
      </w:r>
      <w:r>
        <w:rPr>
          <w:sz w:val="22"/>
        </w:rPr>
        <w:t>1996.</w:t>
      </w:r>
      <w:r>
        <w:rPr>
          <w:spacing w:val="-3"/>
          <w:sz w:val="22"/>
        </w:rPr>
        <w:t> </w:t>
      </w:r>
      <w:r>
        <w:rPr>
          <w:sz w:val="22"/>
        </w:rPr>
        <w:t>The</w:t>
      </w:r>
      <w:r>
        <w:rPr>
          <w:spacing w:val="-3"/>
          <w:sz w:val="22"/>
        </w:rPr>
        <w:t> </w:t>
      </w:r>
      <w:r>
        <w:rPr>
          <w:sz w:val="22"/>
        </w:rPr>
        <w:t>arbitral</w:t>
      </w:r>
      <w:r>
        <w:rPr>
          <w:spacing w:val="-3"/>
          <w:sz w:val="22"/>
        </w:rPr>
        <w:t> </w:t>
      </w:r>
      <w:r>
        <w:rPr>
          <w:sz w:val="22"/>
        </w:rPr>
        <w:t>tribunal</w:t>
      </w:r>
      <w:r>
        <w:rPr>
          <w:spacing w:val="-3"/>
          <w:sz w:val="22"/>
        </w:rPr>
        <w:t> </w:t>
      </w:r>
      <w:r>
        <w:rPr>
          <w:sz w:val="22"/>
        </w:rPr>
        <w:t>shall consist of a single arbitrator to be appointed by agreement between the parties or, in default of agreement within fourteen (14) days, by the President for the time being of the Chartered Institute of Arbitrators.</w:t>
      </w:r>
    </w:p>
    <w:p>
      <w:pPr>
        <w:pStyle w:val="ListParagraph"/>
        <w:numPr>
          <w:ilvl w:val="2"/>
          <w:numId w:val="10"/>
        </w:numPr>
        <w:tabs>
          <w:tab w:pos="1228" w:val="left" w:leader="none"/>
        </w:tabs>
        <w:spacing w:line="266" w:lineRule="auto" w:before="116" w:after="0"/>
        <w:ind w:left="600" w:right="119" w:firstLine="0"/>
        <w:jc w:val="both"/>
        <w:rPr>
          <w:sz w:val="22"/>
        </w:rPr>
      </w:pPr>
      <w:r>
        <w:rPr>
          <w:sz w:val="22"/>
        </w:rPr>
        <w:t>The seat of the arbitration shall be London, England. The language of the </w:t>
      </w:r>
      <w:r>
        <w:rPr>
          <w:sz w:val="22"/>
        </w:rPr>
        <w:t>arbitration shall be English. The arbitrator's award shall be final and binding on the parties.</w:t>
      </w:r>
    </w:p>
    <w:p>
      <w:pPr>
        <w:pStyle w:val="ListParagraph"/>
        <w:numPr>
          <w:ilvl w:val="2"/>
          <w:numId w:val="10"/>
        </w:numPr>
        <w:tabs>
          <w:tab w:pos="1248" w:val="left" w:leader="none"/>
        </w:tabs>
        <w:spacing w:line="266" w:lineRule="auto" w:before="119" w:after="0"/>
        <w:ind w:left="600" w:right="119" w:firstLine="0"/>
        <w:jc w:val="both"/>
        <w:rPr>
          <w:sz w:val="22"/>
        </w:rPr>
      </w:pPr>
      <w:r>
        <w:rPr>
          <w:sz w:val="22"/>
        </w:rPr>
        <w:t>Nothing in this clause 10 shall prevent either party from applying to any court </w:t>
      </w:r>
      <w:r>
        <w:rPr>
          <w:sz w:val="22"/>
        </w:rPr>
        <w:t>of competent jurisdiction for injunctive or other interim relief.</w:t>
      </w:r>
    </w:p>
    <w:p>
      <w:pPr>
        <w:pStyle w:val="BodyText"/>
        <w:jc w:val="left"/>
      </w:pPr>
    </w:p>
    <w:p>
      <w:pPr>
        <w:pStyle w:val="BodyText"/>
        <w:jc w:val="left"/>
      </w:pPr>
    </w:p>
    <w:p>
      <w:pPr>
        <w:pStyle w:val="BodyText"/>
        <w:spacing w:before="192"/>
        <w:jc w:val="left"/>
      </w:pPr>
    </w:p>
    <w:p>
      <w:pPr>
        <w:pStyle w:val="BodyText"/>
        <w:spacing w:line="266" w:lineRule="auto" w:before="1"/>
        <w:ind w:left="360"/>
        <w:jc w:val="left"/>
      </w:pPr>
      <w:r>
        <w:rPr/>
        <w:t>IN WITNESS WHEREOF the parties hereto have executed this Lease as a deed on the date first above written.</w:t>
      </w:r>
    </w:p>
    <w:p>
      <w:pPr>
        <w:pStyle w:val="BodyText"/>
        <w:spacing w:after="0" w:line="266" w:lineRule="auto"/>
        <w:jc w:val="left"/>
        <w:sectPr>
          <w:pgSz w:w="11910" w:h="16840"/>
          <w:pgMar w:header="762" w:footer="745" w:top="1640" w:bottom="940" w:left="1417" w:right="1417"/>
        </w:sectPr>
      </w:pPr>
    </w:p>
    <w:p>
      <w:pPr>
        <w:pStyle w:val="BodyText"/>
        <w:spacing w:before="80"/>
        <w:ind w:left="360"/>
        <w:jc w:val="left"/>
      </w:pPr>
      <w:r>
        <w:rPr/>
        <w:t>EXECUTED as a DEED </w:t>
      </w:r>
      <w:r>
        <w:rPr>
          <w:spacing w:val="-5"/>
        </w:rPr>
        <w:t>by</w:t>
      </w:r>
    </w:p>
    <w:p>
      <w:pPr>
        <w:pStyle w:val="Heading4"/>
        <w:spacing w:before="27"/>
        <w:ind w:left="360"/>
        <w:jc w:val="left"/>
      </w:pPr>
      <w:r>
        <w:rPr/>
        <w:t>BISHOPSGATE PROPERTY HOLDINGS </w:t>
      </w:r>
      <w:r>
        <w:rPr>
          <w:spacing w:val="-2"/>
        </w:rPr>
        <w:t>LIMITED</w:t>
      </w:r>
    </w:p>
    <w:p>
      <w:pPr>
        <w:pStyle w:val="BodyText"/>
        <w:spacing w:before="27"/>
        <w:ind w:left="360"/>
        <w:jc w:val="left"/>
      </w:pPr>
      <w:r>
        <w:rPr/>
        <w:t>acting by a director and the company </w:t>
      </w:r>
      <w:r>
        <w:rPr>
          <w:spacing w:val="-2"/>
        </w:rPr>
        <w:t>secretary:</w:t>
      </w:r>
    </w:p>
    <w:p>
      <w:pPr>
        <w:pStyle w:val="BodyText"/>
        <w:jc w:val="left"/>
      </w:pPr>
    </w:p>
    <w:p>
      <w:pPr>
        <w:pStyle w:val="BodyText"/>
        <w:spacing w:before="135"/>
        <w:jc w:val="left"/>
      </w:pPr>
    </w:p>
    <w:p>
      <w:pPr>
        <w:pStyle w:val="BodyText"/>
        <w:tabs>
          <w:tab w:pos="4339" w:val="left" w:leader="none"/>
          <w:tab w:pos="4436" w:val="left" w:leader="none"/>
        </w:tabs>
        <w:spacing w:line="379" w:lineRule="auto"/>
        <w:ind w:left="360" w:right="4632"/>
        <w:jc w:val="left"/>
      </w:pPr>
      <w:r>
        <w:rPr/>
        <w:t>Director: </w:t>
      </w:r>
      <w:r>
        <w:rPr>
          <w:u w:val="single"/>
        </w:rPr>
        <w:tab/>
      </w:r>
      <w:r>
        <w:rPr>
          <w:u w:val="none"/>
        </w:rPr>
        <w:t> Secretary: </w:t>
      </w:r>
      <w:r>
        <w:rPr>
          <w:u w:val="single"/>
        </w:rPr>
        <w:tab/>
        <w:tab/>
      </w:r>
    </w:p>
    <w:p>
      <w:pPr>
        <w:pStyle w:val="BodyText"/>
        <w:jc w:val="left"/>
      </w:pPr>
    </w:p>
    <w:p>
      <w:pPr>
        <w:pStyle w:val="BodyText"/>
        <w:spacing w:before="101"/>
        <w:jc w:val="left"/>
      </w:pPr>
    </w:p>
    <w:p>
      <w:pPr>
        <w:pStyle w:val="BodyText"/>
        <w:spacing w:before="1"/>
        <w:ind w:left="360"/>
        <w:jc w:val="left"/>
      </w:pPr>
      <w:r>
        <w:rPr/>
        <w:t>EXECUTED as a DEED </w:t>
      </w:r>
      <w:r>
        <w:rPr>
          <w:spacing w:val="-5"/>
        </w:rPr>
        <w:t>by</w:t>
      </w:r>
    </w:p>
    <w:p>
      <w:pPr>
        <w:pStyle w:val="Heading4"/>
        <w:spacing w:before="27"/>
        <w:ind w:left="360"/>
        <w:jc w:val="left"/>
      </w:pPr>
      <w:r>
        <w:rPr/>
        <w:t>MERIDIAN CONSULTING GROUP </w:t>
      </w:r>
      <w:r>
        <w:rPr>
          <w:spacing w:val="-5"/>
        </w:rPr>
        <w:t>LLP</w:t>
      </w:r>
    </w:p>
    <w:p>
      <w:pPr>
        <w:pStyle w:val="BodyText"/>
        <w:spacing w:before="27"/>
        <w:ind w:left="360"/>
        <w:jc w:val="left"/>
      </w:pPr>
      <w:r>
        <w:rPr/>
        <w:t>acting by two </w:t>
      </w:r>
      <w:r>
        <w:rPr>
          <w:spacing w:val="-2"/>
        </w:rPr>
        <w:t>members:</w:t>
      </w:r>
    </w:p>
    <w:p>
      <w:pPr>
        <w:pStyle w:val="BodyText"/>
        <w:jc w:val="left"/>
      </w:pPr>
    </w:p>
    <w:p>
      <w:pPr>
        <w:pStyle w:val="BodyText"/>
        <w:spacing w:before="134"/>
        <w:jc w:val="left"/>
      </w:pPr>
    </w:p>
    <w:p>
      <w:pPr>
        <w:pStyle w:val="BodyText"/>
        <w:tabs>
          <w:tab w:pos="4351" w:val="left" w:leader="none"/>
        </w:tabs>
        <w:spacing w:line="379" w:lineRule="auto"/>
        <w:ind w:left="360" w:right="4717"/>
        <w:jc w:val="left"/>
      </w:pPr>
      <w:r>
        <w:rPr/>
        <w:t>Member: </w:t>
      </w:r>
      <w:r>
        <w:rPr>
          <w:u w:val="single"/>
        </w:rPr>
        <w:tab/>
      </w:r>
      <w:r>
        <w:rPr>
          <w:u w:val="none"/>
        </w:rPr>
        <w:t> Member: </w:t>
      </w:r>
      <w:r>
        <w:rPr>
          <w:u w:val="single"/>
        </w:rPr>
        <w:tab/>
      </w:r>
    </w:p>
    <w:sectPr>
      <w:pgSz w:w="11910" w:h="16840"/>
      <w:pgMar w:header="762" w:footer="745" w:top="1640" w:bottom="94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75712">
              <wp:simplePos x="0" y="0"/>
              <wp:positionH relativeFrom="page">
                <wp:posOffset>719999</wp:posOffset>
              </wp:positionH>
              <wp:positionV relativeFrom="page">
                <wp:posOffset>10044000</wp:posOffset>
              </wp:positionV>
              <wp:extent cx="612013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768" from="56.692909pt,790.86615pt" to="538.582699pt,790.86615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476224">
              <wp:simplePos x="0" y="0"/>
              <wp:positionH relativeFrom="page">
                <wp:posOffset>3606314</wp:posOffset>
              </wp:positionH>
              <wp:positionV relativeFrom="page">
                <wp:posOffset>10155324</wp:posOffset>
              </wp:positionV>
              <wp:extent cx="386080"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86080" cy="139065"/>
                      </a:xfrm>
                      <a:prstGeom prst="rect">
                        <a:avLst/>
                      </a:prstGeom>
                    </wps:spPr>
                    <wps:txbx>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wps:txbx>
                    <wps:bodyPr wrap="square" lIns="0" tIns="0" rIns="0" bIns="0" rtlCol="0">
                      <a:noAutofit/>
                    </wps:bodyPr>
                  </wps:wsp>
                </a:graphicData>
              </a:graphic>
            </wp:anchor>
          </w:drawing>
        </mc:Choice>
        <mc:Fallback>
          <w:pict>
            <v:shape style="position:absolute;margin-left:283.961792pt;margin-top:799.631836pt;width:30.4pt;height:10.95pt;mso-position-horizontal-relative:page;mso-position-vertical-relative:page;z-index:-15840256" type="#_x0000_t202" id="docshape3" filled="false" stroked="false">
              <v:textbox inset="0,0,0,0">
                <w:txbxContent>
                  <w:p>
                    <w:pPr>
                      <w:spacing w:before="14"/>
                      <w:ind w:left="20" w:right="0" w:firstLine="0"/>
                      <w:jc w:val="left"/>
                      <w:rPr>
                        <w:rFonts w:ascii="Arial"/>
                        <w:sz w:val="16"/>
                      </w:rPr>
                    </w:pPr>
                    <w:r>
                      <w:rPr>
                        <w:rFonts w:ascii="Arial"/>
                        <w:color w:val="666666"/>
                        <w:sz w:val="16"/>
                      </w:rPr>
                      <w:t>Page </w:t>
                    </w:r>
                    <w:r>
                      <w:rPr>
                        <w:rFonts w:ascii="Arial"/>
                        <w:color w:val="666666"/>
                        <w:spacing w:val="-10"/>
                        <w:sz w:val="16"/>
                      </w:rPr>
                      <w:fldChar w:fldCharType="begin"/>
                    </w:r>
                    <w:r>
                      <w:rPr>
                        <w:rFonts w:ascii="Arial"/>
                        <w:color w:val="666666"/>
                        <w:spacing w:val="-10"/>
                        <w:sz w:val="16"/>
                      </w:rPr>
                      <w:instrText> PAGE </w:instrText>
                    </w:r>
                    <w:r>
                      <w:rPr>
                        <w:rFonts w:ascii="Arial"/>
                        <w:color w:val="666666"/>
                        <w:spacing w:val="-10"/>
                        <w:sz w:val="16"/>
                      </w:rPr>
                      <w:fldChar w:fldCharType="separate"/>
                    </w:r>
                    <w:r>
                      <w:rPr>
                        <w:rFonts w:ascii="Arial"/>
                        <w:color w:val="666666"/>
                        <w:spacing w:val="-10"/>
                        <w:sz w:val="16"/>
                      </w:rPr>
                      <w:t>1</w:t>
                    </w:r>
                    <w:r>
                      <w:rPr>
                        <w:rFonts w:ascii="Arial"/>
                        <w:color w:val="666666"/>
                        <w:spacing w:val="-10"/>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474176">
              <wp:simplePos x="0" y="0"/>
              <wp:positionH relativeFrom="page">
                <wp:posOffset>719999</wp:posOffset>
              </wp:positionH>
              <wp:positionV relativeFrom="page">
                <wp:posOffset>648000</wp:posOffset>
              </wp:positionV>
              <wp:extent cx="612013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20130" cy="1270"/>
                      </a:xfrm>
                      <a:custGeom>
                        <a:avLst/>
                        <a:gdLst/>
                        <a:ahLst/>
                        <a:cxnLst/>
                        <a:rect l="l" t="t" r="r" b="b"/>
                        <a:pathLst>
                          <a:path w="6120130" h="0">
                            <a:moveTo>
                              <a:pt x="0" y="0"/>
                            </a:moveTo>
                            <a:lnTo>
                              <a:pt x="6120000" y="0"/>
                            </a:lnTo>
                          </a:path>
                        </a:pathLst>
                      </a:custGeom>
                      <a:ln w="6350">
                        <a:solidFill>
                          <a:srgbClr val="33333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304" from="56.692909pt,51.02367pt" to="538.582699pt,51.02367pt" stroked="true" strokeweight=".5pt" strokecolor="#333333">
              <v:stroke dashstyle="solid"/>
              <w10:wrap type="none"/>
            </v:line>
          </w:pict>
        </mc:Fallback>
      </mc:AlternateContent>
    </w:r>
    <w:r>
      <w:rPr>
        <w:sz w:val="20"/>
      </w:rPr>
      <mc:AlternateContent>
        <mc:Choice Requires="wps">
          <w:drawing>
            <wp:anchor distT="0" distB="0" distL="0" distR="0" allowOverlap="1" layoutInCell="1" locked="0" behindDoc="1" simplePos="0" relativeHeight="487474688">
              <wp:simplePos x="0" y="0"/>
              <wp:positionH relativeFrom="page">
                <wp:posOffset>707299</wp:posOffset>
              </wp:positionH>
              <wp:positionV relativeFrom="page">
                <wp:posOffset>471324</wp:posOffset>
              </wp:positionV>
              <wp:extent cx="178752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87525" cy="139065"/>
                      </a:xfrm>
                      <a:prstGeom prst="rect">
                        <a:avLst/>
                      </a:prstGeom>
                    </wps:spPr>
                    <wps:txbx>
                      <w:txbxContent>
                        <w:p>
                          <w:pPr>
                            <w:spacing w:before="14"/>
                            <w:ind w:left="20" w:right="0" w:firstLine="0"/>
                            <w:jc w:val="left"/>
                            <w:rPr>
                              <w:rFonts w:ascii="Arial" w:hAnsi="Arial"/>
                              <w:sz w:val="16"/>
                            </w:rPr>
                          </w:pPr>
                          <w:r>
                            <w:rPr>
                              <w:rFonts w:ascii="Arial" w:hAnsi="Arial"/>
                              <w:color w:val="666666"/>
                              <w:sz w:val="16"/>
                            </w:rPr>
                            <w:t>Commercial Lease — 100 </w:t>
                          </w:r>
                          <w:r>
                            <w:rPr>
                              <w:rFonts w:ascii="Arial" w:hAnsi="Arial"/>
                              <w:color w:val="666666"/>
                              <w:spacing w:val="-2"/>
                              <w:sz w:val="16"/>
                            </w:rPr>
                            <w:t>Bishopsgate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92909pt;margin-top:37.112183pt;width:140.75pt;height:10.95pt;mso-position-horizontal-relative:page;mso-position-vertical-relative:page;z-index:-15841792" type="#_x0000_t202" id="docshape1" filled="false" stroked="false">
              <v:textbox inset="0,0,0,0">
                <w:txbxContent>
                  <w:p>
                    <w:pPr>
                      <w:spacing w:before="14"/>
                      <w:ind w:left="20" w:right="0" w:firstLine="0"/>
                      <w:jc w:val="left"/>
                      <w:rPr>
                        <w:rFonts w:ascii="Arial" w:hAnsi="Arial"/>
                        <w:sz w:val="16"/>
                      </w:rPr>
                    </w:pPr>
                    <w:r>
                      <w:rPr>
                        <w:rFonts w:ascii="Arial" w:hAnsi="Arial"/>
                        <w:color w:val="666666"/>
                        <w:sz w:val="16"/>
                      </w:rPr>
                      <w:t>Commercial Lease — 100 </w:t>
                    </w:r>
                    <w:r>
                      <w:rPr>
                        <w:rFonts w:ascii="Arial" w:hAnsi="Arial"/>
                        <w:color w:val="666666"/>
                        <w:spacing w:val="-2"/>
                        <w:sz w:val="16"/>
                      </w:rPr>
                      <w:t>Bishopsgate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75200">
              <wp:simplePos x="0" y="0"/>
              <wp:positionH relativeFrom="page">
                <wp:posOffset>5523162</wp:posOffset>
              </wp:positionH>
              <wp:positionV relativeFrom="page">
                <wp:posOffset>471324</wp:posOffset>
              </wp:positionV>
              <wp:extent cx="132969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29690" cy="139065"/>
                      </a:xfrm>
                      <a:prstGeom prst="rect">
                        <a:avLst/>
                      </a:prstGeom>
                    </wps:spPr>
                    <wps:txbx>
                      <w:txbxContent>
                        <w:p>
                          <w:pPr>
                            <w:spacing w:before="14"/>
                            <w:ind w:left="20" w:right="0" w:firstLine="0"/>
                            <w:jc w:val="left"/>
                            <w:rPr>
                              <w:rFonts w:ascii="Arial"/>
                              <w:sz w:val="16"/>
                            </w:rPr>
                          </w:pPr>
                          <w:r>
                            <w:rPr>
                              <w:rFonts w:ascii="Arial"/>
                              <w:color w:val="666666"/>
                              <w:sz w:val="16"/>
                            </w:rPr>
                            <w:t>PRIVATE &amp; </w:t>
                          </w:r>
                          <w:r>
                            <w:rPr>
                              <w:rFonts w:ascii="Arial"/>
                              <w:color w:val="666666"/>
                              <w:spacing w:val="-2"/>
                              <w:sz w:val="16"/>
                            </w:rPr>
                            <w:t>CONFIDENTIAL</w:t>
                          </w:r>
                        </w:p>
                      </w:txbxContent>
                    </wps:txbx>
                    <wps:bodyPr wrap="square" lIns="0" tIns="0" rIns="0" bIns="0" rtlCol="0">
                      <a:noAutofit/>
                    </wps:bodyPr>
                  </wps:wsp>
                </a:graphicData>
              </a:graphic>
            </wp:anchor>
          </w:drawing>
        </mc:Choice>
        <mc:Fallback>
          <w:pict>
            <v:shape style="position:absolute;margin-left:434.894714pt;margin-top:37.112183pt;width:104.7pt;height:10.95pt;mso-position-horizontal-relative:page;mso-position-vertical-relative:page;z-index:-15841280" type="#_x0000_t202" id="docshape2" filled="false" stroked="false">
              <v:textbox inset="0,0,0,0">
                <w:txbxContent>
                  <w:p>
                    <w:pPr>
                      <w:spacing w:before="14"/>
                      <w:ind w:left="20" w:right="0" w:firstLine="0"/>
                      <w:jc w:val="left"/>
                      <w:rPr>
                        <w:rFonts w:ascii="Arial"/>
                        <w:sz w:val="16"/>
                      </w:rPr>
                    </w:pPr>
                    <w:r>
                      <w:rPr>
                        <w:rFonts w:ascii="Arial"/>
                        <w:color w:val="666666"/>
                        <w:sz w:val="16"/>
                      </w:rPr>
                      <w:t>PRIVATE &amp; </w:t>
                    </w:r>
                    <w:r>
                      <w:rPr>
                        <w:rFonts w:ascii="Arial"/>
                        <w:color w:val="666666"/>
                        <w:spacing w:val="-2"/>
                        <w:sz w:val="16"/>
                      </w:rPr>
                      <w:t>CONFIDENTIAL</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0"/>
      <w:numFmt w:val="decimal"/>
      <w:lvlText w:val="%1"/>
      <w:lvlJc w:val="left"/>
      <w:pPr>
        <w:ind w:left="894" w:hanging="534"/>
        <w:jc w:val="left"/>
      </w:pPr>
      <w:rPr>
        <w:rFonts w:hint="default"/>
        <w:lang w:val="en-US" w:eastAsia="en-US" w:bidi="ar-SA"/>
      </w:rPr>
    </w:lvl>
    <w:lvl w:ilvl="1">
      <w:start w:val="1"/>
      <w:numFmt w:val="decimal"/>
      <w:lvlText w:val="%1.%2"/>
      <w:lvlJc w:val="left"/>
      <w:pPr>
        <w:ind w:left="894" w:hanging="534"/>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600" w:hanging="6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715" w:hanging="609"/>
      </w:pPr>
      <w:rPr>
        <w:rFonts w:hint="default"/>
        <w:lang w:val="en-US" w:eastAsia="en-US" w:bidi="ar-SA"/>
      </w:rPr>
    </w:lvl>
    <w:lvl w:ilvl="4">
      <w:start w:val="0"/>
      <w:numFmt w:val="bullet"/>
      <w:lvlText w:val="•"/>
      <w:lvlJc w:val="left"/>
      <w:pPr>
        <w:ind w:left="3623" w:hanging="609"/>
      </w:pPr>
      <w:rPr>
        <w:rFonts w:hint="default"/>
        <w:lang w:val="en-US" w:eastAsia="en-US" w:bidi="ar-SA"/>
      </w:rPr>
    </w:lvl>
    <w:lvl w:ilvl="5">
      <w:start w:val="0"/>
      <w:numFmt w:val="bullet"/>
      <w:lvlText w:val="•"/>
      <w:lvlJc w:val="left"/>
      <w:pPr>
        <w:ind w:left="4531" w:hanging="609"/>
      </w:pPr>
      <w:rPr>
        <w:rFonts w:hint="default"/>
        <w:lang w:val="en-US" w:eastAsia="en-US" w:bidi="ar-SA"/>
      </w:rPr>
    </w:lvl>
    <w:lvl w:ilvl="6">
      <w:start w:val="0"/>
      <w:numFmt w:val="bullet"/>
      <w:lvlText w:val="•"/>
      <w:lvlJc w:val="left"/>
      <w:pPr>
        <w:ind w:left="5439" w:hanging="609"/>
      </w:pPr>
      <w:rPr>
        <w:rFonts w:hint="default"/>
        <w:lang w:val="en-US" w:eastAsia="en-US" w:bidi="ar-SA"/>
      </w:rPr>
    </w:lvl>
    <w:lvl w:ilvl="7">
      <w:start w:val="0"/>
      <w:numFmt w:val="bullet"/>
      <w:lvlText w:val="•"/>
      <w:lvlJc w:val="left"/>
      <w:pPr>
        <w:ind w:left="6347" w:hanging="609"/>
      </w:pPr>
      <w:rPr>
        <w:rFonts w:hint="default"/>
        <w:lang w:val="en-US" w:eastAsia="en-US" w:bidi="ar-SA"/>
      </w:rPr>
    </w:lvl>
    <w:lvl w:ilvl="8">
      <w:start w:val="0"/>
      <w:numFmt w:val="bullet"/>
      <w:lvlText w:val="•"/>
      <w:lvlJc w:val="left"/>
      <w:pPr>
        <w:ind w:left="7255" w:hanging="609"/>
      </w:pPr>
      <w:rPr>
        <w:rFonts w:hint="default"/>
        <w:lang w:val="en-US" w:eastAsia="en-US" w:bidi="ar-SA"/>
      </w:rPr>
    </w:lvl>
  </w:abstractNum>
  <w:abstractNum w:abstractNumId="8">
    <w:multiLevelType w:val="hybridMultilevel"/>
    <w:lvl w:ilvl="0">
      <w:start w:val="9"/>
      <w:numFmt w:val="decimal"/>
      <w:lvlText w:val="%1"/>
      <w:lvlJc w:val="left"/>
      <w:pPr>
        <w:ind w:left="760" w:hanging="401"/>
        <w:jc w:val="left"/>
      </w:pPr>
      <w:rPr>
        <w:rFonts w:hint="default"/>
        <w:lang w:val="en-US" w:eastAsia="en-US" w:bidi="ar-SA"/>
      </w:rPr>
    </w:lvl>
    <w:lvl w:ilvl="1">
      <w:start w:val="1"/>
      <w:numFmt w:val="decimal"/>
      <w:lvlText w:val="%1.%2"/>
      <w:lvlJc w:val="left"/>
      <w:pPr>
        <w:ind w:left="760" w:hanging="401"/>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600" w:hanging="54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607" w:hanging="544"/>
      </w:pPr>
      <w:rPr>
        <w:rFonts w:hint="default"/>
        <w:lang w:val="en-US" w:eastAsia="en-US" w:bidi="ar-SA"/>
      </w:rPr>
    </w:lvl>
    <w:lvl w:ilvl="4">
      <w:start w:val="0"/>
      <w:numFmt w:val="bullet"/>
      <w:lvlText w:val="•"/>
      <w:lvlJc w:val="left"/>
      <w:pPr>
        <w:ind w:left="3530" w:hanging="544"/>
      </w:pPr>
      <w:rPr>
        <w:rFonts w:hint="default"/>
        <w:lang w:val="en-US" w:eastAsia="en-US" w:bidi="ar-SA"/>
      </w:rPr>
    </w:lvl>
    <w:lvl w:ilvl="5">
      <w:start w:val="0"/>
      <w:numFmt w:val="bullet"/>
      <w:lvlText w:val="•"/>
      <w:lvlJc w:val="left"/>
      <w:pPr>
        <w:ind w:left="4454" w:hanging="544"/>
      </w:pPr>
      <w:rPr>
        <w:rFonts w:hint="default"/>
        <w:lang w:val="en-US" w:eastAsia="en-US" w:bidi="ar-SA"/>
      </w:rPr>
    </w:lvl>
    <w:lvl w:ilvl="6">
      <w:start w:val="0"/>
      <w:numFmt w:val="bullet"/>
      <w:lvlText w:val="•"/>
      <w:lvlJc w:val="left"/>
      <w:pPr>
        <w:ind w:left="5377" w:hanging="544"/>
      </w:pPr>
      <w:rPr>
        <w:rFonts w:hint="default"/>
        <w:lang w:val="en-US" w:eastAsia="en-US" w:bidi="ar-SA"/>
      </w:rPr>
    </w:lvl>
    <w:lvl w:ilvl="7">
      <w:start w:val="0"/>
      <w:numFmt w:val="bullet"/>
      <w:lvlText w:val="•"/>
      <w:lvlJc w:val="left"/>
      <w:pPr>
        <w:ind w:left="6301" w:hanging="544"/>
      </w:pPr>
      <w:rPr>
        <w:rFonts w:hint="default"/>
        <w:lang w:val="en-US" w:eastAsia="en-US" w:bidi="ar-SA"/>
      </w:rPr>
    </w:lvl>
    <w:lvl w:ilvl="8">
      <w:start w:val="0"/>
      <w:numFmt w:val="bullet"/>
      <w:lvlText w:val="•"/>
      <w:lvlJc w:val="left"/>
      <w:pPr>
        <w:ind w:left="7224" w:hanging="544"/>
      </w:pPr>
      <w:rPr>
        <w:rFonts w:hint="default"/>
        <w:lang w:val="en-US" w:eastAsia="en-US" w:bidi="ar-SA"/>
      </w:rPr>
    </w:lvl>
  </w:abstractNum>
  <w:abstractNum w:abstractNumId="7">
    <w:multiLevelType w:val="hybridMultilevel"/>
    <w:lvl w:ilvl="0">
      <w:start w:val="8"/>
      <w:numFmt w:val="decimal"/>
      <w:lvlText w:val="%1"/>
      <w:lvlJc w:val="left"/>
      <w:pPr>
        <w:ind w:left="760" w:hanging="401"/>
        <w:jc w:val="left"/>
      </w:pPr>
      <w:rPr>
        <w:rFonts w:hint="default"/>
        <w:lang w:val="en-US" w:eastAsia="en-US" w:bidi="ar-SA"/>
      </w:rPr>
    </w:lvl>
    <w:lvl w:ilvl="1">
      <w:start w:val="1"/>
      <w:numFmt w:val="decimal"/>
      <w:lvlText w:val="%1.%2"/>
      <w:lvlJc w:val="left"/>
      <w:pPr>
        <w:ind w:left="760" w:hanging="401"/>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600" w:hanging="55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Letter"/>
      <w:lvlText w:val="(%4)"/>
      <w:lvlJc w:val="left"/>
      <w:pPr>
        <w:ind w:left="840" w:hanging="30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2897" w:hanging="308"/>
      </w:pPr>
      <w:rPr>
        <w:rFonts w:hint="default"/>
        <w:lang w:val="en-US" w:eastAsia="en-US" w:bidi="ar-SA"/>
      </w:rPr>
    </w:lvl>
    <w:lvl w:ilvl="5">
      <w:start w:val="0"/>
      <w:numFmt w:val="bullet"/>
      <w:lvlText w:val="•"/>
      <w:lvlJc w:val="left"/>
      <w:pPr>
        <w:ind w:left="3926" w:hanging="308"/>
      </w:pPr>
      <w:rPr>
        <w:rFonts w:hint="default"/>
        <w:lang w:val="en-US" w:eastAsia="en-US" w:bidi="ar-SA"/>
      </w:rPr>
    </w:lvl>
    <w:lvl w:ilvl="6">
      <w:start w:val="0"/>
      <w:numFmt w:val="bullet"/>
      <w:lvlText w:val="•"/>
      <w:lvlJc w:val="left"/>
      <w:pPr>
        <w:ind w:left="4955" w:hanging="308"/>
      </w:pPr>
      <w:rPr>
        <w:rFonts w:hint="default"/>
        <w:lang w:val="en-US" w:eastAsia="en-US" w:bidi="ar-SA"/>
      </w:rPr>
    </w:lvl>
    <w:lvl w:ilvl="7">
      <w:start w:val="0"/>
      <w:numFmt w:val="bullet"/>
      <w:lvlText w:val="•"/>
      <w:lvlJc w:val="left"/>
      <w:pPr>
        <w:ind w:left="5984" w:hanging="308"/>
      </w:pPr>
      <w:rPr>
        <w:rFonts w:hint="default"/>
        <w:lang w:val="en-US" w:eastAsia="en-US" w:bidi="ar-SA"/>
      </w:rPr>
    </w:lvl>
    <w:lvl w:ilvl="8">
      <w:start w:val="0"/>
      <w:numFmt w:val="bullet"/>
      <w:lvlText w:val="•"/>
      <w:lvlJc w:val="left"/>
      <w:pPr>
        <w:ind w:left="7013" w:hanging="308"/>
      </w:pPr>
      <w:rPr>
        <w:rFonts w:hint="default"/>
        <w:lang w:val="en-US" w:eastAsia="en-US" w:bidi="ar-SA"/>
      </w:rPr>
    </w:lvl>
  </w:abstractNum>
  <w:abstractNum w:abstractNumId="6">
    <w:multiLevelType w:val="hybridMultilevel"/>
    <w:lvl w:ilvl="0">
      <w:start w:val="7"/>
      <w:numFmt w:val="decimal"/>
      <w:lvlText w:val="%1"/>
      <w:lvlJc w:val="left"/>
      <w:pPr>
        <w:ind w:left="760" w:hanging="401"/>
        <w:jc w:val="left"/>
      </w:pPr>
      <w:rPr>
        <w:rFonts w:hint="default"/>
        <w:lang w:val="en-US" w:eastAsia="en-US" w:bidi="ar-SA"/>
      </w:rPr>
    </w:lvl>
    <w:lvl w:ilvl="1">
      <w:start w:val="1"/>
      <w:numFmt w:val="decimal"/>
      <w:lvlText w:val="%1.%2"/>
      <w:lvlJc w:val="left"/>
      <w:pPr>
        <w:ind w:left="760" w:hanging="401"/>
        <w:jc w:val="left"/>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600" w:hanging="5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096" w:hanging="503"/>
      </w:pPr>
      <w:rPr>
        <w:rFonts w:hint="default"/>
        <w:lang w:val="en-US" w:eastAsia="en-US" w:bidi="ar-SA"/>
      </w:rPr>
    </w:lvl>
    <w:lvl w:ilvl="4">
      <w:start w:val="0"/>
      <w:numFmt w:val="bullet"/>
      <w:lvlText w:val="•"/>
      <w:lvlJc w:val="left"/>
      <w:pPr>
        <w:ind w:left="3092" w:hanging="503"/>
      </w:pPr>
      <w:rPr>
        <w:rFonts w:hint="default"/>
        <w:lang w:val="en-US" w:eastAsia="en-US" w:bidi="ar-SA"/>
      </w:rPr>
    </w:lvl>
    <w:lvl w:ilvl="5">
      <w:start w:val="0"/>
      <w:numFmt w:val="bullet"/>
      <w:lvlText w:val="•"/>
      <w:lvlJc w:val="left"/>
      <w:pPr>
        <w:ind w:left="4089" w:hanging="503"/>
      </w:pPr>
      <w:rPr>
        <w:rFonts w:hint="default"/>
        <w:lang w:val="en-US" w:eastAsia="en-US" w:bidi="ar-SA"/>
      </w:rPr>
    </w:lvl>
    <w:lvl w:ilvl="6">
      <w:start w:val="0"/>
      <w:numFmt w:val="bullet"/>
      <w:lvlText w:val="•"/>
      <w:lvlJc w:val="left"/>
      <w:pPr>
        <w:ind w:left="5085" w:hanging="503"/>
      </w:pPr>
      <w:rPr>
        <w:rFonts w:hint="default"/>
        <w:lang w:val="en-US" w:eastAsia="en-US" w:bidi="ar-SA"/>
      </w:rPr>
    </w:lvl>
    <w:lvl w:ilvl="7">
      <w:start w:val="0"/>
      <w:numFmt w:val="bullet"/>
      <w:lvlText w:val="•"/>
      <w:lvlJc w:val="left"/>
      <w:pPr>
        <w:ind w:left="6082" w:hanging="503"/>
      </w:pPr>
      <w:rPr>
        <w:rFonts w:hint="default"/>
        <w:lang w:val="en-US" w:eastAsia="en-US" w:bidi="ar-SA"/>
      </w:rPr>
    </w:lvl>
    <w:lvl w:ilvl="8">
      <w:start w:val="0"/>
      <w:numFmt w:val="bullet"/>
      <w:lvlText w:val="•"/>
      <w:lvlJc w:val="left"/>
      <w:pPr>
        <w:ind w:left="7078" w:hanging="503"/>
      </w:pPr>
      <w:rPr>
        <w:rFonts w:hint="default"/>
        <w:lang w:val="en-US" w:eastAsia="en-US" w:bidi="ar-SA"/>
      </w:rPr>
    </w:lvl>
  </w:abstractNum>
  <w:abstractNum w:abstractNumId="5">
    <w:multiLevelType w:val="hybridMultilevel"/>
    <w:lvl w:ilvl="0">
      <w:start w:val="6"/>
      <w:numFmt w:val="decimal"/>
      <w:lvlText w:val="%1"/>
      <w:lvlJc w:val="left"/>
      <w:pPr>
        <w:ind w:left="360" w:hanging="371"/>
        <w:jc w:val="left"/>
      </w:pPr>
      <w:rPr>
        <w:rFonts w:hint="default"/>
        <w:lang w:val="en-US" w:eastAsia="en-US" w:bidi="ar-SA"/>
      </w:rPr>
    </w:lvl>
    <w:lvl w:ilvl="1">
      <w:start w:val="1"/>
      <w:numFmt w:val="decimal"/>
      <w:lvlText w:val="%1.%2"/>
      <w:lvlJc w:val="left"/>
      <w:pPr>
        <w:ind w:left="360" w:hanging="37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02" w:hanging="371"/>
      </w:pPr>
      <w:rPr>
        <w:rFonts w:hint="default"/>
        <w:lang w:val="en-US" w:eastAsia="en-US" w:bidi="ar-SA"/>
      </w:rPr>
    </w:lvl>
    <w:lvl w:ilvl="3">
      <w:start w:val="0"/>
      <w:numFmt w:val="bullet"/>
      <w:lvlText w:val="•"/>
      <w:lvlJc w:val="left"/>
      <w:pPr>
        <w:ind w:left="2973" w:hanging="371"/>
      </w:pPr>
      <w:rPr>
        <w:rFonts w:hint="default"/>
        <w:lang w:val="en-US" w:eastAsia="en-US" w:bidi="ar-SA"/>
      </w:rPr>
    </w:lvl>
    <w:lvl w:ilvl="4">
      <w:start w:val="0"/>
      <w:numFmt w:val="bullet"/>
      <w:lvlText w:val="•"/>
      <w:lvlJc w:val="left"/>
      <w:pPr>
        <w:ind w:left="3844" w:hanging="371"/>
      </w:pPr>
      <w:rPr>
        <w:rFonts w:hint="default"/>
        <w:lang w:val="en-US" w:eastAsia="en-US" w:bidi="ar-SA"/>
      </w:rPr>
    </w:lvl>
    <w:lvl w:ilvl="5">
      <w:start w:val="0"/>
      <w:numFmt w:val="bullet"/>
      <w:lvlText w:val="•"/>
      <w:lvlJc w:val="left"/>
      <w:pPr>
        <w:ind w:left="4715" w:hanging="371"/>
      </w:pPr>
      <w:rPr>
        <w:rFonts w:hint="default"/>
        <w:lang w:val="en-US" w:eastAsia="en-US" w:bidi="ar-SA"/>
      </w:rPr>
    </w:lvl>
    <w:lvl w:ilvl="6">
      <w:start w:val="0"/>
      <w:numFmt w:val="bullet"/>
      <w:lvlText w:val="•"/>
      <w:lvlJc w:val="left"/>
      <w:pPr>
        <w:ind w:left="5586" w:hanging="371"/>
      </w:pPr>
      <w:rPr>
        <w:rFonts w:hint="default"/>
        <w:lang w:val="en-US" w:eastAsia="en-US" w:bidi="ar-SA"/>
      </w:rPr>
    </w:lvl>
    <w:lvl w:ilvl="7">
      <w:start w:val="0"/>
      <w:numFmt w:val="bullet"/>
      <w:lvlText w:val="•"/>
      <w:lvlJc w:val="left"/>
      <w:pPr>
        <w:ind w:left="6458" w:hanging="371"/>
      </w:pPr>
      <w:rPr>
        <w:rFonts w:hint="default"/>
        <w:lang w:val="en-US" w:eastAsia="en-US" w:bidi="ar-SA"/>
      </w:rPr>
    </w:lvl>
    <w:lvl w:ilvl="8">
      <w:start w:val="0"/>
      <w:numFmt w:val="bullet"/>
      <w:lvlText w:val="•"/>
      <w:lvlJc w:val="left"/>
      <w:pPr>
        <w:ind w:left="7329" w:hanging="371"/>
      </w:pPr>
      <w:rPr>
        <w:rFonts w:hint="default"/>
        <w:lang w:val="en-US" w:eastAsia="en-US" w:bidi="ar-SA"/>
      </w:rPr>
    </w:lvl>
  </w:abstractNum>
  <w:abstractNum w:abstractNumId="4">
    <w:multiLevelType w:val="hybridMultilevel"/>
    <w:lvl w:ilvl="0">
      <w:start w:val="5"/>
      <w:numFmt w:val="decimal"/>
      <w:lvlText w:val="%1"/>
      <w:lvlJc w:val="left"/>
      <w:pPr>
        <w:ind w:left="360" w:hanging="335"/>
        <w:jc w:val="left"/>
      </w:pPr>
      <w:rPr>
        <w:rFonts w:hint="default"/>
        <w:lang w:val="en-US" w:eastAsia="en-US" w:bidi="ar-SA"/>
      </w:rPr>
    </w:lvl>
    <w:lvl w:ilvl="1">
      <w:start w:val="1"/>
      <w:numFmt w:val="decimal"/>
      <w:lvlText w:val="%1.%2"/>
      <w:lvlJc w:val="left"/>
      <w:pPr>
        <w:ind w:left="360" w:hanging="33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02" w:hanging="335"/>
      </w:pPr>
      <w:rPr>
        <w:rFonts w:hint="default"/>
        <w:lang w:val="en-US" w:eastAsia="en-US" w:bidi="ar-SA"/>
      </w:rPr>
    </w:lvl>
    <w:lvl w:ilvl="3">
      <w:start w:val="0"/>
      <w:numFmt w:val="bullet"/>
      <w:lvlText w:val="•"/>
      <w:lvlJc w:val="left"/>
      <w:pPr>
        <w:ind w:left="2973" w:hanging="335"/>
      </w:pPr>
      <w:rPr>
        <w:rFonts w:hint="default"/>
        <w:lang w:val="en-US" w:eastAsia="en-US" w:bidi="ar-SA"/>
      </w:rPr>
    </w:lvl>
    <w:lvl w:ilvl="4">
      <w:start w:val="0"/>
      <w:numFmt w:val="bullet"/>
      <w:lvlText w:val="•"/>
      <w:lvlJc w:val="left"/>
      <w:pPr>
        <w:ind w:left="3844" w:hanging="335"/>
      </w:pPr>
      <w:rPr>
        <w:rFonts w:hint="default"/>
        <w:lang w:val="en-US" w:eastAsia="en-US" w:bidi="ar-SA"/>
      </w:rPr>
    </w:lvl>
    <w:lvl w:ilvl="5">
      <w:start w:val="0"/>
      <w:numFmt w:val="bullet"/>
      <w:lvlText w:val="•"/>
      <w:lvlJc w:val="left"/>
      <w:pPr>
        <w:ind w:left="4715" w:hanging="335"/>
      </w:pPr>
      <w:rPr>
        <w:rFonts w:hint="default"/>
        <w:lang w:val="en-US" w:eastAsia="en-US" w:bidi="ar-SA"/>
      </w:rPr>
    </w:lvl>
    <w:lvl w:ilvl="6">
      <w:start w:val="0"/>
      <w:numFmt w:val="bullet"/>
      <w:lvlText w:val="•"/>
      <w:lvlJc w:val="left"/>
      <w:pPr>
        <w:ind w:left="5586" w:hanging="335"/>
      </w:pPr>
      <w:rPr>
        <w:rFonts w:hint="default"/>
        <w:lang w:val="en-US" w:eastAsia="en-US" w:bidi="ar-SA"/>
      </w:rPr>
    </w:lvl>
    <w:lvl w:ilvl="7">
      <w:start w:val="0"/>
      <w:numFmt w:val="bullet"/>
      <w:lvlText w:val="•"/>
      <w:lvlJc w:val="left"/>
      <w:pPr>
        <w:ind w:left="6458" w:hanging="335"/>
      </w:pPr>
      <w:rPr>
        <w:rFonts w:hint="default"/>
        <w:lang w:val="en-US" w:eastAsia="en-US" w:bidi="ar-SA"/>
      </w:rPr>
    </w:lvl>
    <w:lvl w:ilvl="8">
      <w:start w:val="0"/>
      <w:numFmt w:val="bullet"/>
      <w:lvlText w:val="•"/>
      <w:lvlJc w:val="left"/>
      <w:pPr>
        <w:ind w:left="7329" w:hanging="335"/>
      </w:pPr>
      <w:rPr>
        <w:rFonts w:hint="default"/>
        <w:lang w:val="en-US" w:eastAsia="en-US" w:bidi="ar-SA"/>
      </w:rPr>
    </w:lvl>
  </w:abstractNum>
  <w:abstractNum w:abstractNumId="3">
    <w:multiLevelType w:val="hybridMultilevel"/>
    <w:lvl w:ilvl="0">
      <w:start w:val="4"/>
      <w:numFmt w:val="decimal"/>
      <w:lvlText w:val="%1"/>
      <w:lvlJc w:val="left"/>
      <w:pPr>
        <w:ind w:left="760" w:hanging="401"/>
        <w:jc w:val="left"/>
      </w:pPr>
      <w:rPr>
        <w:rFonts w:hint="default"/>
        <w:lang w:val="en-US" w:eastAsia="en-US" w:bidi="ar-SA"/>
      </w:rPr>
    </w:lvl>
    <w:lvl w:ilvl="1">
      <w:start w:val="1"/>
      <w:numFmt w:val="decimal"/>
      <w:lvlText w:val="%1.%2"/>
      <w:lvlJc w:val="left"/>
      <w:pPr>
        <w:ind w:left="760" w:hanging="401"/>
        <w:jc w:val="left"/>
      </w:pPr>
      <w:rPr>
        <w:rFonts w:hint="default"/>
        <w:spacing w:val="0"/>
        <w:w w:val="100"/>
        <w:lang w:val="en-US" w:eastAsia="en-US" w:bidi="ar-SA"/>
      </w:rPr>
    </w:lvl>
    <w:lvl w:ilvl="2">
      <w:start w:val="1"/>
      <w:numFmt w:val="decimal"/>
      <w:lvlText w:val="%1.%2.%3"/>
      <w:lvlJc w:val="left"/>
      <w:pPr>
        <w:ind w:left="600" w:hanging="51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607" w:hanging="515"/>
      </w:pPr>
      <w:rPr>
        <w:rFonts w:hint="default"/>
        <w:lang w:val="en-US" w:eastAsia="en-US" w:bidi="ar-SA"/>
      </w:rPr>
    </w:lvl>
    <w:lvl w:ilvl="4">
      <w:start w:val="0"/>
      <w:numFmt w:val="bullet"/>
      <w:lvlText w:val="•"/>
      <w:lvlJc w:val="left"/>
      <w:pPr>
        <w:ind w:left="3530" w:hanging="515"/>
      </w:pPr>
      <w:rPr>
        <w:rFonts w:hint="default"/>
        <w:lang w:val="en-US" w:eastAsia="en-US" w:bidi="ar-SA"/>
      </w:rPr>
    </w:lvl>
    <w:lvl w:ilvl="5">
      <w:start w:val="0"/>
      <w:numFmt w:val="bullet"/>
      <w:lvlText w:val="•"/>
      <w:lvlJc w:val="left"/>
      <w:pPr>
        <w:ind w:left="4454" w:hanging="515"/>
      </w:pPr>
      <w:rPr>
        <w:rFonts w:hint="default"/>
        <w:lang w:val="en-US" w:eastAsia="en-US" w:bidi="ar-SA"/>
      </w:rPr>
    </w:lvl>
    <w:lvl w:ilvl="6">
      <w:start w:val="0"/>
      <w:numFmt w:val="bullet"/>
      <w:lvlText w:val="•"/>
      <w:lvlJc w:val="left"/>
      <w:pPr>
        <w:ind w:left="5377" w:hanging="515"/>
      </w:pPr>
      <w:rPr>
        <w:rFonts w:hint="default"/>
        <w:lang w:val="en-US" w:eastAsia="en-US" w:bidi="ar-SA"/>
      </w:rPr>
    </w:lvl>
    <w:lvl w:ilvl="7">
      <w:start w:val="0"/>
      <w:numFmt w:val="bullet"/>
      <w:lvlText w:val="•"/>
      <w:lvlJc w:val="left"/>
      <w:pPr>
        <w:ind w:left="6301" w:hanging="515"/>
      </w:pPr>
      <w:rPr>
        <w:rFonts w:hint="default"/>
        <w:lang w:val="en-US" w:eastAsia="en-US" w:bidi="ar-SA"/>
      </w:rPr>
    </w:lvl>
    <w:lvl w:ilvl="8">
      <w:start w:val="0"/>
      <w:numFmt w:val="bullet"/>
      <w:lvlText w:val="•"/>
      <w:lvlJc w:val="left"/>
      <w:pPr>
        <w:ind w:left="7224" w:hanging="515"/>
      </w:pPr>
      <w:rPr>
        <w:rFonts w:hint="default"/>
        <w:lang w:val="en-US" w:eastAsia="en-US" w:bidi="ar-SA"/>
      </w:rPr>
    </w:lvl>
  </w:abstractNum>
  <w:abstractNum w:abstractNumId="2">
    <w:multiLevelType w:val="hybridMultilevel"/>
    <w:lvl w:ilvl="0">
      <w:start w:val="3"/>
      <w:numFmt w:val="decimal"/>
      <w:lvlText w:val="%1"/>
      <w:lvlJc w:val="left"/>
      <w:pPr>
        <w:ind w:left="360" w:hanging="346"/>
        <w:jc w:val="left"/>
      </w:pPr>
      <w:rPr>
        <w:rFonts w:hint="default"/>
        <w:lang w:val="en-US" w:eastAsia="en-US" w:bidi="ar-SA"/>
      </w:rPr>
    </w:lvl>
    <w:lvl w:ilvl="1">
      <w:start w:val="1"/>
      <w:numFmt w:val="decimal"/>
      <w:lvlText w:val="%1.%2"/>
      <w:lvlJc w:val="left"/>
      <w:pPr>
        <w:ind w:left="360" w:hanging="346"/>
        <w:jc w:val="left"/>
      </w:pPr>
      <w:rPr>
        <w:rFonts w:hint="default"/>
        <w:spacing w:val="0"/>
        <w:w w:val="100"/>
        <w:lang w:val="en-US" w:eastAsia="en-US" w:bidi="ar-SA"/>
      </w:rPr>
    </w:lvl>
    <w:lvl w:ilvl="2">
      <w:start w:val="1"/>
      <w:numFmt w:val="decimal"/>
      <w:lvlText w:val="%1.%2.%3"/>
      <w:lvlJc w:val="left"/>
      <w:pPr>
        <w:ind w:left="600" w:hanging="5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482" w:hanging="501"/>
      </w:pPr>
      <w:rPr>
        <w:rFonts w:hint="default"/>
        <w:lang w:val="en-US" w:eastAsia="en-US" w:bidi="ar-SA"/>
      </w:rPr>
    </w:lvl>
    <w:lvl w:ilvl="4">
      <w:start w:val="0"/>
      <w:numFmt w:val="bullet"/>
      <w:lvlText w:val="•"/>
      <w:lvlJc w:val="left"/>
      <w:pPr>
        <w:ind w:left="3423" w:hanging="501"/>
      </w:pPr>
      <w:rPr>
        <w:rFonts w:hint="default"/>
        <w:lang w:val="en-US" w:eastAsia="en-US" w:bidi="ar-SA"/>
      </w:rPr>
    </w:lvl>
    <w:lvl w:ilvl="5">
      <w:start w:val="0"/>
      <w:numFmt w:val="bullet"/>
      <w:lvlText w:val="•"/>
      <w:lvlJc w:val="left"/>
      <w:pPr>
        <w:ind w:left="4365" w:hanging="501"/>
      </w:pPr>
      <w:rPr>
        <w:rFonts w:hint="default"/>
        <w:lang w:val="en-US" w:eastAsia="en-US" w:bidi="ar-SA"/>
      </w:rPr>
    </w:lvl>
    <w:lvl w:ilvl="6">
      <w:start w:val="0"/>
      <w:numFmt w:val="bullet"/>
      <w:lvlText w:val="•"/>
      <w:lvlJc w:val="left"/>
      <w:pPr>
        <w:ind w:left="5306" w:hanging="501"/>
      </w:pPr>
      <w:rPr>
        <w:rFonts w:hint="default"/>
        <w:lang w:val="en-US" w:eastAsia="en-US" w:bidi="ar-SA"/>
      </w:rPr>
    </w:lvl>
    <w:lvl w:ilvl="7">
      <w:start w:val="0"/>
      <w:numFmt w:val="bullet"/>
      <w:lvlText w:val="•"/>
      <w:lvlJc w:val="left"/>
      <w:pPr>
        <w:ind w:left="6247" w:hanging="501"/>
      </w:pPr>
      <w:rPr>
        <w:rFonts w:hint="default"/>
        <w:lang w:val="en-US" w:eastAsia="en-US" w:bidi="ar-SA"/>
      </w:rPr>
    </w:lvl>
    <w:lvl w:ilvl="8">
      <w:start w:val="0"/>
      <w:numFmt w:val="bullet"/>
      <w:lvlText w:val="•"/>
      <w:lvlJc w:val="left"/>
      <w:pPr>
        <w:ind w:left="7188" w:hanging="501"/>
      </w:pPr>
      <w:rPr>
        <w:rFonts w:hint="default"/>
        <w:lang w:val="en-US" w:eastAsia="en-US" w:bidi="ar-SA"/>
      </w:rPr>
    </w:lvl>
  </w:abstractNum>
  <w:abstractNum w:abstractNumId="1">
    <w:multiLevelType w:val="hybridMultilevel"/>
    <w:lvl w:ilvl="0">
      <w:start w:val="2"/>
      <w:numFmt w:val="decimal"/>
      <w:lvlText w:val="%1"/>
      <w:lvlJc w:val="left"/>
      <w:pPr>
        <w:ind w:left="360" w:hanging="364"/>
        <w:jc w:val="left"/>
      </w:pPr>
      <w:rPr>
        <w:rFonts w:hint="default"/>
        <w:lang w:val="en-US" w:eastAsia="en-US" w:bidi="ar-SA"/>
      </w:rPr>
    </w:lvl>
    <w:lvl w:ilvl="1">
      <w:start w:val="1"/>
      <w:numFmt w:val="decimal"/>
      <w:lvlText w:val="%1.%2"/>
      <w:lvlJc w:val="left"/>
      <w:pPr>
        <w:ind w:left="360" w:hanging="3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600" w:hanging="32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482" w:hanging="329"/>
      </w:pPr>
      <w:rPr>
        <w:rFonts w:hint="default"/>
        <w:lang w:val="en-US" w:eastAsia="en-US" w:bidi="ar-SA"/>
      </w:rPr>
    </w:lvl>
    <w:lvl w:ilvl="4">
      <w:start w:val="0"/>
      <w:numFmt w:val="bullet"/>
      <w:lvlText w:val="•"/>
      <w:lvlJc w:val="left"/>
      <w:pPr>
        <w:ind w:left="3423" w:hanging="329"/>
      </w:pPr>
      <w:rPr>
        <w:rFonts w:hint="default"/>
        <w:lang w:val="en-US" w:eastAsia="en-US" w:bidi="ar-SA"/>
      </w:rPr>
    </w:lvl>
    <w:lvl w:ilvl="5">
      <w:start w:val="0"/>
      <w:numFmt w:val="bullet"/>
      <w:lvlText w:val="•"/>
      <w:lvlJc w:val="left"/>
      <w:pPr>
        <w:ind w:left="4365" w:hanging="329"/>
      </w:pPr>
      <w:rPr>
        <w:rFonts w:hint="default"/>
        <w:lang w:val="en-US" w:eastAsia="en-US" w:bidi="ar-SA"/>
      </w:rPr>
    </w:lvl>
    <w:lvl w:ilvl="6">
      <w:start w:val="0"/>
      <w:numFmt w:val="bullet"/>
      <w:lvlText w:val="•"/>
      <w:lvlJc w:val="left"/>
      <w:pPr>
        <w:ind w:left="5306" w:hanging="329"/>
      </w:pPr>
      <w:rPr>
        <w:rFonts w:hint="default"/>
        <w:lang w:val="en-US" w:eastAsia="en-US" w:bidi="ar-SA"/>
      </w:rPr>
    </w:lvl>
    <w:lvl w:ilvl="7">
      <w:start w:val="0"/>
      <w:numFmt w:val="bullet"/>
      <w:lvlText w:val="•"/>
      <w:lvlJc w:val="left"/>
      <w:pPr>
        <w:ind w:left="6247" w:hanging="329"/>
      </w:pPr>
      <w:rPr>
        <w:rFonts w:hint="default"/>
        <w:lang w:val="en-US" w:eastAsia="en-US" w:bidi="ar-SA"/>
      </w:rPr>
    </w:lvl>
    <w:lvl w:ilvl="8">
      <w:start w:val="0"/>
      <w:numFmt w:val="bullet"/>
      <w:lvlText w:val="•"/>
      <w:lvlJc w:val="left"/>
      <w:pPr>
        <w:ind w:left="7188" w:hanging="329"/>
      </w:pPr>
      <w:rPr>
        <w:rFonts w:hint="default"/>
        <w:lang w:val="en-US" w:eastAsia="en-US" w:bidi="ar-SA"/>
      </w:rPr>
    </w:lvl>
  </w:abstractNum>
  <w:abstractNum w:abstractNumId="0">
    <w:multiLevelType w:val="hybridMultilevel"/>
    <w:lvl w:ilvl="0">
      <w:start w:val="1"/>
      <w:numFmt w:val="decimal"/>
      <w:lvlText w:val="%1"/>
      <w:lvlJc w:val="left"/>
      <w:pPr>
        <w:ind w:left="360" w:hanging="341"/>
        <w:jc w:val="left"/>
      </w:pPr>
      <w:rPr>
        <w:rFonts w:hint="default"/>
        <w:lang w:val="en-US" w:eastAsia="en-US" w:bidi="ar-SA"/>
      </w:rPr>
    </w:lvl>
    <w:lvl w:ilvl="1">
      <w:start w:val="1"/>
      <w:numFmt w:val="decimal"/>
      <w:lvlText w:val="%1.%2"/>
      <w:lvlJc w:val="left"/>
      <w:pPr>
        <w:ind w:left="360" w:hanging="3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102" w:hanging="341"/>
      </w:pPr>
      <w:rPr>
        <w:rFonts w:hint="default"/>
        <w:lang w:val="en-US" w:eastAsia="en-US" w:bidi="ar-SA"/>
      </w:rPr>
    </w:lvl>
    <w:lvl w:ilvl="3">
      <w:start w:val="0"/>
      <w:numFmt w:val="bullet"/>
      <w:lvlText w:val="•"/>
      <w:lvlJc w:val="left"/>
      <w:pPr>
        <w:ind w:left="2973" w:hanging="341"/>
      </w:pPr>
      <w:rPr>
        <w:rFonts w:hint="default"/>
        <w:lang w:val="en-US" w:eastAsia="en-US" w:bidi="ar-SA"/>
      </w:rPr>
    </w:lvl>
    <w:lvl w:ilvl="4">
      <w:start w:val="0"/>
      <w:numFmt w:val="bullet"/>
      <w:lvlText w:val="•"/>
      <w:lvlJc w:val="left"/>
      <w:pPr>
        <w:ind w:left="3844" w:hanging="341"/>
      </w:pPr>
      <w:rPr>
        <w:rFonts w:hint="default"/>
        <w:lang w:val="en-US" w:eastAsia="en-US" w:bidi="ar-SA"/>
      </w:rPr>
    </w:lvl>
    <w:lvl w:ilvl="5">
      <w:start w:val="0"/>
      <w:numFmt w:val="bullet"/>
      <w:lvlText w:val="•"/>
      <w:lvlJc w:val="left"/>
      <w:pPr>
        <w:ind w:left="4715" w:hanging="341"/>
      </w:pPr>
      <w:rPr>
        <w:rFonts w:hint="default"/>
        <w:lang w:val="en-US" w:eastAsia="en-US" w:bidi="ar-SA"/>
      </w:rPr>
    </w:lvl>
    <w:lvl w:ilvl="6">
      <w:start w:val="0"/>
      <w:numFmt w:val="bullet"/>
      <w:lvlText w:val="•"/>
      <w:lvlJc w:val="left"/>
      <w:pPr>
        <w:ind w:left="5586" w:hanging="341"/>
      </w:pPr>
      <w:rPr>
        <w:rFonts w:hint="default"/>
        <w:lang w:val="en-US" w:eastAsia="en-US" w:bidi="ar-SA"/>
      </w:rPr>
    </w:lvl>
    <w:lvl w:ilvl="7">
      <w:start w:val="0"/>
      <w:numFmt w:val="bullet"/>
      <w:lvlText w:val="•"/>
      <w:lvlJc w:val="left"/>
      <w:pPr>
        <w:ind w:left="6458" w:hanging="341"/>
      </w:pPr>
      <w:rPr>
        <w:rFonts w:hint="default"/>
        <w:lang w:val="en-US" w:eastAsia="en-US" w:bidi="ar-SA"/>
      </w:rPr>
    </w:lvl>
    <w:lvl w:ilvl="8">
      <w:start w:val="0"/>
      <w:numFmt w:val="bullet"/>
      <w:lvlText w:val="•"/>
      <w:lvlJc w:val="left"/>
      <w:pPr>
        <w:ind w:left="7329" w:hanging="34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56"/>
      <w:szCs w:val="56"/>
      <w:lang w:val="en-US" w:eastAsia="en-US" w:bidi="ar-SA"/>
    </w:rPr>
  </w:style>
  <w:style w:styleId="Heading2" w:type="paragraph">
    <w:name w:val="Heading 2"/>
    <w:basedOn w:val="Normal"/>
    <w:uiPriority w:val="1"/>
    <w:qFormat/>
    <w:pPr>
      <w:ind w:left="120"/>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237"/>
      <w:ind w:left="760" w:hanging="400"/>
      <w:outlineLvl w:val="3"/>
    </w:pPr>
    <w:rPr>
      <w:rFonts w:ascii="Arial" w:hAnsi="Arial" w:eastAsia="Arial" w:cs="Arial"/>
      <w:b/>
      <w:bCs/>
      <w:sz w:val="24"/>
      <w:szCs w:val="24"/>
      <w:lang w:val="en-US" w:eastAsia="en-US" w:bidi="ar-SA"/>
    </w:rPr>
  </w:style>
  <w:style w:styleId="Heading4" w:type="paragraph">
    <w:name w:val="Heading 4"/>
    <w:basedOn w:val="Normal"/>
    <w:uiPriority w:val="1"/>
    <w:qFormat/>
    <w:pPr>
      <w:jc w:val="center"/>
      <w:outlineLvl w:val="4"/>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44"/>
      <w:ind w:left="600" w:right="1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2026-05-08T21:09:42Z</dcterms:created>
  <dcterms:modified xsi:type="dcterms:W3CDTF">2026-05-08T21:09:42Z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(unspecified)</vt:lpwstr>
  </property>
  <property fmtid="{D5CDD505-2E9C-101B-9397-08002B2CF9AE}" pid="4" name="LastSaved">
    <vt:filetime>2026-05-08T00:00:00Z</vt:filetime>
  </property>
  <property fmtid="{D5CDD505-2E9C-101B-9397-08002B2CF9AE}" pid="5" name="Producer">
    <vt:lpwstr>ReportLab PDF Library - (opensource)</vt:lpwstr>
  </property>
</Properties>
</file>