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56"/>
        </w:rPr>
      </w:pPr>
    </w:p>
    <w:p>
      <w:pPr>
        <w:pStyle w:val="BodyText"/>
        <w:rPr>
          <w:sz w:val="56"/>
        </w:rPr>
      </w:pPr>
    </w:p>
    <w:p>
      <w:pPr>
        <w:pStyle w:val="BodyText"/>
        <w:rPr>
          <w:sz w:val="56"/>
        </w:rPr>
      </w:pPr>
    </w:p>
    <w:p>
      <w:pPr>
        <w:pStyle w:val="BodyText"/>
        <w:spacing w:before="362"/>
        <w:rPr>
          <w:sz w:val="56"/>
        </w:rPr>
      </w:pPr>
    </w:p>
    <w:p>
      <w:pPr>
        <w:pStyle w:val="Heading1"/>
        <w:spacing w:line="254" w:lineRule="auto"/>
      </w:pPr>
      <w:r>
        <w:rPr/>
        <w:t>PHASE</w:t>
      </w:r>
      <w:r>
        <w:rPr>
          <w:spacing w:val="-17"/>
        </w:rPr>
        <w:t> </w:t>
      </w:r>
      <w:r>
        <w:rPr/>
        <w:t>I</w:t>
      </w:r>
      <w:r>
        <w:rPr>
          <w:spacing w:val="-17"/>
        </w:rPr>
        <w:t> </w:t>
      </w:r>
      <w:r>
        <w:rPr/>
        <w:t>ENVIRONMENTAL SITE ASSESSMENT</w:t>
      </w:r>
    </w:p>
    <w:p>
      <w:pPr>
        <w:pStyle w:val="BodyText"/>
        <w:spacing w:before="135"/>
        <w:rPr>
          <w:b/>
          <w:sz w:val="56"/>
        </w:rPr>
      </w:pPr>
    </w:p>
    <w:p>
      <w:pPr>
        <w:pStyle w:val="Heading4"/>
      </w:pPr>
      <w:r>
        <w:rPr/>
        <w:t>15-21 Deansgate, Manchester M3 </w:t>
      </w:r>
      <w:r>
        <w:rPr>
          <w:spacing w:val="-5"/>
        </w:rPr>
        <w:t>4FN</w:t>
      </w:r>
    </w:p>
    <w:p>
      <w:pPr>
        <w:pStyle w:val="BodyText"/>
        <w:rPr>
          <w:b/>
        </w:rPr>
      </w:pPr>
    </w:p>
    <w:p>
      <w:pPr>
        <w:pStyle w:val="BodyText"/>
        <w:rPr>
          <w:b/>
        </w:rPr>
      </w:pPr>
    </w:p>
    <w:p>
      <w:pPr>
        <w:pStyle w:val="BodyText"/>
        <w:spacing w:before="182"/>
        <w:rPr>
          <w:b/>
        </w:rPr>
      </w:pPr>
    </w:p>
    <w:p>
      <w:pPr>
        <w:pStyle w:val="BodyText"/>
        <w:jc w:val="center"/>
      </w:pPr>
      <w:r>
        <w:rPr/>
        <w:t>Prepared </w:t>
      </w:r>
      <w:r>
        <w:rPr>
          <w:spacing w:val="-4"/>
        </w:rPr>
        <w:t>for:</w:t>
      </w:r>
    </w:p>
    <w:p>
      <w:pPr>
        <w:pStyle w:val="Heading4"/>
        <w:spacing w:before="147"/>
      </w:pPr>
      <w:r>
        <w:rPr/>
        <w:t>Manchester Property Holdings </w:t>
      </w:r>
      <w:r>
        <w:rPr>
          <w:spacing w:val="-5"/>
        </w:rPr>
        <w:t>Ltd</w:t>
      </w:r>
    </w:p>
    <w:p>
      <w:pPr>
        <w:pStyle w:val="BodyText"/>
        <w:rPr>
          <w:b/>
        </w:rPr>
      </w:pPr>
    </w:p>
    <w:p>
      <w:pPr>
        <w:pStyle w:val="BodyText"/>
        <w:spacing w:before="94"/>
        <w:rPr>
          <w:b/>
        </w:rPr>
      </w:pPr>
    </w:p>
    <w:p>
      <w:pPr>
        <w:pStyle w:val="BodyText"/>
        <w:jc w:val="center"/>
      </w:pPr>
      <w:r>
        <w:rPr/>
        <w:t>Prepared </w:t>
      </w:r>
      <w:r>
        <w:rPr>
          <w:spacing w:val="-5"/>
        </w:rPr>
        <w:t>by:</w:t>
      </w:r>
    </w:p>
    <w:p>
      <w:pPr>
        <w:pStyle w:val="Heading4"/>
        <w:spacing w:before="147"/>
      </w:pPr>
      <w:r>
        <w:rPr/>
        <w:t>Greenfield Environmental Consultants </w:t>
      </w:r>
      <w:r>
        <w:rPr>
          <w:spacing w:val="-5"/>
        </w:rPr>
        <w:t>Ltd</w:t>
      </w:r>
    </w:p>
    <w:p>
      <w:pPr>
        <w:pStyle w:val="BodyText"/>
        <w:spacing w:before="27"/>
        <w:jc w:val="center"/>
      </w:pPr>
      <w:r>
        <w:rPr/>
        <w:t>Quay House, Quay Street, Manchester M3 </w:t>
      </w:r>
      <w:r>
        <w:rPr>
          <w:spacing w:val="-5"/>
        </w:rPr>
        <w:t>3JE</w:t>
      </w:r>
    </w:p>
    <w:p>
      <w:pPr>
        <w:pStyle w:val="BodyText"/>
      </w:pPr>
    </w:p>
    <w:p>
      <w:pPr>
        <w:pStyle w:val="BodyText"/>
      </w:pPr>
    </w:p>
    <w:p>
      <w:pPr>
        <w:pStyle w:val="BodyText"/>
        <w:spacing w:before="69"/>
      </w:pPr>
    </w:p>
    <w:p>
      <w:pPr>
        <w:pStyle w:val="BodyText"/>
        <w:spacing w:line="379" w:lineRule="auto"/>
        <w:ind w:left="2782" w:right="2781"/>
        <w:jc w:val="center"/>
      </w:pPr>
      <w:r>
        <w:rPr/>
        <w:t>Report</w:t>
      </w:r>
      <w:r>
        <w:rPr>
          <w:spacing w:val="-14"/>
        </w:rPr>
        <w:t> </w:t>
      </w:r>
      <w:r>
        <w:rPr/>
        <w:t>Reference:</w:t>
      </w:r>
      <w:r>
        <w:rPr>
          <w:spacing w:val="-14"/>
        </w:rPr>
        <w:t> </w:t>
      </w:r>
      <w:r>
        <w:rPr/>
        <w:t>GEC/2024/0142 Date: 15 January 2024</w:t>
      </w:r>
    </w:p>
    <w:p>
      <w:pPr>
        <w:pStyle w:val="BodyText"/>
      </w:pPr>
    </w:p>
    <w:p>
      <w:pPr>
        <w:pStyle w:val="BodyText"/>
      </w:pPr>
    </w:p>
    <w:p>
      <w:pPr>
        <w:pStyle w:val="BodyText"/>
      </w:pPr>
    </w:p>
    <w:p>
      <w:pPr>
        <w:pStyle w:val="BodyText"/>
        <w:spacing w:before="121"/>
      </w:pPr>
    </w:p>
    <w:p>
      <w:pPr>
        <w:spacing w:before="0"/>
        <w:ind w:left="0" w:right="0" w:firstLine="0"/>
        <w:jc w:val="center"/>
        <w:rPr>
          <w:rFonts w:ascii="Arial"/>
          <w:b/>
          <w:sz w:val="22"/>
        </w:rPr>
      </w:pPr>
      <w:r>
        <w:rPr>
          <w:rFonts w:ascii="Arial"/>
          <w:b/>
          <w:color w:val="CC0000"/>
          <w:sz w:val="22"/>
        </w:rPr>
        <w:t>Classification: </w:t>
      </w:r>
      <w:r>
        <w:rPr>
          <w:rFonts w:ascii="Arial"/>
          <w:b/>
          <w:color w:val="CC0000"/>
          <w:spacing w:val="-2"/>
          <w:sz w:val="22"/>
        </w:rPr>
        <w:t>CONFIDENTIAL</w:t>
      </w:r>
    </w:p>
    <w:p>
      <w:pPr>
        <w:spacing w:after="0"/>
        <w:jc w:val="center"/>
        <w:rPr>
          <w:rFonts w:ascii="Arial"/>
          <w:b/>
          <w:sz w:val="22"/>
        </w:rPr>
        <w:sectPr>
          <w:headerReference w:type="default" r:id="rId5"/>
          <w:footerReference w:type="default" r:id="rId6"/>
          <w:type w:val="continuous"/>
          <w:pgSz w:w="11910" w:h="16840"/>
          <w:pgMar w:header="762" w:footer="745" w:top="1640" w:bottom="940" w:left="1417" w:right="1417"/>
          <w:pgNumType w:start="1"/>
        </w:sectPr>
      </w:pPr>
    </w:p>
    <w:p>
      <w:pPr>
        <w:pStyle w:val="Heading2"/>
        <w:numPr>
          <w:ilvl w:val="0"/>
          <w:numId w:val="1"/>
        </w:numPr>
        <w:tabs>
          <w:tab w:pos="431" w:val="left" w:leader="none"/>
        </w:tabs>
        <w:spacing w:line="240" w:lineRule="auto" w:before="83" w:after="0"/>
        <w:ind w:left="431" w:right="0" w:hanging="311"/>
        <w:jc w:val="left"/>
      </w:pPr>
      <w:r>
        <w:rPr/>
        <w:t>Executive </w:t>
      </w:r>
      <w:r>
        <w:rPr>
          <w:spacing w:val="-2"/>
        </w:rPr>
        <w:t>Summary</w:t>
      </w:r>
    </w:p>
    <w:p>
      <w:pPr>
        <w:pStyle w:val="BodyText"/>
        <w:spacing w:line="266" w:lineRule="auto" w:before="195"/>
        <w:ind w:left="360" w:right="118"/>
        <w:jc w:val="both"/>
      </w:pPr>
      <w:r>
        <w:rPr/>
        <w:t>Greenfield Environmental Consultants Ltd ("GEC") was commissioned by Manchester </w:t>
      </w:r>
      <w:r>
        <w:rPr/>
        <w:t>Property Holdings</w:t>
      </w:r>
      <w:r>
        <w:rPr>
          <w:spacing w:val="-5"/>
        </w:rPr>
        <w:t> </w:t>
      </w:r>
      <w:r>
        <w:rPr/>
        <w:t>Ltd</w:t>
      </w:r>
      <w:r>
        <w:rPr>
          <w:spacing w:val="-5"/>
        </w:rPr>
        <w:t> </w:t>
      </w:r>
      <w:r>
        <w:rPr/>
        <w:t>(the</w:t>
      </w:r>
      <w:r>
        <w:rPr>
          <w:spacing w:val="-5"/>
        </w:rPr>
        <w:t> </w:t>
      </w:r>
      <w:r>
        <w:rPr/>
        <w:t>"Client")</w:t>
      </w:r>
      <w:r>
        <w:rPr>
          <w:spacing w:val="-5"/>
        </w:rPr>
        <w:t> </w:t>
      </w:r>
      <w:r>
        <w:rPr/>
        <w:t>to</w:t>
      </w:r>
      <w:r>
        <w:rPr>
          <w:spacing w:val="-5"/>
        </w:rPr>
        <w:t> </w:t>
      </w:r>
      <w:r>
        <w:rPr/>
        <w:t>undertake</w:t>
      </w:r>
      <w:r>
        <w:rPr>
          <w:spacing w:val="-5"/>
        </w:rPr>
        <w:t> </w:t>
      </w:r>
      <w:r>
        <w:rPr/>
        <w:t>a</w:t>
      </w:r>
      <w:r>
        <w:rPr>
          <w:spacing w:val="-5"/>
        </w:rPr>
        <w:t> </w:t>
      </w:r>
      <w:r>
        <w:rPr/>
        <w:t>Phase</w:t>
      </w:r>
      <w:r>
        <w:rPr>
          <w:spacing w:val="-5"/>
        </w:rPr>
        <w:t> </w:t>
      </w:r>
      <w:r>
        <w:rPr/>
        <w:t>I</w:t>
      </w:r>
      <w:r>
        <w:rPr>
          <w:spacing w:val="-5"/>
        </w:rPr>
        <w:t> </w:t>
      </w:r>
      <w:r>
        <w:rPr/>
        <w:t>Environmental</w:t>
      </w:r>
      <w:r>
        <w:rPr>
          <w:spacing w:val="-5"/>
        </w:rPr>
        <w:t> </w:t>
      </w:r>
      <w:r>
        <w:rPr/>
        <w:t>Site</w:t>
      </w:r>
      <w:r>
        <w:rPr>
          <w:spacing w:val="-5"/>
        </w:rPr>
        <w:t> </w:t>
      </w:r>
      <w:r>
        <w:rPr/>
        <w:t>Assessment</w:t>
      </w:r>
      <w:r>
        <w:rPr>
          <w:spacing w:val="-5"/>
        </w:rPr>
        <w:t> </w:t>
      </w:r>
      <w:r>
        <w:rPr/>
        <w:t>of</w:t>
      </w:r>
      <w:r>
        <w:rPr>
          <w:spacing w:val="-5"/>
        </w:rPr>
        <w:t> </w:t>
      </w:r>
      <w:r>
        <w:rPr/>
        <w:t>the</w:t>
      </w:r>
      <w:r>
        <w:rPr>
          <w:spacing w:val="-5"/>
        </w:rPr>
        <w:t> </w:t>
      </w:r>
      <w:r>
        <w:rPr/>
        <w:t>property situated at 15-21 Deansgate, Manchester M3 4FN (the "Site"). The assessment was carried out in accordance with BS 10175:2011+A2:2017 (Investigation of Potentially Contaminated Sites — Code of Practice) and CIRIA C552 (Contaminated Land Risk Assessment: A Guide to Good </w:t>
      </w:r>
      <w:r>
        <w:rPr>
          <w:spacing w:val="-2"/>
        </w:rPr>
        <w:t>Practice).</w:t>
      </w:r>
    </w:p>
    <w:p>
      <w:pPr>
        <w:pStyle w:val="BodyText"/>
        <w:spacing w:line="266" w:lineRule="auto" w:before="116"/>
        <w:ind w:left="360" w:right="118"/>
        <w:jc w:val="both"/>
      </w:pPr>
      <w:r>
        <w:rPr/>
        <w:t>The Site comprises an area of approximately 0.28 hectares (0.69 acres) and is currently </w:t>
      </w:r>
      <w:r>
        <w:rPr/>
        <w:t>occupied by a vacant four-storey commercial building of brick construction dating from approximately 1920.</w:t>
      </w:r>
      <w:r>
        <w:rPr>
          <w:spacing w:val="40"/>
        </w:rPr>
        <w:t> </w:t>
      </w:r>
      <w:r>
        <w:rPr/>
        <w:t>Historical</w:t>
      </w:r>
      <w:r>
        <w:rPr>
          <w:spacing w:val="40"/>
        </w:rPr>
        <w:t> </w:t>
      </w:r>
      <w:r>
        <w:rPr/>
        <w:t>use</w:t>
      </w:r>
      <w:r>
        <w:rPr>
          <w:spacing w:val="40"/>
        </w:rPr>
        <w:t> </w:t>
      </w:r>
      <w:r>
        <w:rPr/>
        <w:t>of</w:t>
      </w:r>
      <w:r>
        <w:rPr>
          <w:spacing w:val="40"/>
        </w:rPr>
        <w:t> </w:t>
      </w:r>
      <w:r>
        <w:rPr/>
        <w:t>the</w:t>
      </w:r>
      <w:r>
        <w:rPr>
          <w:spacing w:val="40"/>
        </w:rPr>
        <w:t> </w:t>
      </w:r>
      <w:r>
        <w:rPr/>
        <w:t>Site</w:t>
      </w:r>
      <w:r>
        <w:rPr>
          <w:spacing w:val="40"/>
        </w:rPr>
        <w:t> </w:t>
      </w:r>
      <w:r>
        <w:rPr/>
        <w:t>includes</w:t>
      </w:r>
      <w:r>
        <w:rPr>
          <w:spacing w:val="40"/>
        </w:rPr>
        <w:t> </w:t>
      </w:r>
      <w:r>
        <w:rPr/>
        <w:t>textile</w:t>
      </w:r>
      <w:r>
        <w:rPr>
          <w:spacing w:val="40"/>
        </w:rPr>
        <w:t> </w:t>
      </w:r>
      <w:r>
        <w:rPr/>
        <w:t>warehousing</w:t>
      </w:r>
      <w:r>
        <w:rPr>
          <w:spacing w:val="40"/>
        </w:rPr>
        <w:t> </w:t>
      </w:r>
      <w:r>
        <w:rPr/>
        <w:t>(1920-1975),</w:t>
      </w:r>
      <w:r>
        <w:rPr>
          <w:spacing w:val="40"/>
        </w:rPr>
        <w:t> </w:t>
      </w:r>
      <w:r>
        <w:rPr/>
        <w:t>printing</w:t>
      </w:r>
      <w:r>
        <w:rPr>
          <w:spacing w:val="40"/>
        </w:rPr>
        <w:t> </w:t>
      </w:r>
      <w:r>
        <w:rPr/>
        <w:t>works (1975-2002), and general office accommodation (2002-2019). The Site has been vacant since </w:t>
      </w:r>
      <w:r>
        <w:rPr>
          <w:spacing w:val="-2"/>
        </w:rPr>
        <w:t>2019.</w:t>
      </w:r>
    </w:p>
    <w:p>
      <w:pPr>
        <w:pStyle w:val="BodyText"/>
        <w:spacing w:line="266" w:lineRule="auto" w:before="116"/>
        <w:ind w:left="360" w:right="118"/>
        <w:jc w:val="both"/>
      </w:pPr>
      <w:r>
        <w:rPr/>
        <w:t>Based on the findings of this assessment, the overall risk classification for the Site is assessed </w:t>
      </w:r>
      <w:r>
        <w:rPr/>
        <w:t>as </w:t>
      </w:r>
      <w:r>
        <w:rPr>
          <w:b/>
        </w:rPr>
        <w:t>LOW to MODERATE</w:t>
      </w:r>
      <w:r>
        <w:rPr/>
        <w:t>. The principal areas of concern are: (i) potential soil and groundwater contamination associated with the former printing works use (solvents and inks); and (ii) an underground storage tank of unknown status identified from historical records. A Phase II intrusive investigation is recommended to further characterise these risks.</w:t>
      </w:r>
    </w:p>
    <w:p>
      <w:pPr>
        <w:pStyle w:val="BodyText"/>
        <w:spacing w:before="105"/>
      </w:pPr>
    </w:p>
    <w:p>
      <w:pPr>
        <w:pStyle w:val="Heading2"/>
        <w:numPr>
          <w:ilvl w:val="0"/>
          <w:numId w:val="1"/>
        </w:numPr>
        <w:tabs>
          <w:tab w:pos="431" w:val="left" w:leader="none"/>
        </w:tabs>
        <w:spacing w:line="240" w:lineRule="auto" w:before="0" w:after="0"/>
        <w:ind w:left="431" w:right="0" w:hanging="311"/>
        <w:jc w:val="left"/>
      </w:pPr>
      <w:r>
        <w:rPr/>
        <w:t>Site </w:t>
      </w:r>
      <w:r>
        <w:rPr>
          <w:spacing w:val="-2"/>
        </w:rPr>
        <w:t>Description</w:t>
      </w:r>
    </w:p>
    <w:p>
      <w:pPr>
        <w:pStyle w:val="ListParagraph"/>
        <w:numPr>
          <w:ilvl w:val="1"/>
          <w:numId w:val="1"/>
        </w:numPr>
        <w:tabs>
          <w:tab w:pos="688" w:val="left" w:leader="none"/>
        </w:tabs>
        <w:spacing w:line="266" w:lineRule="auto" w:before="196" w:after="0"/>
        <w:ind w:left="360" w:right="119" w:firstLine="0"/>
        <w:jc w:val="both"/>
        <w:rPr>
          <w:sz w:val="22"/>
        </w:rPr>
      </w:pPr>
      <w:r>
        <w:rPr>
          <w:sz w:val="22"/>
        </w:rPr>
        <w:t>The</w:t>
      </w:r>
      <w:r>
        <w:rPr>
          <w:spacing w:val="-4"/>
          <w:sz w:val="22"/>
        </w:rPr>
        <w:t> </w:t>
      </w:r>
      <w:r>
        <w:rPr>
          <w:sz w:val="22"/>
        </w:rPr>
        <w:t>Site</w:t>
      </w:r>
      <w:r>
        <w:rPr>
          <w:spacing w:val="-4"/>
          <w:sz w:val="22"/>
        </w:rPr>
        <w:t> </w:t>
      </w:r>
      <w:r>
        <w:rPr>
          <w:sz w:val="22"/>
        </w:rPr>
        <w:t>is</w:t>
      </w:r>
      <w:r>
        <w:rPr>
          <w:spacing w:val="-4"/>
          <w:sz w:val="22"/>
        </w:rPr>
        <w:t> </w:t>
      </w:r>
      <w:r>
        <w:rPr>
          <w:sz w:val="22"/>
        </w:rPr>
        <w:t>located</w:t>
      </w:r>
      <w:r>
        <w:rPr>
          <w:spacing w:val="-4"/>
          <w:sz w:val="22"/>
        </w:rPr>
        <w:t> </w:t>
      </w:r>
      <w:r>
        <w:rPr>
          <w:sz w:val="22"/>
        </w:rPr>
        <w:t>at</w:t>
      </w:r>
      <w:r>
        <w:rPr>
          <w:spacing w:val="-4"/>
          <w:sz w:val="22"/>
        </w:rPr>
        <w:t> </w:t>
      </w:r>
      <w:r>
        <w:rPr>
          <w:sz w:val="22"/>
        </w:rPr>
        <w:t>15-21</w:t>
      </w:r>
      <w:r>
        <w:rPr>
          <w:spacing w:val="-4"/>
          <w:sz w:val="22"/>
        </w:rPr>
        <w:t> </w:t>
      </w:r>
      <w:r>
        <w:rPr>
          <w:sz w:val="22"/>
        </w:rPr>
        <w:t>Deansgate,</w:t>
      </w:r>
      <w:r>
        <w:rPr>
          <w:spacing w:val="-4"/>
          <w:sz w:val="22"/>
        </w:rPr>
        <w:t> </w:t>
      </w:r>
      <w:r>
        <w:rPr>
          <w:sz w:val="22"/>
        </w:rPr>
        <w:t>Manchester</w:t>
      </w:r>
      <w:r>
        <w:rPr>
          <w:spacing w:val="-4"/>
          <w:sz w:val="22"/>
        </w:rPr>
        <w:t> </w:t>
      </w:r>
      <w:r>
        <w:rPr>
          <w:sz w:val="22"/>
        </w:rPr>
        <w:t>M3</w:t>
      </w:r>
      <w:r>
        <w:rPr>
          <w:spacing w:val="-4"/>
          <w:sz w:val="22"/>
        </w:rPr>
        <w:t> </w:t>
      </w:r>
      <w:r>
        <w:rPr>
          <w:sz w:val="22"/>
        </w:rPr>
        <w:t>4FN,</w:t>
      </w:r>
      <w:r>
        <w:rPr>
          <w:spacing w:val="-4"/>
          <w:sz w:val="22"/>
        </w:rPr>
        <w:t> </w:t>
      </w:r>
      <w:r>
        <w:rPr>
          <w:sz w:val="22"/>
        </w:rPr>
        <w:t>in</w:t>
      </w:r>
      <w:r>
        <w:rPr>
          <w:spacing w:val="-4"/>
          <w:sz w:val="22"/>
        </w:rPr>
        <w:t> </w:t>
      </w:r>
      <w:r>
        <w:rPr>
          <w:sz w:val="22"/>
        </w:rPr>
        <w:t>the</w:t>
      </w:r>
      <w:r>
        <w:rPr>
          <w:spacing w:val="-4"/>
          <w:sz w:val="22"/>
        </w:rPr>
        <w:t> </w:t>
      </w:r>
      <w:r>
        <w:rPr>
          <w:sz w:val="22"/>
        </w:rPr>
        <w:t>city</w:t>
      </w:r>
      <w:r>
        <w:rPr>
          <w:spacing w:val="-4"/>
          <w:sz w:val="22"/>
        </w:rPr>
        <w:t> </w:t>
      </w:r>
      <w:r>
        <w:rPr>
          <w:sz w:val="22"/>
        </w:rPr>
        <w:t>centre</w:t>
      </w:r>
      <w:r>
        <w:rPr>
          <w:spacing w:val="-4"/>
          <w:sz w:val="22"/>
        </w:rPr>
        <w:t> </w:t>
      </w:r>
      <w:r>
        <w:rPr>
          <w:sz w:val="22"/>
        </w:rPr>
        <w:t>of</w:t>
      </w:r>
      <w:r>
        <w:rPr>
          <w:spacing w:val="-4"/>
          <w:sz w:val="22"/>
        </w:rPr>
        <w:t> </w:t>
      </w:r>
      <w:r>
        <w:rPr>
          <w:sz w:val="22"/>
        </w:rPr>
        <w:t>Manchester, within the administrative boundary of Manchester City Council. The national grid reference for the approximate centre of the Site is SJ 8365 9812.</w:t>
      </w:r>
    </w:p>
    <w:p>
      <w:pPr>
        <w:pStyle w:val="ListParagraph"/>
        <w:numPr>
          <w:ilvl w:val="1"/>
          <w:numId w:val="1"/>
        </w:numPr>
        <w:tabs>
          <w:tab w:pos="702" w:val="left" w:leader="none"/>
        </w:tabs>
        <w:spacing w:line="266" w:lineRule="auto" w:before="117" w:after="0"/>
        <w:ind w:left="360" w:right="119" w:firstLine="0"/>
        <w:jc w:val="both"/>
        <w:rPr>
          <w:sz w:val="22"/>
        </w:rPr>
      </w:pPr>
      <w:r>
        <w:rPr>
          <w:sz w:val="22"/>
        </w:rPr>
        <w:t>The Site has an approximate area of 0.28 hectares (0.69 acres) and is roughly rectangular in plan. It is bounded to the north by Deansgate, to the east by a six-storey office building, to the south</w:t>
      </w:r>
      <w:r>
        <w:rPr>
          <w:spacing w:val="-2"/>
          <w:sz w:val="22"/>
        </w:rPr>
        <w:t> </w:t>
      </w:r>
      <w:r>
        <w:rPr>
          <w:sz w:val="22"/>
        </w:rPr>
        <w:t>by</w:t>
      </w:r>
      <w:r>
        <w:rPr>
          <w:spacing w:val="-2"/>
          <w:sz w:val="22"/>
        </w:rPr>
        <w:t> </w:t>
      </w:r>
      <w:r>
        <w:rPr>
          <w:sz w:val="22"/>
        </w:rPr>
        <w:t>a</w:t>
      </w:r>
      <w:r>
        <w:rPr>
          <w:spacing w:val="-2"/>
          <w:sz w:val="22"/>
        </w:rPr>
        <w:t> </w:t>
      </w:r>
      <w:r>
        <w:rPr>
          <w:sz w:val="22"/>
        </w:rPr>
        <w:t>service</w:t>
      </w:r>
      <w:r>
        <w:rPr>
          <w:spacing w:val="-2"/>
          <w:sz w:val="22"/>
        </w:rPr>
        <w:t> </w:t>
      </w:r>
      <w:r>
        <w:rPr>
          <w:sz w:val="22"/>
        </w:rPr>
        <w:t>yard</w:t>
      </w:r>
      <w:r>
        <w:rPr>
          <w:spacing w:val="-2"/>
          <w:sz w:val="22"/>
        </w:rPr>
        <w:t> </w:t>
      </w:r>
      <w:r>
        <w:rPr>
          <w:sz w:val="22"/>
        </w:rPr>
        <w:t>and</w:t>
      </w:r>
      <w:r>
        <w:rPr>
          <w:spacing w:val="-2"/>
          <w:sz w:val="22"/>
        </w:rPr>
        <w:t> </w:t>
      </w:r>
      <w:r>
        <w:rPr>
          <w:sz w:val="22"/>
        </w:rPr>
        <w:t>rear</w:t>
      </w:r>
      <w:r>
        <w:rPr>
          <w:spacing w:val="-2"/>
          <w:sz w:val="22"/>
        </w:rPr>
        <w:t> </w:t>
      </w:r>
      <w:r>
        <w:rPr>
          <w:sz w:val="22"/>
        </w:rPr>
        <w:t>elevations</w:t>
      </w:r>
      <w:r>
        <w:rPr>
          <w:spacing w:val="-2"/>
          <w:sz w:val="22"/>
        </w:rPr>
        <w:t> </w:t>
      </w:r>
      <w:r>
        <w:rPr>
          <w:sz w:val="22"/>
        </w:rPr>
        <w:t>of</w:t>
      </w:r>
      <w:r>
        <w:rPr>
          <w:spacing w:val="-2"/>
          <w:sz w:val="22"/>
        </w:rPr>
        <w:t> </w:t>
      </w:r>
      <w:r>
        <w:rPr>
          <w:sz w:val="22"/>
        </w:rPr>
        <w:t>properties</w:t>
      </w:r>
      <w:r>
        <w:rPr>
          <w:spacing w:val="-2"/>
          <w:sz w:val="22"/>
        </w:rPr>
        <w:t> </w:t>
      </w:r>
      <w:r>
        <w:rPr>
          <w:sz w:val="22"/>
        </w:rPr>
        <w:t>fronting</w:t>
      </w:r>
      <w:r>
        <w:rPr>
          <w:spacing w:val="-2"/>
          <w:sz w:val="22"/>
        </w:rPr>
        <w:t> </w:t>
      </w:r>
      <w:r>
        <w:rPr>
          <w:sz w:val="22"/>
        </w:rPr>
        <w:t>St</w:t>
      </w:r>
      <w:r>
        <w:rPr>
          <w:spacing w:val="-2"/>
          <w:sz w:val="22"/>
        </w:rPr>
        <w:t> </w:t>
      </w:r>
      <w:r>
        <w:rPr>
          <w:sz w:val="22"/>
        </w:rPr>
        <w:t>Mary's</w:t>
      </w:r>
      <w:r>
        <w:rPr>
          <w:spacing w:val="-2"/>
          <w:sz w:val="22"/>
        </w:rPr>
        <w:t> </w:t>
      </w:r>
      <w:r>
        <w:rPr>
          <w:sz w:val="22"/>
        </w:rPr>
        <w:t>Street,</w:t>
      </w:r>
      <w:r>
        <w:rPr>
          <w:spacing w:val="-2"/>
          <w:sz w:val="22"/>
        </w:rPr>
        <w:t> </w:t>
      </w:r>
      <w:r>
        <w:rPr>
          <w:sz w:val="22"/>
        </w:rPr>
        <w:t>and</w:t>
      </w:r>
      <w:r>
        <w:rPr>
          <w:spacing w:val="-2"/>
          <w:sz w:val="22"/>
        </w:rPr>
        <w:t> </w:t>
      </w:r>
      <w:r>
        <w:rPr>
          <w:sz w:val="22"/>
        </w:rPr>
        <w:t>to</w:t>
      </w:r>
      <w:r>
        <w:rPr>
          <w:spacing w:val="-2"/>
          <w:sz w:val="22"/>
        </w:rPr>
        <w:t> </w:t>
      </w:r>
      <w:r>
        <w:rPr>
          <w:sz w:val="22"/>
        </w:rPr>
        <w:t>the</w:t>
      </w:r>
      <w:r>
        <w:rPr>
          <w:spacing w:val="-2"/>
          <w:sz w:val="22"/>
        </w:rPr>
        <w:t> </w:t>
      </w:r>
      <w:r>
        <w:rPr>
          <w:sz w:val="22"/>
        </w:rPr>
        <w:t>west by a narrow pedestrian alleyway and a multi-storey car park.</w:t>
      </w:r>
    </w:p>
    <w:p>
      <w:pPr>
        <w:pStyle w:val="ListParagraph"/>
        <w:numPr>
          <w:ilvl w:val="1"/>
          <w:numId w:val="1"/>
        </w:numPr>
        <w:tabs>
          <w:tab w:pos="757" w:val="left" w:leader="none"/>
        </w:tabs>
        <w:spacing w:line="266" w:lineRule="auto" w:before="117" w:after="0"/>
        <w:ind w:left="360" w:right="119" w:firstLine="0"/>
        <w:jc w:val="both"/>
        <w:rPr>
          <w:sz w:val="22"/>
        </w:rPr>
      </w:pPr>
      <w:r>
        <w:rPr>
          <w:sz w:val="22"/>
        </w:rPr>
        <w:t>The Site is currently occupied by a single four-storey building of load-bearing brick construction with a flat roof. The building dates from approximately 1920, with </w:t>
      </w:r>
      <w:r>
        <w:rPr>
          <w:sz w:val="22"/>
        </w:rPr>
        <w:t>internal alterations carried out at various times (most recently in 2002). The gross internal area is approximately 2,400 square metres. The building has been vacant and secured since 2019.</w:t>
      </w:r>
    </w:p>
    <w:p>
      <w:pPr>
        <w:pStyle w:val="ListParagraph"/>
        <w:numPr>
          <w:ilvl w:val="1"/>
          <w:numId w:val="1"/>
        </w:numPr>
        <w:tabs>
          <w:tab w:pos="690" w:val="left" w:leader="none"/>
        </w:tabs>
        <w:spacing w:line="240" w:lineRule="auto" w:before="117" w:after="0"/>
        <w:ind w:left="690" w:right="0" w:hanging="330"/>
        <w:jc w:val="both"/>
        <w:rPr>
          <w:sz w:val="22"/>
        </w:rPr>
      </w:pPr>
      <w:r>
        <w:rPr>
          <w:sz w:val="22"/>
        </w:rPr>
        <w:t>The historical uses of the Site are summarised as </w:t>
      </w:r>
      <w:r>
        <w:rPr>
          <w:spacing w:val="-2"/>
          <w:sz w:val="22"/>
        </w:rPr>
        <w:t>follows:</w:t>
      </w:r>
    </w:p>
    <w:p>
      <w:pPr>
        <w:pStyle w:val="ListParagraph"/>
        <w:numPr>
          <w:ilvl w:val="0"/>
          <w:numId w:val="2"/>
        </w:numPr>
        <w:tabs>
          <w:tab w:pos="732" w:val="left" w:leader="none"/>
        </w:tabs>
        <w:spacing w:line="240" w:lineRule="auto" w:before="147" w:after="0"/>
        <w:ind w:left="732" w:right="0" w:hanging="132"/>
        <w:jc w:val="left"/>
        <w:rPr>
          <w:sz w:val="22"/>
        </w:rPr>
      </w:pPr>
      <w:r>
        <w:rPr>
          <w:sz w:val="22"/>
        </w:rPr>
        <w:t>1920 - 1975: Textile warehouse (storage and distribution of cotton and wool </w:t>
      </w:r>
      <w:r>
        <w:rPr>
          <w:spacing w:val="-2"/>
          <w:sz w:val="22"/>
        </w:rPr>
        <w:t>goods)</w:t>
      </w:r>
    </w:p>
    <w:p>
      <w:pPr>
        <w:pStyle w:val="ListParagraph"/>
        <w:numPr>
          <w:ilvl w:val="0"/>
          <w:numId w:val="2"/>
        </w:numPr>
        <w:tabs>
          <w:tab w:pos="732" w:val="left" w:leader="none"/>
        </w:tabs>
        <w:spacing w:line="240" w:lineRule="auto" w:before="147" w:after="0"/>
        <w:ind w:left="732" w:right="0" w:hanging="132"/>
        <w:jc w:val="left"/>
        <w:rPr>
          <w:sz w:val="22"/>
        </w:rPr>
      </w:pPr>
      <w:r>
        <w:rPr>
          <w:sz w:val="22"/>
        </w:rPr>
        <w:t>1975 - 2002: Printing works (commercial printing, lithographic and offset </w:t>
      </w:r>
      <w:r>
        <w:rPr>
          <w:spacing w:val="-2"/>
          <w:sz w:val="22"/>
        </w:rPr>
        <w:t>processes)</w:t>
      </w:r>
    </w:p>
    <w:p>
      <w:pPr>
        <w:pStyle w:val="ListParagraph"/>
        <w:numPr>
          <w:ilvl w:val="0"/>
          <w:numId w:val="2"/>
        </w:numPr>
        <w:tabs>
          <w:tab w:pos="732" w:val="left" w:leader="none"/>
        </w:tabs>
        <w:spacing w:line="240" w:lineRule="auto" w:before="147" w:after="0"/>
        <w:ind w:left="732" w:right="0" w:hanging="132"/>
        <w:jc w:val="left"/>
        <w:rPr>
          <w:sz w:val="22"/>
        </w:rPr>
      </w:pPr>
      <w:r>
        <w:rPr>
          <w:sz w:val="22"/>
        </w:rPr>
        <w:t>2002 - 2019: General office accommodation (occupied by various </w:t>
      </w:r>
      <w:r>
        <w:rPr>
          <w:spacing w:val="-2"/>
          <w:sz w:val="22"/>
        </w:rPr>
        <w:t>tenants)</w:t>
      </w:r>
    </w:p>
    <w:p>
      <w:pPr>
        <w:pStyle w:val="ListParagraph"/>
        <w:numPr>
          <w:ilvl w:val="0"/>
          <w:numId w:val="2"/>
        </w:numPr>
        <w:tabs>
          <w:tab w:pos="732" w:val="left" w:leader="none"/>
        </w:tabs>
        <w:spacing w:line="240" w:lineRule="auto" w:before="147" w:after="0"/>
        <w:ind w:left="732" w:right="0" w:hanging="132"/>
        <w:jc w:val="left"/>
        <w:rPr>
          <w:sz w:val="22"/>
        </w:rPr>
      </w:pPr>
      <w:r>
        <w:rPr>
          <w:sz w:val="22"/>
        </w:rPr>
        <w:t>2019 - present: </w:t>
      </w:r>
      <w:r>
        <w:rPr>
          <w:spacing w:val="-2"/>
          <w:sz w:val="22"/>
        </w:rPr>
        <w:t>Vacant</w:t>
      </w:r>
    </w:p>
    <w:p>
      <w:pPr>
        <w:pStyle w:val="BodyText"/>
        <w:spacing w:before="136"/>
      </w:pPr>
    </w:p>
    <w:p>
      <w:pPr>
        <w:pStyle w:val="Heading2"/>
        <w:numPr>
          <w:ilvl w:val="0"/>
          <w:numId w:val="1"/>
        </w:numPr>
        <w:tabs>
          <w:tab w:pos="431" w:val="left" w:leader="none"/>
        </w:tabs>
        <w:spacing w:line="240" w:lineRule="auto" w:before="1" w:after="0"/>
        <w:ind w:left="431" w:right="0" w:hanging="311"/>
        <w:jc w:val="left"/>
      </w:pPr>
      <w:r>
        <w:rPr/>
        <w:t>Environmental </w:t>
      </w:r>
      <w:r>
        <w:rPr>
          <w:spacing w:val="-2"/>
        </w:rPr>
        <w:t>Setting</w:t>
      </w:r>
    </w:p>
    <w:p>
      <w:pPr>
        <w:pStyle w:val="ListParagraph"/>
        <w:numPr>
          <w:ilvl w:val="1"/>
          <w:numId w:val="1"/>
        </w:numPr>
        <w:tabs>
          <w:tab w:pos="706" w:val="left" w:leader="none"/>
        </w:tabs>
        <w:spacing w:line="266" w:lineRule="auto" w:before="195" w:after="0"/>
        <w:ind w:left="360" w:right="119" w:firstLine="0"/>
        <w:jc w:val="both"/>
        <w:rPr>
          <w:sz w:val="22"/>
        </w:rPr>
      </w:pPr>
      <w:r>
        <w:rPr>
          <w:b/>
          <w:sz w:val="22"/>
        </w:rPr>
        <w:t>Geology: </w:t>
      </w:r>
      <w:r>
        <w:rPr>
          <w:sz w:val="22"/>
        </w:rPr>
        <w:t>The published geological mapping (British Geological Survey 1:50,000 Sheet </w:t>
      </w:r>
      <w:r>
        <w:rPr>
          <w:sz w:val="22"/>
        </w:rPr>
        <w:t>85, Manchester) indicates that the Site is underlain by superficial deposits of glacial till (boulder clay) to a depth of approximately 5-8 metres, overlying bedrock of the Sherwood Sandstone Group</w:t>
      </w:r>
      <w:r>
        <w:rPr>
          <w:spacing w:val="29"/>
          <w:sz w:val="22"/>
        </w:rPr>
        <w:t> </w:t>
      </w:r>
      <w:r>
        <w:rPr>
          <w:sz w:val="22"/>
        </w:rPr>
        <w:t>(Chester</w:t>
      </w:r>
      <w:r>
        <w:rPr>
          <w:spacing w:val="29"/>
          <w:sz w:val="22"/>
        </w:rPr>
        <w:t> </w:t>
      </w:r>
      <w:r>
        <w:rPr>
          <w:sz w:val="22"/>
        </w:rPr>
        <w:t>Pebble</w:t>
      </w:r>
      <w:r>
        <w:rPr>
          <w:spacing w:val="29"/>
          <w:sz w:val="22"/>
        </w:rPr>
        <w:t> </w:t>
      </w:r>
      <w:r>
        <w:rPr>
          <w:sz w:val="22"/>
        </w:rPr>
        <w:t>Beds</w:t>
      </w:r>
      <w:r>
        <w:rPr>
          <w:spacing w:val="29"/>
          <w:sz w:val="22"/>
        </w:rPr>
        <w:t> </w:t>
      </w:r>
      <w:r>
        <w:rPr>
          <w:sz w:val="22"/>
        </w:rPr>
        <w:t>Formation).</w:t>
      </w:r>
      <w:r>
        <w:rPr>
          <w:spacing w:val="29"/>
          <w:sz w:val="22"/>
        </w:rPr>
        <w:t> </w:t>
      </w:r>
      <w:r>
        <w:rPr>
          <w:sz w:val="22"/>
        </w:rPr>
        <w:t>The</w:t>
      </w:r>
      <w:r>
        <w:rPr>
          <w:spacing w:val="29"/>
          <w:sz w:val="22"/>
        </w:rPr>
        <w:t> </w:t>
      </w:r>
      <w:r>
        <w:rPr>
          <w:sz w:val="22"/>
        </w:rPr>
        <w:t>glacial</w:t>
      </w:r>
      <w:r>
        <w:rPr>
          <w:spacing w:val="29"/>
          <w:sz w:val="22"/>
        </w:rPr>
        <w:t> </w:t>
      </w:r>
      <w:r>
        <w:rPr>
          <w:sz w:val="22"/>
        </w:rPr>
        <w:t>till</w:t>
      </w:r>
      <w:r>
        <w:rPr>
          <w:spacing w:val="29"/>
          <w:sz w:val="22"/>
        </w:rPr>
        <w:t> </w:t>
      </w:r>
      <w:r>
        <w:rPr>
          <w:sz w:val="22"/>
        </w:rPr>
        <w:t>typically</w:t>
      </w:r>
      <w:r>
        <w:rPr>
          <w:spacing w:val="29"/>
          <w:sz w:val="22"/>
        </w:rPr>
        <w:t> </w:t>
      </w:r>
      <w:r>
        <w:rPr>
          <w:sz w:val="22"/>
        </w:rPr>
        <w:t>comprises</w:t>
      </w:r>
      <w:r>
        <w:rPr>
          <w:spacing w:val="29"/>
          <w:sz w:val="22"/>
        </w:rPr>
        <w:t> </w:t>
      </w:r>
      <w:r>
        <w:rPr>
          <w:sz w:val="22"/>
        </w:rPr>
        <w:t>stiff</w:t>
      </w:r>
      <w:r>
        <w:rPr>
          <w:spacing w:val="29"/>
          <w:sz w:val="22"/>
        </w:rPr>
        <w:t> </w:t>
      </w:r>
      <w:r>
        <w:rPr>
          <w:sz w:val="22"/>
        </w:rPr>
        <w:t>to</w:t>
      </w:r>
      <w:r>
        <w:rPr>
          <w:spacing w:val="29"/>
          <w:sz w:val="22"/>
        </w:rPr>
        <w:t> </w:t>
      </w:r>
      <w:r>
        <w:rPr>
          <w:sz w:val="22"/>
        </w:rPr>
        <w:t>very</w:t>
      </w:r>
      <w:r>
        <w:rPr>
          <w:spacing w:val="29"/>
          <w:sz w:val="22"/>
        </w:rPr>
        <w:t> </w:t>
      </w:r>
      <w:r>
        <w:rPr>
          <w:spacing w:val="-2"/>
          <w:sz w:val="22"/>
        </w:rPr>
        <w:t>stiff</w:t>
      </w:r>
    </w:p>
    <w:p>
      <w:pPr>
        <w:pStyle w:val="ListParagraph"/>
        <w:spacing w:after="0" w:line="266" w:lineRule="auto"/>
        <w:jc w:val="both"/>
        <w:rPr>
          <w:sz w:val="22"/>
        </w:rPr>
        <w:sectPr>
          <w:pgSz w:w="11910" w:h="16840"/>
          <w:pgMar w:header="762" w:footer="745" w:top="1640" w:bottom="940" w:left="1417" w:right="1417"/>
        </w:sectPr>
      </w:pPr>
    </w:p>
    <w:p>
      <w:pPr>
        <w:pStyle w:val="BodyText"/>
        <w:spacing w:before="80"/>
        <w:ind w:left="360"/>
      </w:pPr>
      <w:r>
        <w:rPr/>
        <w:t>brown sandy clay with occasional gravel and </w:t>
      </w:r>
      <w:r>
        <w:rPr>
          <w:spacing w:val="-2"/>
        </w:rPr>
        <w:t>cobbles.</w:t>
      </w:r>
    </w:p>
    <w:p>
      <w:pPr>
        <w:pStyle w:val="ListParagraph"/>
        <w:numPr>
          <w:ilvl w:val="1"/>
          <w:numId w:val="1"/>
        </w:numPr>
        <w:tabs>
          <w:tab w:pos="696" w:val="left" w:leader="none"/>
        </w:tabs>
        <w:spacing w:line="266" w:lineRule="auto" w:before="147" w:after="0"/>
        <w:ind w:left="360" w:right="118" w:firstLine="0"/>
        <w:jc w:val="both"/>
        <w:rPr>
          <w:sz w:val="22"/>
        </w:rPr>
      </w:pPr>
      <w:r>
        <w:rPr>
          <w:b/>
          <w:sz w:val="22"/>
        </w:rPr>
        <w:t>Hydrogeology: </w:t>
      </w:r>
      <w:r>
        <w:rPr>
          <w:sz w:val="22"/>
        </w:rPr>
        <w:t>The Sherwood Sandstone Group is classified by the Environment Agency as a Principal Aquifer, representing a regionally significant groundwater resource. The </w:t>
      </w:r>
      <w:r>
        <w:rPr>
          <w:sz w:val="22"/>
        </w:rPr>
        <w:t>overlying glacial till is classified as a Secondary (Undifferentiated) Aquifer, which may locally provide some protection to the underlying principal aquifer. Groundwater flow direction is anticipated to be generally westward towards the River Irwell.</w:t>
      </w:r>
    </w:p>
    <w:p>
      <w:pPr>
        <w:pStyle w:val="ListParagraph"/>
        <w:numPr>
          <w:ilvl w:val="1"/>
          <w:numId w:val="1"/>
        </w:numPr>
        <w:tabs>
          <w:tab w:pos="773" w:val="left" w:leader="none"/>
        </w:tabs>
        <w:spacing w:line="266" w:lineRule="auto" w:before="116" w:after="0"/>
        <w:ind w:left="360" w:right="119" w:firstLine="0"/>
        <w:jc w:val="both"/>
        <w:rPr>
          <w:sz w:val="22"/>
        </w:rPr>
      </w:pPr>
      <w:r>
        <w:rPr>
          <w:b/>
          <w:sz w:val="22"/>
        </w:rPr>
        <w:t>Hydrology: </w:t>
      </w:r>
      <w:r>
        <w:rPr>
          <w:sz w:val="22"/>
        </w:rPr>
        <w:t>The nearest significant surface watercourse is the River Irwell, located approximately 180 metres to the north-west of the Site. The River Irwell at this location is classified as a Main River under the jurisdiction of the Environment Agency. The Bridgewater Canal is located approximately 350 metres to the south of the Site.</w:t>
      </w:r>
    </w:p>
    <w:p>
      <w:pPr>
        <w:pStyle w:val="ListParagraph"/>
        <w:numPr>
          <w:ilvl w:val="1"/>
          <w:numId w:val="1"/>
        </w:numPr>
        <w:tabs>
          <w:tab w:pos="730" w:val="left" w:leader="none"/>
        </w:tabs>
        <w:spacing w:line="266" w:lineRule="auto" w:before="117" w:after="0"/>
        <w:ind w:left="360" w:right="119" w:firstLine="0"/>
        <w:jc w:val="both"/>
        <w:rPr>
          <w:sz w:val="22"/>
        </w:rPr>
      </w:pPr>
      <w:r>
        <w:rPr>
          <w:b/>
          <w:sz w:val="22"/>
        </w:rPr>
        <w:t>Flood risk: </w:t>
      </w:r>
      <w:r>
        <w:rPr>
          <w:sz w:val="22"/>
        </w:rPr>
        <w:t>The Environment Agency Flood Map for Planning indicates that the Site </w:t>
      </w:r>
      <w:r>
        <w:rPr>
          <w:sz w:val="22"/>
        </w:rPr>
        <w:t>is located within Flood Zone 2, meaning that there is a medium probability of flooding (between 1 in 100 and 1 in 1,000 annual probability of river flooding). The Site is not within an area benefiting from flood defences.</w:t>
      </w:r>
    </w:p>
    <w:p>
      <w:pPr>
        <w:pStyle w:val="BodyText"/>
        <w:spacing w:before="106"/>
      </w:pPr>
    </w:p>
    <w:p>
      <w:pPr>
        <w:pStyle w:val="Heading2"/>
        <w:numPr>
          <w:ilvl w:val="0"/>
          <w:numId w:val="1"/>
        </w:numPr>
        <w:tabs>
          <w:tab w:pos="431" w:val="left" w:leader="none"/>
        </w:tabs>
        <w:spacing w:line="240" w:lineRule="auto" w:before="1" w:after="0"/>
        <w:ind w:left="431" w:right="0" w:hanging="311"/>
        <w:jc w:val="left"/>
      </w:pPr>
      <w:r>
        <w:rPr/>
        <w:t>Regulatory </w:t>
      </w:r>
      <w:r>
        <w:rPr>
          <w:spacing w:val="-2"/>
        </w:rPr>
        <w:t>Review</w:t>
      </w:r>
    </w:p>
    <w:p>
      <w:pPr>
        <w:pStyle w:val="Heading3"/>
        <w:numPr>
          <w:ilvl w:val="1"/>
          <w:numId w:val="1"/>
        </w:numPr>
        <w:tabs>
          <w:tab w:pos="760" w:val="left" w:leader="none"/>
        </w:tabs>
        <w:spacing w:line="240" w:lineRule="auto" w:before="275" w:after="0"/>
        <w:ind w:left="760" w:right="0" w:hanging="400"/>
        <w:jc w:val="left"/>
      </w:pPr>
      <w:r>
        <w:rPr/>
        <w:t>Contaminated Land </w:t>
      </w:r>
      <w:r>
        <w:rPr>
          <w:spacing w:val="-2"/>
        </w:rPr>
        <w:t>Register</w:t>
      </w:r>
    </w:p>
    <w:p>
      <w:pPr>
        <w:pStyle w:val="ListParagraph"/>
        <w:numPr>
          <w:ilvl w:val="2"/>
          <w:numId w:val="1"/>
        </w:numPr>
        <w:tabs>
          <w:tab w:pos="1113" w:val="left" w:leader="none"/>
        </w:tabs>
        <w:spacing w:line="266" w:lineRule="auto" w:before="144" w:after="0"/>
        <w:ind w:left="600" w:right="119" w:firstLine="0"/>
        <w:jc w:val="both"/>
        <w:rPr>
          <w:sz w:val="22"/>
        </w:rPr>
      </w:pPr>
      <w:r>
        <w:rPr>
          <w:sz w:val="22"/>
        </w:rPr>
        <w:t>A search of Manchester City Council's Contaminated Land Register (maintained </w:t>
      </w:r>
      <w:r>
        <w:rPr>
          <w:sz w:val="22"/>
        </w:rPr>
        <w:t>under Part IIA of the Environmental Protection Act 1990) confirms that the Site has not been determined as contaminated land. No remediation notices, charging notices or appeals relating to the Site were identified.</w:t>
      </w:r>
    </w:p>
    <w:p>
      <w:pPr>
        <w:pStyle w:val="Heading3"/>
        <w:numPr>
          <w:ilvl w:val="1"/>
          <w:numId w:val="1"/>
        </w:numPr>
        <w:tabs>
          <w:tab w:pos="760" w:val="left" w:leader="none"/>
        </w:tabs>
        <w:spacing w:line="240" w:lineRule="auto" w:before="237" w:after="0"/>
        <w:ind w:left="760" w:right="0" w:hanging="400"/>
        <w:jc w:val="left"/>
      </w:pPr>
      <w:r>
        <w:rPr/>
        <w:t>Historical Pollution </w:t>
      </w:r>
      <w:r>
        <w:rPr>
          <w:spacing w:val="-2"/>
        </w:rPr>
        <w:t>Incidents</w:t>
      </w:r>
    </w:p>
    <w:p>
      <w:pPr>
        <w:pStyle w:val="ListParagraph"/>
        <w:numPr>
          <w:ilvl w:val="2"/>
          <w:numId w:val="1"/>
        </w:numPr>
        <w:tabs>
          <w:tab w:pos="1122" w:val="left" w:leader="none"/>
        </w:tabs>
        <w:spacing w:line="266" w:lineRule="auto" w:before="144" w:after="0"/>
        <w:ind w:left="600" w:right="119" w:firstLine="0"/>
        <w:jc w:val="both"/>
        <w:rPr>
          <w:sz w:val="22"/>
        </w:rPr>
      </w:pPr>
      <w:r>
        <w:rPr>
          <w:sz w:val="22"/>
        </w:rPr>
        <w:t>A review of Environment Agency records identified two historical pollution </w:t>
      </w:r>
      <w:r>
        <w:rPr>
          <w:sz w:val="22"/>
        </w:rPr>
        <w:t>incidents within a 250-metre radius of the Site:</w:t>
      </w:r>
    </w:p>
    <w:p>
      <w:pPr>
        <w:pStyle w:val="ListParagraph"/>
        <w:numPr>
          <w:ilvl w:val="3"/>
          <w:numId w:val="1"/>
        </w:numPr>
        <w:tabs>
          <w:tab w:pos="1159" w:val="left" w:leader="none"/>
        </w:tabs>
        <w:spacing w:line="266" w:lineRule="auto" w:before="118" w:after="0"/>
        <w:ind w:left="840" w:right="119" w:firstLine="0"/>
        <w:jc w:val="both"/>
        <w:rPr>
          <w:sz w:val="22"/>
        </w:rPr>
      </w:pPr>
      <w:r>
        <w:rPr>
          <w:b/>
          <w:sz w:val="22"/>
        </w:rPr>
        <w:t>Fuel spillage (1987): </w:t>
      </w:r>
      <w:r>
        <w:rPr>
          <w:sz w:val="22"/>
        </w:rPr>
        <w:t>A release of approximately 500 litres of diesel fuel from a road tanker on Deansgate, approximately 120 metres north-east of the Site. The incident </w:t>
      </w:r>
      <w:r>
        <w:rPr>
          <w:sz w:val="22"/>
        </w:rPr>
        <w:t>was responded to by the then National Rivers Authority and the spillage was contained and cleaned up. The case was closed in 1988 with no further action required.</w:t>
      </w:r>
    </w:p>
    <w:p>
      <w:pPr>
        <w:pStyle w:val="ListParagraph"/>
        <w:numPr>
          <w:ilvl w:val="3"/>
          <w:numId w:val="1"/>
        </w:numPr>
        <w:tabs>
          <w:tab w:pos="1154" w:val="left" w:leader="none"/>
        </w:tabs>
        <w:spacing w:line="266" w:lineRule="auto" w:before="117" w:after="0"/>
        <w:ind w:left="840" w:right="118" w:firstLine="0"/>
        <w:jc w:val="both"/>
        <w:rPr>
          <w:sz w:val="22"/>
        </w:rPr>
      </w:pPr>
      <w:r>
        <w:rPr>
          <w:b/>
          <w:sz w:val="22"/>
        </w:rPr>
        <w:t>Solvent discharge (1993): </w:t>
      </w:r>
      <w:r>
        <w:rPr>
          <w:sz w:val="22"/>
        </w:rPr>
        <w:t>An unauthorised discharge of chlorinated solvents to </w:t>
      </w:r>
      <w:r>
        <w:rPr>
          <w:sz w:val="22"/>
        </w:rPr>
        <w:t>surface water drainage from a dry cleaning premises on Bridge Street, approximately 200 metres north-west of the Site. Remedial action was taken by the operator under the supervision of the Environment Agency. Subsequent monitoring confirmed that groundwater quality had returned to acceptable levels. The case was closed in 1997.</w:t>
      </w:r>
    </w:p>
    <w:p>
      <w:pPr>
        <w:pStyle w:val="Heading3"/>
        <w:numPr>
          <w:ilvl w:val="1"/>
          <w:numId w:val="1"/>
        </w:numPr>
        <w:tabs>
          <w:tab w:pos="760" w:val="left" w:leader="none"/>
        </w:tabs>
        <w:spacing w:line="240" w:lineRule="auto" w:before="236" w:after="0"/>
        <w:ind w:left="760" w:right="0" w:hanging="400"/>
        <w:jc w:val="left"/>
      </w:pPr>
      <w:r>
        <w:rPr/>
        <w:t>Air </w:t>
      </w:r>
      <w:r>
        <w:rPr>
          <w:spacing w:val="-2"/>
        </w:rPr>
        <w:t>Quality</w:t>
      </w:r>
    </w:p>
    <w:p>
      <w:pPr>
        <w:pStyle w:val="ListParagraph"/>
        <w:numPr>
          <w:ilvl w:val="2"/>
          <w:numId w:val="1"/>
        </w:numPr>
        <w:tabs>
          <w:tab w:pos="1156" w:val="left" w:leader="none"/>
        </w:tabs>
        <w:spacing w:line="266" w:lineRule="auto" w:before="144" w:after="0"/>
        <w:ind w:left="600" w:right="118" w:firstLine="0"/>
        <w:jc w:val="both"/>
        <w:rPr>
          <w:sz w:val="22"/>
        </w:rPr>
      </w:pPr>
      <w:r>
        <w:rPr>
          <w:sz w:val="22"/>
        </w:rPr>
        <w:t>The Site is located within the Greater Manchester Air Quality Management </w:t>
      </w:r>
      <w:r>
        <w:rPr>
          <w:sz w:val="22"/>
        </w:rPr>
        <w:t>Area (AQMA), declared in 2016 for exceedances of annual mean nitrogen dioxide (NO2) concentrations. The AQMA encompasses the majority of the city centre and major transport corridors. Manchester City Council has published an Air Quality Action Plan (updated 2022) setting out measures to achieve compliance with national air quality objectives.</w:t>
      </w:r>
    </w:p>
    <w:p>
      <w:pPr>
        <w:pStyle w:val="Heading3"/>
        <w:numPr>
          <w:ilvl w:val="1"/>
          <w:numId w:val="1"/>
        </w:numPr>
        <w:tabs>
          <w:tab w:pos="760" w:val="left" w:leader="none"/>
        </w:tabs>
        <w:spacing w:line="240" w:lineRule="auto" w:before="236" w:after="0"/>
        <w:ind w:left="760" w:right="0" w:hanging="400"/>
        <w:jc w:val="left"/>
      </w:pPr>
      <w:r>
        <w:rPr/>
        <w:t>Environmental </w:t>
      </w:r>
      <w:r>
        <w:rPr>
          <w:spacing w:val="-2"/>
        </w:rPr>
        <w:t>Permits</w:t>
      </w:r>
    </w:p>
    <w:p>
      <w:pPr>
        <w:pStyle w:val="Heading3"/>
        <w:spacing w:after="0" w:line="240" w:lineRule="auto"/>
        <w:jc w:val="left"/>
        <w:sectPr>
          <w:pgSz w:w="11910" w:h="16840"/>
          <w:pgMar w:header="762" w:footer="745" w:top="1640" w:bottom="940" w:left="1417" w:right="1417"/>
        </w:sectPr>
      </w:pPr>
    </w:p>
    <w:p>
      <w:pPr>
        <w:pStyle w:val="ListParagraph"/>
        <w:numPr>
          <w:ilvl w:val="2"/>
          <w:numId w:val="1"/>
        </w:numPr>
        <w:tabs>
          <w:tab w:pos="1096" w:val="left" w:leader="none"/>
        </w:tabs>
        <w:spacing w:line="266" w:lineRule="auto" w:before="80" w:after="0"/>
        <w:ind w:left="600" w:right="119" w:firstLine="0"/>
        <w:jc w:val="both"/>
        <w:rPr>
          <w:sz w:val="22"/>
        </w:rPr>
      </w:pPr>
      <w:r>
        <w:rPr>
          <w:sz w:val="22"/>
        </w:rPr>
        <w:t>A</w:t>
      </w:r>
      <w:r>
        <w:rPr>
          <w:spacing w:val="-2"/>
          <w:sz w:val="22"/>
        </w:rPr>
        <w:t> </w:t>
      </w:r>
      <w:r>
        <w:rPr>
          <w:sz w:val="22"/>
        </w:rPr>
        <w:t>search</w:t>
      </w:r>
      <w:r>
        <w:rPr>
          <w:spacing w:val="-2"/>
          <w:sz w:val="22"/>
        </w:rPr>
        <w:t> </w:t>
      </w:r>
      <w:r>
        <w:rPr>
          <w:sz w:val="22"/>
        </w:rPr>
        <w:t>of</w:t>
      </w:r>
      <w:r>
        <w:rPr>
          <w:spacing w:val="-2"/>
          <w:sz w:val="22"/>
        </w:rPr>
        <w:t> </w:t>
      </w:r>
      <w:r>
        <w:rPr>
          <w:sz w:val="22"/>
        </w:rPr>
        <w:t>the</w:t>
      </w:r>
      <w:r>
        <w:rPr>
          <w:spacing w:val="-2"/>
          <w:sz w:val="22"/>
        </w:rPr>
        <w:t> </w:t>
      </w:r>
      <w:r>
        <w:rPr>
          <w:sz w:val="22"/>
        </w:rPr>
        <w:t>Environment</w:t>
      </w:r>
      <w:r>
        <w:rPr>
          <w:spacing w:val="-2"/>
          <w:sz w:val="22"/>
        </w:rPr>
        <w:t> </w:t>
      </w:r>
      <w:r>
        <w:rPr>
          <w:sz w:val="22"/>
        </w:rPr>
        <w:t>Agency's</w:t>
      </w:r>
      <w:r>
        <w:rPr>
          <w:spacing w:val="-2"/>
          <w:sz w:val="22"/>
        </w:rPr>
        <w:t> </w:t>
      </w:r>
      <w:r>
        <w:rPr>
          <w:sz w:val="22"/>
        </w:rPr>
        <w:t>public</w:t>
      </w:r>
      <w:r>
        <w:rPr>
          <w:spacing w:val="-2"/>
          <w:sz w:val="22"/>
        </w:rPr>
        <w:t> </w:t>
      </w:r>
      <w:r>
        <w:rPr>
          <w:sz w:val="22"/>
        </w:rPr>
        <w:t>register</w:t>
      </w:r>
      <w:r>
        <w:rPr>
          <w:spacing w:val="-2"/>
          <w:sz w:val="22"/>
        </w:rPr>
        <w:t> </w:t>
      </w:r>
      <w:r>
        <w:rPr>
          <w:sz w:val="22"/>
        </w:rPr>
        <w:t>of</w:t>
      </w:r>
      <w:r>
        <w:rPr>
          <w:spacing w:val="-2"/>
          <w:sz w:val="22"/>
        </w:rPr>
        <w:t> </w:t>
      </w:r>
      <w:r>
        <w:rPr>
          <w:sz w:val="22"/>
        </w:rPr>
        <w:t>environmental</w:t>
      </w:r>
      <w:r>
        <w:rPr>
          <w:spacing w:val="-2"/>
          <w:sz w:val="22"/>
        </w:rPr>
        <w:t> </w:t>
      </w:r>
      <w:r>
        <w:rPr>
          <w:sz w:val="22"/>
        </w:rPr>
        <w:t>permits</w:t>
      </w:r>
      <w:r>
        <w:rPr>
          <w:spacing w:val="-2"/>
          <w:sz w:val="22"/>
        </w:rPr>
        <w:t> </w:t>
      </w:r>
      <w:r>
        <w:rPr>
          <w:sz w:val="22"/>
        </w:rPr>
        <w:t>confirms that there are no current or historical environmental permits (including waste management licences, integrated pollution control authorisations, or pollution prevention and control permits) associated with the Site.</w:t>
      </w:r>
    </w:p>
    <w:p>
      <w:pPr>
        <w:pStyle w:val="BodyText"/>
        <w:spacing w:before="107"/>
      </w:pPr>
    </w:p>
    <w:p>
      <w:pPr>
        <w:pStyle w:val="Heading2"/>
        <w:numPr>
          <w:ilvl w:val="0"/>
          <w:numId w:val="1"/>
        </w:numPr>
        <w:tabs>
          <w:tab w:pos="431" w:val="left" w:leader="none"/>
        </w:tabs>
        <w:spacing w:line="240" w:lineRule="auto" w:before="0" w:after="0"/>
        <w:ind w:left="431" w:right="0" w:hanging="311"/>
        <w:jc w:val="left"/>
      </w:pPr>
      <w:r>
        <w:rPr/>
        <w:t>Historical Use </w:t>
      </w:r>
      <w:r>
        <w:rPr>
          <w:spacing w:val="-2"/>
        </w:rPr>
        <w:t>Review</w:t>
      </w:r>
    </w:p>
    <w:p>
      <w:pPr>
        <w:pStyle w:val="Heading3"/>
        <w:numPr>
          <w:ilvl w:val="1"/>
          <w:numId w:val="1"/>
        </w:numPr>
        <w:tabs>
          <w:tab w:pos="760" w:val="left" w:leader="none"/>
        </w:tabs>
        <w:spacing w:line="240" w:lineRule="auto" w:before="275" w:after="0"/>
        <w:ind w:left="760" w:right="0" w:hanging="400"/>
        <w:jc w:val="left"/>
      </w:pPr>
      <w:r>
        <w:rPr/>
        <w:t>Ordnance Survey Map </w:t>
      </w:r>
      <w:r>
        <w:rPr>
          <w:spacing w:val="-2"/>
        </w:rPr>
        <w:t>Regression</w:t>
      </w:r>
    </w:p>
    <w:p>
      <w:pPr>
        <w:pStyle w:val="ListParagraph"/>
        <w:numPr>
          <w:ilvl w:val="2"/>
          <w:numId w:val="1"/>
        </w:numPr>
        <w:tabs>
          <w:tab w:pos="1095" w:val="left" w:leader="none"/>
        </w:tabs>
        <w:spacing w:line="266" w:lineRule="auto" w:before="144" w:after="0"/>
        <w:ind w:left="600" w:right="119" w:firstLine="0"/>
        <w:jc w:val="both"/>
        <w:rPr>
          <w:sz w:val="22"/>
        </w:rPr>
      </w:pPr>
      <w:r>
        <w:rPr>
          <w:sz w:val="22"/>
        </w:rPr>
        <w:t>A</w:t>
      </w:r>
      <w:r>
        <w:rPr>
          <w:spacing w:val="-2"/>
          <w:sz w:val="22"/>
        </w:rPr>
        <w:t> </w:t>
      </w:r>
      <w:r>
        <w:rPr>
          <w:sz w:val="22"/>
        </w:rPr>
        <w:t>review</w:t>
      </w:r>
      <w:r>
        <w:rPr>
          <w:spacing w:val="-2"/>
          <w:sz w:val="22"/>
        </w:rPr>
        <w:t> </w:t>
      </w:r>
      <w:r>
        <w:rPr>
          <w:sz w:val="22"/>
        </w:rPr>
        <w:t>of</w:t>
      </w:r>
      <w:r>
        <w:rPr>
          <w:spacing w:val="-2"/>
          <w:sz w:val="22"/>
        </w:rPr>
        <w:t> </w:t>
      </w:r>
      <w:r>
        <w:rPr>
          <w:sz w:val="22"/>
        </w:rPr>
        <w:t>historical</w:t>
      </w:r>
      <w:r>
        <w:rPr>
          <w:spacing w:val="-2"/>
          <w:sz w:val="22"/>
        </w:rPr>
        <w:t> </w:t>
      </w:r>
      <w:r>
        <w:rPr>
          <w:sz w:val="22"/>
        </w:rPr>
        <w:t>Ordnance</w:t>
      </w:r>
      <w:r>
        <w:rPr>
          <w:spacing w:val="-2"/>
          <w:sz w:val="22"/>
        </w:rPr>
        <w:t> </w:t>
      </w:r>
      <w:r>
        <w:rPr>
          <w:sz w:val="22"/>
        </w:rPr>
        <w:t>Survey</w:t>
      </w:r>
      <w:r>
        <w:rPr>
          <w:spacing w:val="-2"/>
          <w:sz w:val="22"/>
        </w:rPr>
        <w:t> </w:t>
      </w:r>
      <w:r>
        <w:rPr>
          <w:sz w:val="22"/>
        </w:rPr>
        <w:t>maps</w:t>
      </w:r>
      <w:r>
        <w:rPr>
          <w:spacing w:val="-2"/>
          <w:sz w:val="22"/>
        </w:rPr>
        <w:t> </w:t>
      </w:r>
      <w:r>
        <w:rPr>
          <w:sz w:val="22"/>
        </w:rPr>
        <w:t>from</w:t>
      </w:r>
      <w:r>
        <w:rPr>
          <w:spacing w:val="-2"/>
          <w:sz w:val="22"/>
        </w:rPr>
        <w:t> </w:t>
      </w:r>
      <w:r>
        <w:rPr>
          <w:sz w:val="22"/>
        </w:rPr>
        <w:t>1890</w:t>
      </w:r>
      <w:r>
        <w:rPr>
          <w:spacing w:val="-2"/>
          <w:sz w:val="22"/>
        </w:rPr>
        <w:t> </w:t>
      </w:r>
      <w:r>
        <w:rPr>
          <w:sz w:val="22"/>
        </w:rPr>
        <w:t>to</w:t>
      </w:r>
      <w:r>
        <w:rPr>
          <w:spacing w:val="-2"/>
          <w:sz w:val="22"/>
        </w:rPr>
        <w:t> </w:t>
      </w:r>
      <w:r>
        <w:rPr>
          <w:sz w:val="22"/>
        </w:rPr>
        <w:t>the</w:t>
      </w:r>
      <w:r>
        <w:rPr>
          <w:spacing w:val="-2"/>
          <w:sz w:val="22"/>
        </w:rPr>
        <w:t> </w:t>
      </w:r>
      <w:r>
        <w:rPr>
          <w:sz w:val="22"/>
        </w:rPr>
        <w:t>present</w:t>
      </w:r>
      <w:r>
        <w:rPr>
          <w:spacing w:val="-2"/>
          <w:sz w:val="22"/>
        </w:rPr>
        <w:t> </w:t>
      </w:r>
      <w:r>
        <w:rPr>
          <w:sz w:val="22"/>
        </w:rPr>
        <w:t>day</w:t>
      </w:r>
      <w:r>
        <w:rPr>
          <w:spacing w:val="-2"/>
          <w:sz w:val="22"/>
        </w:rPr>
        <w:t> </w:t>
      </w:r>
      <w:r>
        <w:rPr>
          <w:sz w:val="22"/>
        </w:rPr>
        <w:t>confirms</w:t>
      </w:r>
      <w:r>
        <w:rPr>
          <w:spacing w:val="-2"/>
          <w:sz w:val="22"/>
        </w:rPr>
        <w:t> </w:t>
      </w:r>
      <w:r>
        <w:rPr>
          <w:sz w:val="22"/>
        </w:rPr>
        <w:t>that the Site and surrounding area have been in continuous commercial and mixed-</w:t>
      </w:r>
      <w:r>
        <w:rPr>
          <w:sz w:val="22"/>
        </w:rPr>
        <w:t>use</w:t>
      </w:r>
      <w:r>
        <w:rPr>
          <w:spacing w:val="40"/>
          <w:sz w:val="22"/>
        </w:rPr>
        <w:t> </w:t>
      </w:r>
      <w:r>
        <w:rPr>
          <w:sz w:val="22"/>
        </w:rPr>
        <w:t>development since at least the late 19th century. Key observations from the map regression</w:t>
      </w:r>
      <w:r>
        <w:rPr>
          <w:spacing w:val="40"/>
          <w:sz w:val="22"/>
        </w:rPr>
        <w:t> </w:t>
      </w:r>
      <w:r>
        <w:rPr>
          <w:spacing w:val="-4"/>
          <w:sz w:val="22"/>
        </w:rPr>
        <w:t>are:</w:t>
      </w:r>
    </w:p>
    <w:p>
      <w:pPr>
        <w:pStyle w:val="ListParagraph"/>
        <w:numPr>
          <w:ilvl w:val="0"/>
          <w:numId w:val="3"/>
        </w:numPr>
        <w:tabs>
          <w:tab w:pos="1058" w:val="left" w:leader="none"/>
        </w:tabs>
        <w:spacing w:line="266" w:lineRule="auto" w:before="117" w:after="0"/>
        <w:ind w:left="840" w:right="118" w:firstLine="0"/>
        <w:jc w:val="left"/>
        <w:rPr>
          <w:sz w:val="22"/>
        </w:rPr>
      </w:pPr>
      <w:r>
        <w:rPr>
          <w:sz w:val="22"/>
        </w:rPr>
        <w:t>1890</w:t>
      </w:r>
      <w:r>
        <w:rPr>
          <w:spacing w:val="80"/>
          <w:sz w:val="22"/>
        </w:rPr>
        <w:t> </w:t>
      </w:r>
      <w:r>
        <w:rPr>
          <w:sz w:val="22"/>
        </w:rPr>
        <w:t>(1:2,500):</w:t>
      </w:r>
      <w:r>
        <w:rPr>
          <w:spacing w:val="80"/>
          <w:sz w:val="22"/>
        </w:rPr>
        <w:t> </w:t>
      </w:r>
      <w:r>
        <w:rPr>
          <w:sz w:val="22"/>
        </w:rPr>
        <w:t>Site</w:t>
      </w:r>
      <w:r>
        <w:rPr>
          <w:spacing w:val="80"/>
          <w:sz w:val="22"/>
        </w:rPr>
        <w:t> </w:t>
      </w:r>
      <w:r>
        <w:rPr>
          <w:sz w:val="22"/>
        </w:rPr>
        <w:t>shown</w:t>
      </w:r>
      <w:r>
        <w:rPr>
          <w:spacing w:val="80"/>
          <w:sz w:val="22"/>
        </w:rPr>
        <w:t> </w:t>
      </w:r>
      <w:r>
        <w:rPr>
          <w:sz w:val="22"/>
        </w:rPr>
        <w:t>occupied</w:t>
      </w:r>
      <w:r>
        <w:rPr>
          <w:spacing w:val="80"/>
          <w:sz w:val="22"/>
        </w:rPr>
        <w:t> </w:t>
      </w:r>
      <w:r>
        <w:rPr>
          <w:sz w:val="22"/>
        </w:rPr>
        <w:t>by</w:t>
      </w:r>
      <w:r>
        <w:rPr>
          <w:spacing w:val="80"/>
          <w:sz w:val="22"/>
        </w:rPr>
        <w:t> </w:t>
      </w:r>
      <w:r>
        <w:rPr>
          <w:sz w:val="22"/>
        </w:rPr>
        <w:t>commercial</w:t>
      </w:r>
      <w:r>
        <w:rPr>
          <w:spacing w:val="80"/>
          <w:sz w:val="22"/>
        </w:rPr>
        <w:t> </w:t>
      </w:r>
      <w:r>
        <w:rPr>
          <w:sz w:val="22"/>
        </w:rPr>
        <w:t>buildings.</w:t>
      </w:r>
      <w:r>
        <w:rPr>
          <w:spacing w:val="80"/>
          <w:sz w:val="22"/>
        </w:rPr>
        <w:t> </w:t>
      </w:r>
      <w:r>
        <w:rPr>
          <w:sz w:val="22"/>
        </w:rPr>
        <w:t>Surrounding</w:t>
      </w:r>
      <w:r>
        <w:rPr>
          <w:spacing w:val="80"/>
          <w:sz w:val="22"/>
        </w:rPr>
        <w:t> </w:t>
      </w:r>
      <w:r>
        <w:rPr>
          <w:sz w:val="22"/>
        </w:rPr>
        <w:t>area comprises dense urban development, predominantly warehouses and workshops.</w:t>
      </w:r>
    </w:p>
    <w:p>
      <w:pPr>
        <w:pStyle w:val="ListParagraph"/>
        <w:numPr>
          <w:ilvl w:val="0"/>
          <w:numId w:val="3"/>
        </w:numPr>
        <w:tabs>
          <w:tab w:pos="1058" w:val="left" w:leader="none"/>
        </w:tabs>
        <w:spacing w:line="266" w:lineRule="auto" w:before="118" w:after="0"/>
        <w:ind w:left="840" w:right="118" w:firstLine="0"/>
        <w:jc w:val="left"/>
        <w:rPr>
          <w:sz w:val="22"/>
        </w:rPr>
      </w:pPr>
      <w:r>
        <w:rPr>
          <w:sz w:val="22"/>
        </w:rPr>
        <w:t>1922</w:t>
      </w:r>
      <w:r>
        <w:rPr>
          <w:spacing w:val="80"/>
          <w:sz w:val="22"/>
        </w:rPr>
        <w:t> </w:t>
      </w:r>
      <w:r>
        <w:rPr>
          <w:sz w:val="22"/>
        </w:rPr>
        <w:t>(1:2,500):</w:t>
      </w:r>
      <w:r>
        <w:rPr>
          <w:spacing w:val="80"/>
          <w:sz w:val="22"/>
        </w:rPr>
        <w:t> </w:t>
      </w:r>
      <w:r>
        <w:rPr>
          <w:sz w:val="22"/>
        </w:rPr>
        <w:t>Current</w:t>
      </w:r>
      <w:r>
        <w:rPr>
          <w:spacing w:val="80"/>
          <w:sz w:val="22"/>
        </w:rPr>
        <w:t> </w:t>
      </w:r>
      <w:r>
        <w:rPr>
          <w:sz w:val="22"/>
        </w:rPr>
        <w:t>building</w:t>
      </w:r>
      <w:r>
        <w:rPr>
          <w:spacing w:val="80"/>
          <w:sz w:val="22"/>
        </w:rPr>
        <w:t> </w:t>
      </w:r>
      <w:r>
        <w:rPr>
          <w:sz w:val="22"/>
        </w:rPr>
        <w:t>footprint</w:t>
      </w:r>
      <w:r>
        <w:rPr>
          <w:spacing w:val="80"/>
          <w:sz w:val="22"/>
        </w:rPr>
        <w:t> </w:t>
      </w:r>
      <w:r>
        <w:rPr>
          <w:sz w:val="22"/>
        </w:rPr>
        <w:t>visible.</w:t>
      </w:r>
      <w:r>
        <w:rPr>
          <w:spacing w:val="80"/>
          <w:sz w:val="22"/>
        </w:rPr>
        <w:t> </w:t>
      </w:r>
      <w:r>
        <w:rPr>
          <w:sz w:val="22"/>
        </w:rPr>
        <w:t>Annotated</w:t>
      </w:r>
      <w:r>
        <w:rPr>
          <w:spacing w:val="80"/>
          <w:sz w:val="22"/>
        </w:rPr>
        <w:t> </w:t>
      </w:r>
      <w:r>
        <w:rPr>
          <w:sz w:val="22"/>
        </w:rPr>
        <w:t>as</w:t>
      </w:r>
      <w:r>
        <w:rPr>
          <w:spacing w:val="80"/>
          <w:sz w:val="22"/>
        </w:rPr>
        <w:t> </w:t>
      </w:r>
      <w:r>
        <w:rPr>
          <w:sz w:val="22"/>
        </w:rPr>
        <w:t>'Warehouse'.</w:t>
      </w:r>
      <w:r>
        <w:rPr>
          <w:spacing w:val="80"/>
          <w:sz w:val="22"/>
        </w:rPr>
        <w:t> </w:t>
      </w:r>
      <w:r>
        <w:rPr>
          <w:sz w:val="22"/>
        </w:rPr>
        <w:t>No significant changes to surrounding area.</w:t>
      </w:r>
    </w:p>
    <w:p>
      <w:pPr>
        <w:pStyle w:val="ListParagraph"/>
        <w:numPr>
          <w:ilvl w:val="0"/>
          <w:numId w:val="3"/>
        </w:numPr>
        <w:tabs>
          <w:tab w:pos="972" w:val="left" w:leader="none"/>
        </w:tabs>
        <w:spacing w:line="266" w:lineRule="auto" w:before="119" w:after="0"/>
        <w:ind w:left="840" w:right="118" w:firstLine="0"/>
        <w:jc w:val="left"/>
        <w:rPr>
          <w:sz w:val="22"/>
        </w:rPr>
      </w:pPr>
      <w:r>
        <w:rPr>
          <w:sz w:val="22"/>
        </w:rPr>
        <w:t>1955</w:t>
      </w:r>
      <w:r>
        <w:rPr>
          <w:spacing w:val="-3"/>
          <w:sz w:val="22"/>
        </w:rPr>
        <w:t> </w:t>
      </w:r>
      <w:r>
        <w:rPr>
          <w:sz w:val="22"/>
        </w:rPr>
        <w:t>(1:2,500):</w:t>
      </w:r>
      <w:r>
        <w:rPr>
          <w:spacing w:val="-3"/>
          <w:sz w:val="22"/>
        </w:rPr>
        <w:t> </w:t>
      </w:r>
      <w:r>
        <w:rPr>
          <w:sz w:val="22"/>
        </w:rPr>
        <w:t>No</w:t>
      </w:r>
      <w:r>
        <w:rPr>
          <w:spacing w:val="-3"/>
          <w:sz w:val="22"/>
        </w:rPr>
        <w:t> </w:t>
      </w:r>
      <w:r>
        <w:rPr>
          <w:sz w:val="22"/>
        </w:rPr>
        <w:t>significant</w:t>
      </w:r>
      <w:r>
        <w:rPr>
          <w:spacing w:val="-3"/>
          <w:sz w:val="22"/>
        </w:rPr>
        <w:t> </w:t>
      </w:r>
      <w:r>
        <w:rPr>
          <w:sz w:val="22"/>
        </w:rPr>
        <w:t>changes</w:t>
      </w:r>
      <w:r>
        <w:rPr>
          <w:spacing w:val="-3"/>
          <w:sz w:val="22"/>
        </w:rPr>
        <w:t> </w:t>
      </w:r>
      <w:r>
        <w:rPr>
          <w:sz w:val="22"/>
        </w:rPr>
        <w:t>to</w:t>
      </w:r>
      <w:r>
        <w:rPr>
          <w:spacing w:val="-3"/>
          <w:sz w:val="22"/>
        </w:rPr>
        <w:t> </w:t>
      </w:r>
      <w:r>
        <w:rPr>
          <w:sz w:val="22"/>
        </w:rPr>
        <w:t>Site.</w:t>
      </w:r>
      <w:r>
        <w:rPr>
          <w:spacing w:val="-3"/>
          <w:sz w:val="22"/>
        </w:rPr>
        <w:t> </w:t>
      </w:r>
      <w:r>
        <w:rPr>
          <w:sz w:val="22"/>
        </w:rPr>
        <w:t>Former</w:t>
      </w:r>
      <w:r>
        <w:rPr>
          <w:spacing w:val="-3"/>
          <w:sz w:val="22"/>
        </w:rPr>
        <w:t> </w:t>
      </w:r>
      <w:r>
        <w:rPr>
          <w:sz w:val="22"/>
        </w:rPr>
        <w:t>gasworks</w:t>
      </w:r>
      <w:r>
        <w:rPr>
          <w:spacing w:val="-3"/>
          <w:sz w:val="22"/>
        </w:rPr>
        <w:t> </w:t>
      </w:r>
      <w:r>
        <w:rPr>
          <w:sz w:val="22"/>
        </w:rPr>
        <w:t>shown</w:t>
      </w:r>
      <w:r>
        <w:rPr>
          <w:spacing w:val="-3"/>
          <w:sz w:val="22"/>
        </w:rPr>
        <w:t> </w:t>
      </w:r>
      <w:r>
        <w:rPr>
          <w:sz w:val="22"/>
        </w:rPr>
        <w:t>400m</w:t>
      </w:r>
      <w:r>
        <w:rPr>
          <w:spacing w:val="-3"/>
          <w:sz w:val="22"/>
        </w:rPr>
        <w:t> </w:t>
      </w:r>
      <w:r>
        <w:rPr>
          <w:sz w:val="22"/>
        </w:rPr>
        <w:t>to</w:t>
      </w:r>
      <w:r>
        <w:rPr>
          <w:spacing w:val="-3"/>
          <w:sz w:val="22"/>
        </w:rPr>
        <w:t> </w:t>
      </w:r>
      <w:r>
        <w:rPr>
          <w:sz w:val="22"/>
        </w:rPr>
        <w:t>the</w:t>
      </w:r>
      <w:r>
        <w:rPr>
          <w:spacing w:val="-3"/>
          <w:sz w:val="22"/>
        </w:rPr>
        <w:t> </w:t>
      </w:r>
      <w:r>
        <w:rPr>
          <w:sz w:val="22"/>
        </w:rPr>
        <w:t>south (now redeveloped).</w:t>
      </w:r>
    </w:p>
    <w:p>
      <w:pPr>
        <w:pStyle w:val="ListParagraph"/>
        <w:numPr>
          <w:ilvl w:val="0"/>
          <w:numId w:val="3"/>
        </w:numPr>
        <w:tabs>
          <w:tab w:pos="972" w:val="left" w:leader="none"/>
        </w:tabs>
        <w:spacing w:line="240" w:lineRule="auto" w:before="118" w:after="0"/>
        <w:ind w:left="972" w:right="0" w:hanging="132"/>
        <w:jc w:val="left"/>
        <w:rPr>
          <w:sz w:val="22"/>
        </w:rPr>
      </w:pPr>
      <w:r>
        <w:rPr>
          <w:sz w:val="22"/>
        </w:rPr>
        <w:t>1977 (1:1,250): Building annotated as 'Works'. Loading bay visible to the rear </w:t>
      </w:r>
      <w:r>
        <w:rPr>
          <w:spacing w:val="-2"/>
          <w:sz w:val="22"/>
        </w:rPr>
        <w:t>(south).</w:t>
      </w:r>
    </w:p>
    <w:p>
      <w:pPr>
        <w:pStyle w:val="ListParagraph"/>
        <w:numPr>
          <w:ilvl w:val="0"/>
          <w:numId w:val="3"/>
        </w:numPr>
        <w:tabs>
          <w:tab w:pos="1003" w:val="left" w:leader="none"/>
        </w:tabs>
        <w:spacing w:line="266" w:lineRule="auto" w:before="147" w:after="0"/>
        <w:ind w:left="840" w:right="119" w:firstLine="0"/>
        <w:jc w:val="left"/>
        <w:rPr>
          <w:sz w:val="22"/>
        </w:rPr>
      </w:pPr>
      <w:r>
        <w:rPr>
          <w:sz w:val="22"/>
        </w:rPr>
        <w:t>1995</w:t>
      </w:r>
      <w:r>
        <w:rPr>
          <w:spacing w:val="29"/>
          <w:sz w:val="22"/>
        </w:rPr>
        <w:t> </w:t>
      </w:r>
      <w:r>
        <w:rPr>
          <w:sz w:val="22"/>
        </w:rPr>
        <w:t>(1:1,250):</w:t>
      </w:r>
      <w:r>
        <w:rPr>
          <w:spacing w:val="29"/>
          <w:sz w:val="22"/>
        </w:rPr>
        <w:t> </w:t>
      </w:r>
      <w:r>
        <w:rPr>
          <w:sz w:val="22"/>
        </w:rPr>
        <w:t>No</w:t>
      </w:r>
      <w:r>
        <w:rPr>
          <w:spacing w:val="29"/>
          <w:sz w:val="22"/>
        </w:rPr>
        <w:t> </w:t>
      </w:r>
      <w:r>
        <w:rPr>
          <w:sz w:val="22"/>
        </w:rPr>
        <w:t>change</w:t>
      </w:r>
      <w:r>
        <w:rPr>
          <w:spacing w:val="29"/>
          <w:sz w:val="22"/>
        </w:rPr>
        <w:t> </w:t>
      </w:r>
      <w:r>
        <w:rPr>
          <w:sz w:val="22"/>
        </w:rPr>
        <w:t>to</w:t>
      </w:r>
      <w:r>
        <w:rPr>
          <w:spacing w:val="29"/>
          <w:sz w:val="22"/>
        </w:rPr>
        <w:t> </w:t>
      </w:r>
      <w:r>
        <w:rPr>
          <w:sz w:val="22"/>
        </w:rPr>
        <w:t>building</w:t>
      </w:r>
      <w:r>
        <w:rPr>
          <w:spacing w:val="29"/>
          <w:sz w:val="22"/>
        </w:rPr>
        <w:t> </w:t>
      </w:r>
      <w:r>
        <w:rPr>
          <w:sz w:val="22"/>
        </w:rPr>
        <w:t>footprint.</w:t>
      </w:r>
      <w:r>
        <w:rPr>
          <w:spacing w:val="29"/>
          <w:sz w:val="22"/>
        </w:rPr>
        <w:t> </w:t>
      </w:r>
      <w:r>
        <w:rPr>
          <w:sz w:val="22"/>
        </w:rPr>
        <w:t>Adjacent</w:t>
      </w:r>
      <w:r>
        <w:rPr>
          <w:spacing w:val="29"/>
          <w:sz w:val="22"/>
        </w:rPr>
        <w:t> </w:t>
      </w:r>
      <w:r>
        <w:rPr>
          <w:sz w:val="22"/>
        </w:rPr>
        <w:t>multi-storey</w:t>
      </w:r>
      <w:r>
        <w:rPr>
          <w:spacing w:val="29"/>
          <w:sz w:val="22"/>
        </w:rPr>
        <w:t> </w:t>
      </w:r>
      <w:r>
        <w:rPr>
          <w:sz w:val="22"/>
        </w:rPr>
        <w:t>car</w:t>
      </w:r>
      <w:r>
        <w:rPr>
          <w:spacing w:val="29"/>
          <w:sz w:val="22"/>
        </w:rPr>
        <w:t> </w:t>
      </w:r>
      <w:r>
        <w:rPr>
          <w:sz w:val="22"/>
        </w:rPr>
        <w:t>park</w:t>
      </w:r>
      <w:r>
        <w:rPr>
          <w:spacing w:val="29"/>
          <w:sz w:val="22"/>
        </w:rPr>
        <w:t> </w:t>
      </w:r>
      <w:r>
        <w:rPr>
          <w:sz w:val="22"/>
        </w:rPr>
        <w:t>to</w:t>
      </w:r>
      <w:r>
        <w:rPr>
          <w:spacing w:val="29"/>
          <w:sz w:val="22"/>
        </w:rPr>
        <w:t> </w:t>
      </w:r>
      <w:r>
        <w:rPr>
          <w:sz w:val="22"/>
        </w:rPr>
        <w:t>the west now shown.</w:t>
      </w:r>
    </w:p>
    <w:p>
      <w:pPr>
        <w:pStyle w:val="ListParagraph"/>
        <w:numPr>
          <w:ilvl w:val="0"/>
          <w:numId w:val="3"/>
        </w:numPr>
        <w:tabs>
          <w:tab w:pos="1049" w:val="left" w:leader="none"/>
        </w:tabs>
        <w:spacing w:line="266" w:lineRule="auto" w:before="119" w:after="0"/>
        <w:ind w:left="840" w:right="119" w:firstLine="0"/>
        <w:jc w:val="left"/>
        <w:rPr>
          <w:sz w:val="22"/>
        </w:rPr>
      </w:pPr>
      <w:r>
        <w:rPr>
          <w:sz w:val="22"/>
        </w:rPr>
        <w:t>2010</w:t>
      </w:r>
      <w:r>
        <w:rPr>
          <w:spacing w:val="74"/>
          <w:sz w:val="22"/>
        </w:rPr>
        <w:t> </w:t>
      </w:r>
      <w:r>
        <w:rPr>
          <w:sz w:val="22"/>
        </w:rPr>
        <w:t>(1:1,250):</w:t>
      </w:r>
      <w:r>
        <w:rPr>
          <w:spacing w:val="74"/>
          <w:sz w:val="22"/>
        </w:rPr>
        <w:t> </w:t>
      </w:r>
      <w:r>
        <w:rPr>
          <w:sz w:val="22"/>
        </w:rPr>
        <w:t>No</w:t>
      </w:r>
      <w:r>
        <w:rPr>
          <w:spacing w:val="74"/>
          <w:sz w:val="22"/>
        </w:rPr>
        <w:t> </w:t>
      </w:r>
      <w:r>
        <w:rPr>
          <w:sz w:val="22"/>
        </w:rPr>
        <w:t>change</w:t>
      </w:r>
      <w:r>
        <w:rPr>
          <w:spacing w:val="74"/>
          <w:sz w:val="22"/>
        </w:rPr>
        <w:t> </w:t>
      </w:r>
      <w:r>
        <w:rPr>
          <w:sz w:val="22"/>
        </w:rPr>
        <w:t>to</w:t>
      </w:r>
      <w:r>
        <w:rPr>
          <w:spacing w:val="74"/>
          <w:sz w:val="22"/>
        </w:rPr>
        <w:t> </w:t>
      </w:r>
      <w:r>
        <w:rPr>
          <w:sz w:val="22"/>
        </w:rPr>
        <w:t>building</w:t>
      </w:r>
      <w:r>
        <w:rPr>
          <w:spacing w:val="74"/>
          <w:sz w:val="22"/>
        </w:rPr>
        <w:t> </w:t>
      </w:r>
      <w:r>
        <w:rPr>
          <w:sz w:val="22"/>
        </w:rPr>
        <w:t>footprint.</w:t>
      </w:r>
      <w:r>
        <w:rPr>
          <w:spacing w:val="74"/>
          <w:sz w:val="22"/>
        </w:rPr>
        <w:t> </w:t>
      </w:r>
      <w:r>
        <w:rPr>
          <w:sz w:val="22"/>
        </w:rPr>
        <w:t>Significant</w:t>
      </w:r>
      <w:r>
        <w:rPr>
          <w:spacing w:val="74"/>
          <w:sz w:val="22"/>
        </w:rPr>
        <w:t> </w:t>
      </w:r>
      <w:r>
        <w:rPr>
          <w:sz w:val="22"/>
        </w:rPr>
        <w:t>new</w:t>
      </w:r>
      <w:r>
        <w:rPr>
          <w:spacing w:val="74"/>
          <w:sz w:val="22"/>
        </w:rPr>
        <w:t> </w:t>
      </w:r>
      <w:r>
        <w:rPr>
          <w:sz w:val="22"/>
        </w:rPr>
        <w:t>development</w:t>
      </w:r>
      <w:r>
        <w:rPr>
          <w:spacing w:val="74"/>
          <w:sz w:val="22"/>
        </w:rPr>
        <w:t> </w:t>
      </w:r>
      <w:r>
        <w:rPr>
          <w:sz w:val="22"/>
        </w:rPr>
        <w:t>in surrounding area.</w:t>
      </w:r>
    </w:p>
    <w:p>
      <w:pPr>
        <w:pStyle w:val="Heading3"/>
        <w:numPr>
          <w:ilvl w:val="1"/>
          <w:numId w:val="1"/>
        </w:numPr>
        <w:tabs>
          <w:tab w:pos="760" w:val="left" w:leader="none"/>
        </w:tabs>
        <w:spacing w:line="240" w:lineRule="auto" w:before="238" w:after="0"/>
        <w:ind w:left="760" w:right="0" w:hanging="400"/>
        <w:jc w:val="left"/>
      </w:pPr>
      <w:r>
        <w:rPr/>
        <w:t>Former Printing Works (1975-</w:t>
      </w:r>
      <w:r>
        <w:rPr>
          <w:spacing w:val="-2"/>
        </w:rPr>
        <w:t>2002)</w:t>
      </w:r>
    </w:p>
    <w:p>
      <w:pPr>
        <w:pStyle w:val="ListParagraph"/>
        <w:numPr>
          <w:ilvl w:val="2"/>
          <w:numId w:val="1"/>
        </w:numPr>
        <w:tabs>
          <w:tab w:pos="1113" w:val="left" w:leader="none"/>
        </w:tabs>
        <w:spacing w:line="266" w:lineRule="auto" w:before="144" w:after="0"/>
        <w:ind w:left="600" w:right="118" w:firstLine="0"/>
        <w:jc w:val="both"/>
        <w:rPr>
          <w:sz w:val="22"/>
        </w:rPr>
      </w:pPr>
      <w:r>
        <w:rPr>
          <w:sz w:val="22"/>
        </w:rPr>
        <w:t>The use of the Site as a printing works between 1975 and 2002 represents the primary contamination concern identified in this assessment. Commercial printing operations of this</w:t>
      </w:r>
      <w:r>
        <w:rPr>
          <w:spacing w:val="40"/>
          <w:sz w:val="22"/>
        </w:rPr>
        <w:t> </w:t>
      </w:r>
      <w:r>
        <w:rPr>
          <w:sz w:val="22"/>
        </w:rPr>
        <w:t>era typically involved the use of a range of potentially contaminative substances, including:</w:t>
      </w:r>
    </w:p>
    <w:p>
      <w:pPr>
        <w:pStyle w:val="ListParagraph"/>
        <w:numPr>
          <w:ilvl w:val="0"/>
          <w:numId w:val="4"/>
        </w:numPr>
        <w:tabs>
          <w:tab w:pos="992" w:val="left" w:leader="none"/>
        </w:tabs>
        <w:spacing w:line="266" w:lineRule="auto" w:before="118" w:after="0"/>
        <w:ind w:left="840" w:right="119" w:firstLine="0"/>
        <w:jc w:val="left"/>
        <w:rPr>
          <w:sz w:val="22"/>
        </w:rPr>
      </w:pPr>
      <w:r>
        <w:rPr>
          <w:sz w:val="22"/>
        </w:rPr>
        <w:t>Petroleum-based inks and pigments (containing heavy metals including lead, </w:t>
      </w:r>
      <w:r>
        <w:rPr>
          <w:sz w:val="22"/>
        </w:rPr>
        <w:t>chromium, cadmium and barium)</w:t>
      </w:r>
    </w:p>
    <w:p>
      <w:pPr>
        <w:pStyle w:val="ListParagraph"/>
        <w:numPr>
          <w:ilvl w:val="0"/>
          <w:numId w:val="4"/>
        </w:numPr>
        <w:tabs>
          <w:tab w:pos="1000" w:val="left" w:leader="none"/>
        </w:tabs>
        <w:spacing w:line="266" w:lineRule="auto" w:before="118" w:after="0"/>
        <w:ind w:left="840" w:right="119" w:firstLine="0"/>
        <w:jc w:val="left"/>
        <w:rPr>
          <w:sz w:val="22"/>
        </w:rPr>
      </w:pPr>
      <w:r>
        <w:rPr>
          <w:sz w:val="22"/>
        </w:rPr>
        <w:t>Organic solvents used in cleaning and degreasing processes (including toluene, xylene,</w:t>
      </w:r>
      <w:r>
        <w:rPr>
          <w:spacing w:val="80"/>
          <w:sz w:val="22"/>
        </w:rPr>
        <w:t> </w:t>
      </w:r>
      <w:r>
        <w:rPr>
          <w:sz w:val="22"/>
        </w:rPr>
        <w:t>methyl ethyl ketone, and isopropanol)</w:t>
      </w:r>
    </w:p>
    <w:p>
      <w:pPr>
        <w:pStyle w:val="ListParagraph"/>
        <w:numPr>
          <w:ilvl w:val="0"/>
          <w:numId w:val="4"/>
        </w:numPr>
        <w:tabs>
          <w:tab w:pos="972" w:val="left" w:leader="none"/>
        </w:tabs>
        <w:spacing w:line="240" w:lineRule="auto" w:before="118" w:after="0"/>
        <w:ind w:left="972" w:right="0" w:hanging="132"/>
        <w:jc w:val="left"/>
        <w:rPr>
          <w:sz w:val="22"/>
        </w:rPr>
      </w:pPr>
      <w:r>
        <w:rPr>
          <w:sz w:val="22"/>
        </w:rPr>
        <w:t>Chlorinated solvents (potentially including trichloroethylene and </w:t>
      </w:r>
      <w:r>
        <w:rPr>
          <w:spacing w:val="-2"/>
          <w:sz w:val="22"/>
        </w:rPr>
        <w:t>perchloroethylene)</w:t>
      </w:r>
    </w:p>
    <w:p>
      <w:pPr>
        <w:pStyle w:val="ListParagraph"/>
        <w:numPr>
          <w:ilvl w:val="0"/>
          <w:numId w:val="4"/>
        </w:numPr>
        <w:tabs>
          <w:tab w:pos="972" w:val="left" w:leader="none"/>
        </w:tabs>
        <w:spacing w:line="240" w:lineRule="auto" w:before="147" w:after="0"/>
        <w:ind w:left="972" w:right="0" w:hanging="132"/>
        <w:jc w:val="left"/>
        <w:rPr>
          <w:sz w:val="22"/>
        </w:rPr>
      </w:pPr>
      <w:r>
        <w:rPr>
          <w:sz w:val="22"/>
        </w:rPr>
        <w:t>Photographic developing chemicals (silver, </w:t>
      </w:r>
      <w:r>
        <w:rPr>
          <w:spacing w:val="-2"/>
          <w:sz w:val="22"/>
        </w:rPr>
        <w:t>hydroquinone)</w:t>
      </w:r>
    </w:p>
    <w:p>
      <w:pPr>
        <w:pStyle w:val="ListParagraph"/>
        <w:numPr>
          <w:ilvl w:val="0"/>
          <w:numId w:val="4"/>
        </w:numPr>
        <w:tabs>
          <w:tab w:pos="972" w:val="left" w:leader="none"/>
        </w:tabs>
        <w:spacing w:line="240" w:lineRule="auto" w:before="147" w:after="0"/>
        <w:ind w:left="972" w:right="0" w:hanging="132"/>
        <w:jc w:val="left"/>
        <w:rPr>
          <w:sz w:val="22"/>
        </w:rPr>
      </w:pPr>
      <w:r>
        <w:rPr>
          <w:sz w:val="22"/>
        </w:rPr>
        <w:t>Printing plate chemicals (aluminium, zinc, phosphoric </w:t>
      </w:r>
      <w:r>
        <w:rPr>
          <w:spacing w:val="-2"/>
          <w:sz w:val="22"/>
        </w:rPr>
        <w:t>acid)</w:t>
      </w:r>
    </w:p>
    <w:p>
      <w:pPr>
        <w:pStyle w:val="ListParagraph"/>
        <w:numPr>
          <w:ilvl w:val="2"/>
          <w:numId w:val="1"/>
        </w:numPr>
        <w:tabs>
          <w:tab w:pos="1108" w:val="left" w:leader="none"/>
        </w:tabs>
        <w:spacing w:line="266" w:lineRule="auto" w:before="147" w:after="0"/>
        <w:ind w:left="600" w:right="119" w:firstLine="0"/>
        <w:jc w:val="both"/>
        <w:rPr>
          <w:sz w:val="22"/>
        </w:rPr>
      </w:pPr>
      <w:r>
        <w:rPr>
          <w:sz w:val="22"/>
        </w:rPr>
        <w:t>Spillages and leaks of these substances during the 27-year period of printing </w:t>
      </w:r>
      <w:r>
        <w:rPr>
          <w:sz w:val="22"/>
        </w:rPr>
        <w:t>operations may have resulted in contamination of the underlying soil and, potentially, groundwater.</w:t>
      </w:r>
    </w:p>
    <w:p>
      <w:pPr>
        <w:pStyle w:val="Heading3"/>
        <w:numPr>
          <w:ilvl w:val="1"/>
          <w:numId w:val="1"/>
        </w:numPr>
        <w:tabs>
          <w:tab w:pos="760" w:val="left" w:leader="none"/>
        </w:tabs>
        <w:spacing w:line="240" w:lineRule="auto" w:before="239" w:after="0"/>
        <w:ind w:left="760" w:right="0" w:hanging="400"/>
        <w:jc w:val="left"/>
      </w:pPr>
      <w:r>
        <w:rPr/>
        <w:t>Underground Storage </w:t>
      </w:r>
      <w:r>
        <w:rPr>
          <w:spacing w:val="-4"/>
        </w:rPr>
        <w:t>Tank</w:t>
      </w:r>
    </w:p>
    <w:p>
      <w:pPr>
        <w:pStyle w:val="ListParagraph"/>
        <w:numPr>
          <w:ilvl w:val="2"/>
          <w:numId w:val="1"/>
        </w:numPr>
        <w:tabs>
          <w:tab w:pos="1096" w:val="left" w:leader="none"/>
        </w:tabs>
        <w:spacing w:line="266" w:lineRule="auto" w:before="144" w:after="0"/>
        <w:ind w:left="600" w:right="119" w:firstLine="0"/>
        <w:jc w:val="both"/>
        <w:rPr>
          <w:sz w:val="22"/>
        </w:rPr>
      </w:pPr>
      <w:r>
        <w:rPr>
          <w:sz w:val="22"/>
        </w:rPr>
        <w:t>A</w:t>
      </w:r>
      <w:r>
        <w:rPr>
          <w:spacing w:val="-1"/>
          <w:sz w:val="22"/>
        </w:rPr>
        <w:t> </w:t>
      </w:r>
      <w:r>
        <w:rPr>
          <w:sz w:val="22"/>
        </w:rPr>
        <w:t>building</w:t>
      </w:r>
      <w:r>
        <w:rPr>
          <w:spacing w:val="-1"/>
          <w:sz w:val="22"/>
        </w:rPr>
        <w:t> </w:t>
      </w:r>
      <w:r>
        <w:rPr>
          <w:sz w:val="22"/>
        </w:rPr>
        <w:t>survey</w:t>
      </w:r>
      <w:r>
        <w:rPr>
          <w:spacing w:val="-1"/>
          <w:sz w:val="22"/>
        </w:rPr>
        <w:t> </w:t>
      </w:r>
      <w:r>
        <w:rPr>
          <w:sz w:val="22"/>
        </w:rPr>
        <w:t>report</w:t>
      </w:r>
      <w:r>
        <w:rPr>
          <w:spacing w:val="-1"/>
          <w:sz w:val="22"/>
        </w:rPr>
        <w:t> </w:t>
      </w:r>
      <w:r>
        <w:rPr>
          <w:sz w:val="22"/>
        </w:rPr>
        <w:t>dated</w:t>
      </w:r>
      <w:r>
        <w:rPr>
          <w:spacing w:val="-1"/>
          <w:sz w:val="22"/>
        </w:rPr>
        <w:t> </w:t>
      </w:r>
      <w:r>
        <w:rPr>
          <w:sz w:val="22"/>
        </w:rPr>
        <w:t>June</w:t>
      </w:r>
      <w:r>
        <w:rPr>
          <w:spacing w:val="-1"/>
          <w:sz w:val="22"/>
        </w:rPr>
        <w:t> </w:t>
      </w:r>
      <w:r>
        <w:rPr>
          <w:sz w:val="22"/>
        </w:rPr>
        <w:t>1985</w:t>
      </w:r>
      <w:r>
        <w:rPr>
          <w:spacing w:val="-1"/>
          <w:sz w:val="22"/>
        </w:rPr>
        <w:t> </w:t>
      </w:r>
      <w:r>
        <w:rPr>
          <w:sz w:val="22"/>
        </w:rPr>
        <w:t>(prepared</w:t>
      </w:r>
      <w:r>
        <w:rPr>
          <w:spacing w:val="-1"/>
          <w:sz w:val="22"/>
        </w:rPr>
        <w:t> </w:t>
      </w:r>
      <w:r>
        <w:rPr>
          <w:sz w:val="22"/>
        </w:rPr>
        <w:t>by</w:t>
      </w:r>
      <w:r>
        <w:rPr>
          <w:spacing w:val="-1"/>
          <w:sz w:val="22"/>
        </w:rPr>
        <w:t> </w:t>
      </w:r>
      <w:r>
        <w:rPr>
          <w:sz w:val="22"/>
        </w:rPr>
        <w:t>Hargreaves</w:t>
      </w:r>
      <w:r>
        <w:rPr>
          <w:spacing w:val="-1"/>
          <w:sz w:val="22"/>
        </w:rPr>
        <w:t> </w:t>
      </w:r>
      <w:r>
        <w:rPr>
          <w:sz w:val="22"/>
        </w:rPr>
        <w:t>&amp;</w:t>
      </w:r>
      <w:r>
        <w:rPr>
          <w:spacing w:val="-1"/>
          <w:sz w:val="22"/>
        </w:rPr>
        <w:t> </w:t>
      </w:r>
      <w:r>
        <w:rPr>
          <w:sz w:val="22"/>
        </w:rPr>
        <w:t>Mitchell</w:t>
      </w:r>
      <w:r>
        <w:rPr>
          <w:spacing w:val="-1"/>
          <w:sz w:val="22"/>
        </w:rPr>
        <w:t> </w:t>
      </w:r>
      <w:r>
        <w:rPr>
          <w:sz w:val="22"/>
        </w:rPr>
        <w:t>Chartered Surveyors</w:t>
      </w:r>
      <w:r>
        <w:rPr>
          <w:spacing w:val="35"/>
          <w:sz w:val="22"/>
        </w:rPr>
        <w:t> </w:t>
      </w:r>
      <w:r>
        <w:rPr>
          <w:sz w:val="22"/>
        </w:rPr>
        <w:t>in</w:t>
      </w:r>
      <w:r>
        <w:rPr>
          <w:spacing w:val="35"/>
          <w:sz w:val="22"/>
        </w:rPr>
        <w:t> </w:t>
      </w:r>
      <w:r>
        <w:rPr>
          <w:sz w:val="22"/>
        </w:rPr>
        <w:t>connection</w:t>
      </w:r>
      <w:r>
        <w:rPr>
          <w:spacing w:val="35"/>
          <w:sz w:val="22"/>
        </w:rPr>
        <w:t> </w:t>
      </w:r>
      <w:r>
        <w:rPr>
          <w:sz w:val="22"/>
        </w:rPr>
        <w:t>with</w:t>
      </w:r>
      <w:r>
        <w:rPr>
          <w:spacing w:val="35"/>
          <w:sz w:val="22"/>
        </w:rPr>
        <w:t> </w:t>
      </w:r>
      <w:r>
        <w:rPr>
          <w:sz w:val="22"/>
        </w:rPr>
        <w:t>a</w:t>
      </w:r>
      <w:r>
        <w:rPr>
          <w:spacing w:val="35"/>
          <w:sz w:val="22"/>
        </w:rPr>
        <w:t> </w:t>
      </w:r>
      <w:r>
        <w:rPr>
          <w:sz w:val="22"/>
        </w:rPr>
        <w:t>proposed</w:t>
      </w:r>
      <w:r>
        <w:rPr>
          <w:spacing w:val="35"/>
          <w:sz w:val="22"/>
        </w:rPr>
        <w:t> </w:t>
      </w:r>
      <w:r>
        <w:rPr>
          <w:sz w:val="22"/>
        </w:rPr>
        <w:t>extension</w:t>
      </w:r>
      <w:r>
        <w:rPr>
          <w:spacing w:val="35"/>
          <w:sz w:val="22"/>
        </w:rPr>
        <w:t> </w:t>
      </w:r>
      <w:r>
        <w:rPr>
          <w:sz w:val="22"/>
        </w:rPr>
        <w:t>to</w:t>
      </w:r>
      <w:r>
        <w:rPr>
          <w:spacing w:val="35"/>
          <w:sz w:val="22"/>
        </w:rPr>
        <w:t> </w:t>
      </w:r>
      <w:r>
        <w:rPr>
          <w:sz w:val="22"/>
        </w:rPr>
        <w:t>the</w:t>
      </w:r>
      <w:r>
        <w:rPr>
          <w:spacing w:val="35"/>
          <w:sz w:val="22"/>
        </w:rPr>
        <w:t> </w:t>
      </w:r>
      <w:r>
        <w:rPr>
          <w:sz w:val="22"/>
        </w:rPr>
        <w:t>building)</w:t>
      </w:r>
      <w:r>
        <w:rPr>
          <w:spacing w:val="35"/>
          <w:sz w:val="22"/>
        </w:rPr>
        <w:t> </w:t>
      </w:r>
      <w:r>
        <w:rPr>
          <w:sz w:val="22"/>
        </w:rPr>
        <w:t>makes</w:t>
      </w:r>
      <w:r>
        <w:rPr>
          <w:spacing w:val="35"/>
          <w:sz w:val="22"/>
        </w:rPr>
        <w:t> </w:t>
      </w:r>
      <w:r>
        <w:rPr>
          <w:sz w:val="22"/>
        </w:rPr>
        <w:t>reference</w:t>
      </w:r>
      <w:r>
        <w:rPr>
          <w:spacing w:val="35"/>
          <w:sz w:val="22"/>
        </w:rPr>
        <w:t> </w:t>
      </w:r>
      <w:r>
        <w:rPr>
          <w:sz w:val="22"/>
        </w:rPr>
        <w:t>to</w:t>
      </w:r>
      <w:r>
        <w:rPr>
          <w:spacing w:val="35"/>
          <w:sz w:val="22"/>
        </w:rPr>
        <w:t> </w:t>
      </w:r>
      <w:r>
        <w:rPr>
          <w:spacing w:val="-5"/>
          <w:sz w:val="22"/>
        </w:rPr>
        <w:t>an</w:t>
      </w:r>
    </w:p>
    <w:p>
      <w:pPr>
        <w:pStyle w:val="ListParagraph"/>
        <w:spacing w:after="0" w:line="266" w:lineRule="auto"/>
        <w:jc w:val="both"/>
        <w:rPr>
          <w:sz w:val="22"/>
        </w:rPr>
        <w:sectPr>
          <w:pgSz w:w="11910" w:h="16840"/>
          <w:pgMar w:header="762" w:footer="745" w:top="1640" w:bottom="940" w:left="1417" w:right="1417"/>
        </w:sectPr>
      </w:pPr>
    </w:p>
    <w:p>
      <w:pPr>
        <w:pStyle w:val="BodyText"/>
        <w:spacing w:line="266" w:lineRule="auto" w:before="80"/>
        <w:ind w:left="600" w:right="119"/>
        <w:jc w:val="both"/>
      </w:pPr>
      <w:r>
        <w:rPr/>
        <w:t>underground storage tank located in the rear yard area to the south of the building. The </w:t>
      </w:r>
      <w:r>
        <w:rPr/>
        <w:t>report describes</w:t>
      </w:r>
      <w:r>
        <w:rPr>
          <w:spacing w:val="-2"/>
        </w:rPr>
        <w:t> </w:t>
      </w:r>
      <w:r>
        <w:rPr/>
        <w:t>the</w:t>
      </w:r>
      <w:r>
        <w:rPr>
          <w:spacing w:val="-2"/>
        </w:rPr>
        <w:t> </w:t>
      </w:r>
      <w:r>
        <w:rPr/>
        <w:t>tank</w:t>
      </w:r>
      <w:r>
        <w:rPr>
          <w:spacing w:val="-2"/>
        </w:rPr>
        <w:t> </w:t>
      </w:r>
      <w:r>
        <w:rPr/>
        <w:t>as</w:t>
      </w:r>
      <w:r>
        <w:rPr>
          <w:spacing w:val="-2"/>
        </w:rPr>
        <w:t> </w:t>
      </w:r>
      <w:r>
        <w:rPr/>
        <w:t>being</w:t>
      </w:r>
      <w:r>
        <w:rPr>
          <w:spacing w:val="-2"/>
        </w:rPr>
        <w:t> </w:t>
      </w:r>
      <w:r>
        <w:rPr/>
        <w:t>used</w:t>
      </w:r>
      <w:r>
        <w:rPr>
          <w:spacing w:val="-2"/>
        </w:rPr>
        <w:t> </w:t>
      </w:r>
      <w:r>
        <w:rPr/>
        <w:t>for</w:t>
      </w:r>
      <w:r>
        <w:rPr>
          <w:spacing w:val="-2"/>
        </w:rPr>
        <w:t> </w:t>
      </w:r>
      <w:r>
        <w:rPr/>
        <w:t>the</w:t>
      </w:r>
      <w:r>
        <w:rPr>
          <w:spacing w:val="-2"/>
        </w:rPr>
        <w:t> </w:t>
      </w:r>
      <w:r>
        <w:rPr/>
        <w:t>storage</w:t>
      </w:r>
      <w:r>
        <w:rPr>
          <w:spacing w:val="-2"/>
        </w:rPr>
        <w:t> </w:t>
      </w:r>
      <w:r>
        <w:rPr/>
        <w:t>of</w:t>
      </w:r>
      <w:r>
        <w:rPr>
          <w:spacing w:val="-2"/>
        </w:rPr>
        <w:t> </w:t>
      </w:r>
      <w:r>
        <w:rPr/>
        <w:t>heating</w:t>
      </w:r>
      <w:r>
        <w:rPr>
          <w:spacing w:val="-2"/>
        </w:rPr>
        <w:t> </w:t>
      </w:r>
      <w:r>
        <w:rPr/>
        <w:t>oil</w:t>
      </w:r>
      <w:r>
        <w:rPr>
          <w:spacing w:val="-2"/>
        </w:rPr>
        <w:t> </w:t>
      </w:r>
      <w:r>
        <w:rPr/>
        <w:t>and</w:t>
      </w:r>
      <w:r>
        <w:rPr>
          <w:spacing w:val="-2"/>
        </w:rPr>
        <w:t> </w:t>
      </w:r>
      <w:r>
        <w:rPr/>
        <w:t>having</w:t>
      </w:r>
      <w:r>
        <w:rPr>
          <w:spacing w:val="-2"/>
        </w:rPr>
        <w:t> </w:t>
      </w:r>
      <w:r>
        <w:rPr/>
        <w:t>an</w:t>
      </w:r>
      <w:r>
        <w:rPr>
          <w:spacing w:val="-2"/>
        </w:rPr>
        <w:t> </w:t>
      </w:r>
      <w:r>
        <w:rPr/>
        <w:t>estimated</w:t>
      </w:r>
      <w:r>
        <w:rPr>
          <w:spacing w:val="-2"/>
        </w:rPr>
        <w:t> </w:t>
      </w:r>
      <w:r>
        <w:rPr/>
        <w:t>capacity of 5,000 litres.</w:t>
      </w:r>
    </w:p>
    <w:p>
      <w:pPr>
        <w:pStyle w:val="ListParagraph"/>
        <w:numPr>
          <w:ilvl w:val="2"/>
          <w:numId w:val="1"/>
        </w:numPr>
        <w:tabs>
          <w:tab w:pos="1116" w:val="left" w:leader="none"/>
        </w:tabs>
        <w:spacing w:line="266" w:lineRule="auto" w:before="118" w:after="0"/>
        <w:ind w:left="600" w:right="119" w:firstLine="0"/>
        <w:jc w:val="both"/>
        <w:rPr>
          <w:sz w:val="22"/>
        </w:rPr>
      </w:pPr>
      <w:r>
        <w:rPr>
          <w:sz w:val="22"/>
        </w:rPr>
        <w:t>No records have been identified to confirm whether the underground storage tank </w:t>
      </w:r>
      <w:r>
        <w:rPr>
          <w:sz w:val="22"/>
        </w:rPr>
        <w:t>was decommissioned,</w:t>
      </w:r>
      <w:r>
        <w:rPr>
          <w:spacing w:val="-5"/>
          <w:sz w:val="22"/>
        </w:rPr>
        <w:t> </w:t>
      </w:r>
      <w:r>
        <w:rPr>
          <w:sz w:val="22"/>
        </w:rPr>
        <w:t>removed</w:t>
      </w:r>
      <w:r>
        <w:rPr>
          <w:spacing w:val="-5"/>
          <w:sz w:val="22"/>
        </w:rPr>
        <w:t> </w:t>
      </w:r>
      <w:r>
        <w:rPr>
          <w:sz w:val="22"/>
        </w:rPr>
        <w:t>or</w:t>
      </w:r>
      <w:r>
        <w:rPr>
          <w:spacing w:val="-5"/>
          <w:sz w:val="22"/>
        </w:rPr>
        <w:t> </w:t>
      </w:r>
      <w:r>
        <w:rPr>
          <w:sz w:val="22"/>
        </w:rPr>
        <w:t>filled</w:t>
      </w:r>
      <w:r>
        <w:rPr>
          <w:spacing w:val="-5"/>
          <w:sz w:val="22"/>
        </w:rPr>
        <w:t> </w:t>
      </w:r>
      <w:r>
        <w:rPr>
          <w:sz w:val="22"/>
        </w:rPr>
        <w:t>in</w:t>
      </w:r>
      <w:r>
        <w:rPr>
          <w:spacing w:val="-5"/>
          <w:sz w:val="22"/>
        </w:rPr>
        <w:t> </w:t>
      </w:r>
      <w:r>
        <w:rPr>
          <w:sz w:val="22"/>
        </w:rPr>
        <w:t>situ.</w:t>
      </w:r>
      <w:r>
        <w:rPr>
          <w:spacing w:val="-5"/>
          <w:sz w:val="22"/>
        </w:rPr>
        <w:t> </w:t>
      </w:r>
      <w:r>
        <w:rPr>
          <w:sz w:val="22"/>
        </w:rPr>
        <w:t>The</w:t>
      </w:r>
      <w:r>
        <w:rPr>
          <w:spacing w:val="-5"/>
          <w:sz w:val="22"/>
        </w:rPr>
        <w:t> </w:t>
      </w:r>
      <w:r>
        <w:rPr>
          <w:sz w:val="22"/>
        </w:rPr>
        <w:t>current</w:t>
      </w:r>
      <w:r>
        <w:rPr>
          <w:spacing w:val="-5"/>
          <w:sz w:val="22"/>
        </w:rPr>
        <w:t> </w:t>
      </w:r>
      <w:r>
        <w:rPr>
          <w:sz w:val="22"/>
        </w:rPr>
        <w:t>status</w:t>
      </w:r>
      <w:r>
        <w:rPr>
          <w:spacing w:val="-5"/>
          <w:sz w:val="22"/>
        </w:rPr>
        <w:t> </w:t>
      </w:r>
      <w:r>
        <w:rPr>
          <w:sz w:val="22"/>
        </w:rPr>
        <w:t>of</w:t>
      </w:r>
      <w:r>
        <w:rPr>
          <w:spacing w:val="-5"/>
          <w:sz w:val="22"/>
        </w:rPr>
        <w:t> </w:t>
      </w:r>
      <w:r>
        <w:rPr>
          <w:sz w:val="22"/>
        </w:rPr>
        <w:t>the</w:t>
      </w:r>
      <w:r>
        <w:rPr>
          <w:spacing w:val="-5"/>
          <w:sz w:val="22"/>
        </w:rPr>
        <w:t> </w:t>
      </w:r>
      <w:r>
        <w:rPr>
          <w:sz w:val="22"/>
        </w:rPr>
        <w:t>tank</w:t>
      </w:r>
      <w:r>
        <w:rPr>
          <w:spacing w:val="-5"/>
          <w:sz w:val="22"/>
        </w:rPr>
        <w:t> </w:t>
      </w:r>
      <w:r>
        <w:rPr>
          <w:sz w:val="22"/>
        </w:rPr>
        <w:t>is</w:t>
      </w:r>
      <w:r>
        <w:rPr>
          <w:spacing w:val="-5"/>
          <w:sz w:val="22"/>
        </w:rPr>
        <w:t> </w:t>
      </w:r>
      <w:r>
        <w:rPr>
          <w:sz w:val="22"/>
        </w:rPr>
        <w:t>therefore</w:t>
      </w:r>
      <w:r>
        <w:rPr>
          <w:spacing w:val="-5"/>
          <w:sz w:val="22"/>
        </w:rPr>
        <w:t> </w:t>
      </w:r>
      <w:r>
        <w:rPr>
          <w:sz w:val="22"/>
        </w:rPr>
        <w:t>unknown. Underground storage tanks, particularly those of this age, present a significant risk of leakage and soil and groundwater contamination from stored petroleum products.</w:t>
      </w:r>
    </w:p>
    <w:p>
      <w:pPr>
        <w:pStyle w:val="BodyText"/>
        <w:spacing w:before="106"/>
      </w:pPr>
    </w:p>
    <w:p>
      <w:pPr>
        <w:pStyle w:val="Heading2"/>
        <w:numPr>
          <w:ilvl w:val="0"/>
          <w:numId w:val="1"/>
        </w:numPr>
        <w:tabs>
          <w:tab w:pos="431" w:val="left" w:leader="none"/>
        </w:tabs>
        <w:spacing w:line="240" w:lineRule="auto" w:before="0" w:after="0"/>
        <w:ind w:left="431" w:right="0" w:hanging="311"/>
        <w:jc w:val="left"/>
      </w:pPr>
      <w:r>
        <w:rPr/>
        <w:t>Findings and </w:t>
      </w:r>
      <w:r>
        <w:rPr>
          <w:spacing w:val="-2"/>
        </w:rPr>
        <w:t>Recommendations</w:t>
      </w:r>
    </w:p>
    <w:p>
      <w:pPr>
        <w:pStyle w:val="Heading3"/>
        <w:numPr>
          <w:ilvl w:val="1"/>
          <w:numId w:val="1"/>
        </w:numPr>
        <w:tabs>
          <w:tab w:pos="760" w:val="left" w:leader="none"/>
        </w:tabs>
        <w:spacing w:line="240" w:lineRule="auto" w:before="276" w:after="0"/>
        <w:ind w:left="760" w:right="0" w:hanging="400"/>
        <w:jc w:val="left"/>
      </w:pPr>
      <w:r>
        <w:rPr/>
        <w:t>Risk of Soil Contamination from Former Printing </w:t>
      </w:r>
      <w:r>
        <w:rPr>
          <w:spacing w:val="-2"/>
        </w:rPr>
        <w:t>Works</w:t>
      </w:r>
    </w:p>
    <w:p>
      <w:pPr>
        <w:pStyle w:val="ListParagraph"/>
        <w:numPr>
          <w:ilvl w:val="2"/>
          <w:numId w:val="1"/>
        </w:numPr>
        <w:tabs>
          <w:tab w:pos="1148" w:val="left" w:leader="none"/>
        </w:tabs>
        <w:spacing w:line="266" w:lineRule="auto" w:before="144" w:after="0"/>
        <w:ind w:left="600" w:right="119" w:firstLine="0"/>
        <w:jc w:val="both"/>
        <w:rPr>
          <w:sz w:val="22"/>
        </w:rPr>
      </w:pPr>
      <w:r>
        <w:rPr>
          <w:sz w:val="22"/>
        </w:rPr>
        <w:t>There is a </w:t>
      </w:r>
      <w:r>
        <w:rPr>
          <w:b/>
          <w:sz w:val="22"/>
        </w:rPr>
        <w:t>moderate risk </w:t>
      </w:r>
      <w:r>
        <w:rPr>
          <w:sz w:val="22"/>
        </w:rPr>
        <w:t>that soil beneath and adjacent to the building has been contaminated by substances associated with the former printing works use (1975-2002). </w:t>
      </w:r>
      <w:r>
        <w:rPr>
          <w:sz w:val="22"/>
        </w:rPr>
        <w:t>The risk is assessed as moderate rather than high because: (a) the building has a solid ground floor construction which may have limited direct infiltration; (b) the glacial till beneath the Site provides some attenuation and retardation of contaminant migration; and (c) there are no known specific incidents of significant spillage.</w:t>
      </w:r>
    </w:p>
    <w:p>
      <w:pPr>
        <w:pStyle w:val="ListParagraph"/>
        <w:numPr>
          <w:ilvl w:val="2"/>
          <w:numId w:val="1"/>
        </w:numPr>
        <w:tabs>
          <w:tab w:pos="1141" w:val="left" w:leader="none"/>
        </w:tabs>
        <w:spacing w:line="266" w:lineRule="auto" w:before="115" w:after="0"/>
        <w:ind w:left="600" w:right="119" w:firstLine="0"/>
        <w:jc w:val="both"/>
        <w:rPr>
          <w:sz w:val="22"/>
        </w:rPr>
      </w:pPr>
      <w:r>
        <w:rPr>
          <w:sz w:val="22"/>
        </w:rPr>
        <w:t>The potential contaminants of concern include volatile organic compounds </w:t>
      </w:r>
      <w:r>
        <w:rPr>
          <w:sz w:val="22"/>
        </w:rPr>
        <w:t>(VOCs), semi-volatile organic compounds (SVOCs), heavy metals, and total petroleum hydrocarbons (TPH). These contaminants may present risks to human health (particularly via inhalation of vapours in enclosed spaces) and to controlled waters (via migration through the glacial till to the underlying principal aquifer).</w:t>
      </w:r>
    </w:p>
    <w:p>
      <w:pPr>
        <w:pStyle w:val="Heading3"/>
        <w:numPr>
          <w:ilvl w:val="1"/>
          <w:numId w:val="1"/>
        </w:numPr>
        <w:tabs>
          <w:tab w:pos="760" w:val="left" w:leader="none"/>
        </w:tabs>
        <w:spacing w:line="240" w:lineRule="auto" w:before="236" w:after="0"/>
        <w:ind w:left="760" w:right="0" w:hanging="400"/>
        <w:jc w:val="left"/>
      </w:pPr>
      <w:r>
        <w:rPr/>
        <w:t>Underground Storage Tank </w:t>
      </w:r>
      <w:r>
        <w:rPr>
          <w:spacing w:val="-2"/>
        </w:rPr>
        <w:t>Investigation</w:t>
      </w:r>
    </w:p>
    <w:p>
      <w:pPr>
        <w:pStyle w:val="ListParagraph"/>
        <w:numPr>
          <w:ilvl w:val="2"/>
          <w:numId w:val="1"/>
        </w:numPr>
        <w:tabs>
          <w:tab w:pos="1147" w:val="left" w:leader="none"/>
        </w:tabs>
        <w:spacing w:line="266" w:lineRule="auto" w:before="144" w:after="0"/>
        <w:ind w:left="600" w:right="119" w:firstLine="0"/>
        <w:jc w:val="both"/>
        <w:rPr>
          <w:sz w:val="22"/>
        </w:rPr>
      </w:pPr>
      <w:r>
        <w:rPr>
          <w:sz w:val="22"/>
        </w:rPr>
        <w:t>The underground storage tank identified in the 1985 survey report requires </w:t>
      </w:r>
      <w:r>
        <w:rPr>
          <w:sz w:val="22"/>
        </w:rPr>
        <w:t>further investigation to determine its current status (in situ or removed), its contents (if any), and whether leakage has occurred. If the tank remains in situ, it is likely to require decommissioning and removal in accordance with current best practice (CIRIA C736, Containment Systems for the Prevention of Pollution).</w:t>
      </w:r>
    </w:p>
    <w:p>
      <w:pPr>
        <w:pStyle w:val="Heading3"/>
        <w:numPr>
          <w:ilvl w:val="1"/>
          <w:numId w:val="1"/>
        </w:numPr>
        <w:tabs>
          <w:tab w:pos="760" w:val="left" w:leader="none"/>
        </w:tabs>
        <w:spacing w:line="240" w:lineRule="auto" w:before="236" w:after="0"/>
        <w:ind w:left="760" w:right="0" w:hanging="400"/>
        <w:jc w:val="left"/>
      </w:pPr>
      <w:r>
        <w:rPr/>
        <w:t>Recommendation: Phase II Intrusive </w:t>
      </w:r>
      <w:r>
        <w:rPr>
          <w:spacing w:val="-2"/>
        </w:rPr>
        <w:t>Investigation</w:t>
      </w:r>
    </w:p>
    <w:p>
      <w:pPr>
        <w:pStyle w:val="ListParagraph"/>
        <w:numPr>
          <w:ilvl w:val="2"/>
          <w:numId w:val="1"/>
        </w:numPr>
        <w:tabs>
          <w:tab w:pos="1108" w:val="left" w:leader="none"/>
        </w:tabs>
        <w:spacing w:line="266" w:lineRule="auto" w:before="144" w:after="0"/>
        <w:ind w:left="600" w:right="119" w:firstLine="0"/>
        <w:jc w:val="both"/>
        <w:rPr>
          <w:sz w:val="22"/>
        </w:rPr>
      </w:pPr>
      <w:r>
        <w:rPr>
          <w:sz w:val="22"/>
        </w:rPr>
        <w:t>A Phase II intrusive investigation is recommended to characterise the nature and extent of any contamination at the Site. The investigation should include the following scope as a </w:t>
      </w:r>
      <w:r>
        <w:rPr>
          <w:spacing w:val="-2"/>
          <w:sz w:val="22"/>
        </w:rPr>
        <w:t>minimum:</w:t>
      </w:r>
    </w:p>
    <w:p>
      <w:pPr>
        <w:pStyle w:val="ListParagraph"/>
        <w:numPr>
          <w:ilvl w:val="3"/>
          <w:numId w:val="1"/>
        </w:numPr>
        <w:tabs>
          <w:tab w:pos="1139" w:val="left" w:leader="none"/>
        </w:tabs>
        <w:spacing w:line="266" w:lineRule="auto" w:before="118" w:after="0"/>
        <w:ind w:left="840" w:right="119" w:firstLine="0"/>
        <w:jc w:val="both"/>
        <w:rPr>
          <w:sz w:val="22"/>
        </w:rPr>
      </w:pPr>
      <w:r>
        <w:rPr>
          <w:sz w:val="22"/>
        </w:rPr>
        <w:t>Soil</w:t>
      </w:r>
      <w:r>
        <w:rPr>
          <w:spacing w:val="-2"/>
          <w:sz w:val="22"/>
        </w:rPr>
        <w:t> </w:t>
      </w:r>
      <w:r>
        <w:rPr>
          <w:sz w:val="22"/>
        </w:rPr>
        <w:t>sampling</w:t>
      </w:r>
      <w:r>
        <w:rPr>
          <w:spacing w:val="-2"/>
          <w:sz w:val="22"/>
        </w:rPr>
        <w:t> </w:t>
      </w:r>
      <w:r>
        <w:rPr>
          <w:sz w:val="22"/>
        </w:rPr>
        <w:t>from</w:t>
      </w:r>
      <w:r>
        <w:rPr>
          <w:spacing w:val="-2"/>
          <w:sz w:val="22"/>
        </w:rPr>
        <w:t> </w:t>
      </w:r>
      <w:r>
        <w:rPr>
          <w:sz w:val="22"/>
        </w:rPr>
        <w:t>a</w:t>
      </w:r>
      <w:r>
        <w:rPr>
          <w:spacing w:val="-2"/>
          <w:sz w:val="22"/>
        </w:rPr>
        <w:t> </w:t>
      </w:r>
      <w:r>
        <w:rPr>
          <w:sz w:val="22"/>
        </w:rPr>
        <w:t>minimum</w:t>
      </w:r>
      <w:r>
        <w:rPr>
          <w:spacing w:val="-2"/>
          <w:sz w:val="22"/>
        </w:rPr>
        <w:t> </w:t>
      </w:r>
      <w:r>
        <w:rPr>
          <w:sz w:val="22"/>
        </w:rPr>
        <w:t>of</w:t>
      </w:r>
      <w:r>
        <w:rPr>
          <w:spacing w:val="-2"/>
          <w:sz w:val="22"/>
        </w:rPr>
        <w:t> </w:t>
      </w:r>
      <w:r>
        <w:rPr>
          <w:sz w:val="22"/>
        </w:rPr>
        <w:t>six</w:t>
      </w:r>
      <w:r>
        <w:rPr>
          <w:spacing w:val="-2"/>
          <w:sz w:val="22"/>
        </w:rPr>
        <w:t> </w:t>
      </w:r>
      <w:r>
        <w:rPr>
          <w:sz w:val="22"/>
        </w:rPr>
        <w:t>(6)</w:t>
      </w:r>
      <w:r>
        <w:rPr>
          <w:spacing w:val="-2"/>
          <w:sz w:val="22"/>
        </w:rPr>
        <w:t> </w:t>
      </w:r>
      <w:r>
        <w:rPr>
          <w:sz w:val="22"/>
        </w:rPr>
        <w:t>boreholes</w:t>
      </w:r>
      <w:r>
        <w:rPr>
          <w:spacing w:val="-2"/>
          <w:sz w:val="22"/>
        </w:rPr>
        <w:t> </w:t>
      </w:r>
      <w:r>
        <w:rPr>
          <w:sz w:val="22"/>
        </w:rPr>
        <w:t>drilled</w:t>
      </w:r>
      <w:r>
        <w:rPr>
          <w:spacing w:val="-2"/>
          <w:sz w:val="22"/>
        </w:rPr>
        <w:t> </w:t>
      </w:r>
      <w:r>
        <w:rPr>
          <w:sz w:val="22"/>
        </w:rPr>
        <w:t>to</w:t>
      </w:r>
      <w:r>
        <w:rPr>
          <w:spacing w:val="-2"/>
          <w:sz w:val="22"/>
        </w:rPr>
        <w:t> </w:t>
      </w:r>
      <w:r>
        <w:rPr>
          <w:sz w:val="22"/>
        </w:rPr>
        <w:t>a</w:t>
      </w:r>
      <w:r>
        <w:rPr>
          <w:spacing w:val="-2"/>
          <w:sz w:val="22"/>
        </w:rPr>
        <w:t> </w:t>
      </w:r>
      <w:r>
        <w:rPr>
          <w:sz w:val="22"/>
        </w:rPr>
        <w:t>depth</w:t>
      </w:r>
      <w:r>
        <w:rPr>
          <w:spacing w:val="-2"/>
          <w:sz w:val="22"/>
        </w:rPr>
        <w:t> </w:t>
      </w:r>
      <w:r>
        <w:rPr>
          <w:sz w:val="22"/>
        </w:rPr>
        <w:t>of</w:t>
      </w:r>
      <w:r>
        <w:rPr>
          <w:spacing w:val="-2"/>
          <w:sz w:val="22"/>
        </w:rPr>
        <w:t> </w:t>
      </w:r>
      <w:r>
        <w:rPr>
          <w:sz w:val="22"/>
        </w:rPr>
        <w:t>at</w:t>
      </w:r>
      <w:r>
        <w:rPr>
          <w:spacing w:val="-2"/>
          <w:sz w:val="22"/>
        </w:rPr>
        <w:t> </w:t>
      </w:r>
      <w:r>
        <w:rPr>
          <w:sz w:val="22"/>
        </w:rPr>
        <w:t>least</w:t>
      </w:r>
      <w:r>
        <w:rPr>
          <w:spacing w:val="-2"/>
          <w:sz w:val="22"/>
        </w:rPr>
        <w:t> </w:t>
      </w:r>
      <w:r>
        <w:rPr>
          <w:sz w:val="22"/>
        </w:rPr>
        <w:t>6</w:t>
      </w:r>
      <w:r>
        <w:rPr>
          <w:spacing w:val="-2"/>
          <w:sz w:val="22"/>
        </w:rPr>
        <w:t> </w:t>
      </w:r>
      <w:r>
        <w:rPr>
          <w:sz w:val="22"/>
        </w:rPr>
        <w:t>metres (to penetrate through the glacial till and into the upper Sherwood Sandstone). Boreholes should be targeted on areas of greatest potential contamination, including the former printing works area, the loading bay, and the vicinity of the underground storage tank.</w:t>
      </w:r>
    </w:p>
    <w:p>
      <w:pPr>
        <w:pStyle w:val="ListParagraph"/>
        <w:numPr>
          <w:ilvl w:val="3"/>
          <w:numId w:val="1"/>
        </w:numPr>
        <w:tabs>
          <w:tab w:pos="1232" w:val="left" w:leader="none"/>
        </w:tabs>
        <w:spacing w:line="266" w:lineRule="auto" w:before="116" w:after="0"/>
        <w:ind w:left="840" w:right="119" w:firstLine="0"/>
        <w:jc w:val="both"/>
        <w:rPr>
          <w:sz w:val="22"/>
        </w:rPr>
      </w:pPr>
      <w:r>
        <w:rPr>
          <w:sz w:val="22"/>
        </w:rPr>
        <w:t>Installation</w:t>
      </w:r>
      <w:r>
        <w:rPr>
          <w:spacing w:val="40"/>
          <w:sz w:val="22"/>
        </w:rPr>
        <w:t> </w:t>
      </w:r>
      <w:r>
        <w:rPr>
          <w:sz w:val="22"/>
        </w:rPr>
        <w:t>of</w:t>
      </w:r>
      <w:r>
        <w:rPr>
          <w:spacing w:val="40"/>
          <w:sz w:val="22"/>
        </w:rPr>
        <w:t> </w:t>
      </w:r>
      <w:r>
        <w:rPr>
          <w:sz w:val="22"/>
        </w:rPr>
        <w:t>two</w:t>
      </w:r>
      <w:r>
        <w:rPr>
          <w:spacing w:val="40"/>
          <w:sz w:val="22"/>
        </w:rPr>
        <w:t> </w:t>
      </w:r>
      <w:r>
        <w:rPr>
          <w:sz w:val="22"/>
        </w:rPr>
        <w:t>(2)</w:t>
      </w:r>
      <w:r>
        <w:rPr>
          <w:spacing w:val="40"/>
          <w:sz w:val="22"/>
        </w:rPr>
        <w:t> </w:t>
      </w:r>
      <w:r>
        <w:rPr>
          <w:sz w:val="22"/>
        </w:rPr>
        <w:t>groundwater</w:t>
      </w:r>
      <w:r>
        <w:rPr>
          <w:spacing w:val="40"/>
          <w:sz w:val="22"/>
        </w:rPr>
        <w:t> </w:t>
      </w:r>
      <w:r>
        <w:rPr>
          <w:sz w:val="22"/>
        </w:rPr>
        <w:t>monitoring</w:t>
      </w:r>
      <w:r>
        <w:rPr>
          <w:spacing w:val="40"/>
          <w:sz w:val="22"/>
        </w:rPr>
        <w:t> </w:t>
      </w:r>
      <w:r>
        <w:rPr>
          <w:sz w:val="22"/>
        </w:rPr>
        <w:t>wells</w:t>
      </w:r>
      <w:r>
        <w:rPr>
          <w:spacing w:val="40"/>
          <w:sz w:val="22"/>
        </w:rPr>
        <w:t> </w:t>
      </w:r>
      <w:r>
        <w:rPr>
          <w:sz w:val="22"/>
        </w:rPr>
        <w:t>(one</w:t>
      </w:r>
      <w:r>
        <w:rPr>
          <w:spacing w:val="40"/>
          <w:sz w:val="22"/>
        </w:rPr>
        <w:t> </w:t>
      </w:r>
      <w:r>
        <w:rPr>
          <w:sz w:val="22"/>
        </w:rPr>
        <w:t>up-gradient</w:t>
      </w:r>
      <w:r>
        <w:rPr>
          <w:spacing w:val="40"/>
          <w:sz w:val="22"/>
        </w:rPr>
        <w:t> </w:t>
      </w:r>
      <w:r>
        <w:rPr>
          <w:sz w:val="22"/>
        </w:rPr>
        <w:t>and</w:t>
      </w:r>
      <w:r>
        <w:rPr>
          <w:spacing w:val="40"/>
          <w:sz w:val="22"/>
        </w:rPr>
        <w:t> </w:t>
      </w:r>
      <w:r>
        <w:rPr>
          <w:sz w:val="22"/>
        </w:rPr>
        <w:t>one down-gradient of the Site) to enable assessment of groundwater quality and determination of groundwater flow direction and gradient.</w:t>
      </w:r>
    </w:p>
    <w:p>
      <w:pPr>
        <w:pStyle w:val="ListParagraph"/>
        <w:numPr>
          <w:ilvl w:val="3"/>
          <w:numId w:val="1"/>
        </w:numPr>
        <w:tabs>
          <w:tab w:pos="1199" w:val="left" w:leader="none"/>
        </w:tabs>
        <w:spacing w:line="266" w:lineRule="auto" w:before="118" w:after="0"/>
        <w:ind w:left="840" w:right="118" w:firstLine="0"/>
        <w:jc w:val="both"/>
        <w:rPr>
          <w:sz w:val="22"/>
        </w:rPr>
      </w:pPr>
      <w:r>
        <w:rPr>
          <w:sz w:val="22"/>
        </w:rPr>
        <w:t>Chemical analysis of soil and groundwater samples for a comprehensive suite of determinands including: heavy metals, VOCs, SVOCs, TPH (CWG banded), polycyclic aromatic hydrocarbons (PAHs), polychlorinated biphenyls (PCBs), and pH.</w:t>
      </w:r>
    </w:p>
    <w:p>
      <w:pPr>
        <w:pStyle w:val="ListParagraph"/>
        <w:spacing w:after="0" w:line="266" w:lineRule="auto"/>
        <w:jc w:val="both"/>
        <w:rPr>
          <w:sz w:val="22"/>
        </w:rPr>
        <w:sectPr>
          <w:pgSz w:w="11910" w:h="16840"/>
          <w:pgMar w:header="762" w:footer="745" w:top="1640" w:bottom="940" w:left="1417" w:right="1417"/>
        </w:sectPr>
      </w:pPr>
    </w:p>
    <w:p>
      <w:pPr>
        <w:pStyle w:val="ListParagraph"/>
        <w:numPr>
          <w:ilvl w:val="3"/>
          <w:numId w:val="1"/>
        </w:numPr>
        <w:tabs>
          <w:tab w:pos="1152" w:val="left" w:leader="none"/>
        </w:tabs>
        <w:spacing w:line="266" w:lineRule="auto" w:before="80" w:after="0"/>
        <w:ind w:left="840" w:right="118" w:firstLine="0"/>
        <w:jc w:val="left"/>
        <w:rPr>
          <w:sz w:val="22"/>
        </w:rPr>
      </w:pPr>
      <w:r>
        <w:rPr>
          <w:sz w:val="22"/>
        </w:rPr>
        <w:t>Ground</w:t>
      </w:r>
      <w:r>
        <w:rPr>
          <w:spacing w:val="-1"/>
          <w:sz w:val="22"/>
        </w:rPr>
        <w:t> </w:t>
      </w:r>
      <w:r>
        <w:rPr>
          <w:sz w:val="22"/>
        </w:rPr>
        <w:t>gas</w:t>
      </w:r>
      <w:r>
        <w:rPr>
          <w:spacing w:val="-1"/>
          <w:sz w:val="22"/>
        </w:rPr>
        <w:t> </w:t>
      </w:r>
      <w:r>
        <w:rPr>
          <w:sz w:val="22"/>
        </w:rPr>
        <w:t>monitoring</w:t>
      </w:r>
      <w:r>
        <w:rPr>
          <w:spacing w:val="-1"/>
          <w:sz w:val="22"/>
        </w:rPr>
        <w:t> </w:t>
      </w:r>
      <w:r>
        <w:rPr>
          <w:sz w:val="22"/>
        </w:rPr>
        <w:t>(minimum</w:t>
      </w:r>
      <w:r>
        <w:rPr>
          <w:spacing w:val="-1"/>
          <w:sz w:val="22"/>
        </w:rPr>
        <w:t> </w:t>
      </w:r>
      <w:r>
        <w:rPr>
          <w:sz w:val="22"/>
        </w:rPr>
        <w:t>3</w:t>
      </w:r>
      <w:r>
        <w:rPr>
          <w:spacing w:val="-1"/>
          <w:sz w:val="22"/>
        </w:rPr>
        <w:t> </w:t>
      </w:r>
      <w:r>
        <w:rPr>
          <w:sz w:val="22"/>
        </w:rPr>
        <w:t>rounds</w:t>
      </w:r>
      <w:r>
        <w:rPr>
          <w:spacing w:val="-1"/>
          <w:sz w:val="22"/>
        </w:rPr>
        <w:t> </w:t>
      </w:r>
      <w:r>
        <w:rPr>
          <w:sz w:val="22"/>
        </w:rPr>
        <w:t>over</w:t>
      </w:r>
      <w:r>
        <w:rPr>
          <w:spacing w:val="-1"/>
          <w:sz w:val="22"/>
        </w:rPr>
        <w:t> </w:t>
      </w:r>
      <w:r>
        <w:rPr>
          <w:sz w:val="22"/>
        </w:rPr>
        <w:t>6</w:t>
      </w:r>
      <w:r>
        <w:rPr>
          <w:spacing w:val="-1"/>
          <w:sz w:val="22"/>
        </w:rPr>
        <w:t> </w:t>
      </w:r>
      <w:r>
        <w:rPr>
          <w:sz w:val="22"/>
        </w:rPr>
        <w:t>weeks)</w:t>
      </w:r>
      <w:r>
        <w:rPr>
          <w:spacing w:val="-1"/>
          <w:sz w:val="22"/>
        </w:rPr>
        <w:t> </w:t>
      </w:r>
      <w:r>
        <w:rPr>
          <w:sz w:val="22"/>
        </w:rPr>
        <w:t>to</w:t>
      </w:r>
      <w:r>
        <w:rPr>
          <w:spacing w:val="-1"/>
          <w:sz w:val="22"/>
        </w:rPr>
        <w:t> </w:t>
      </w:r>
      <w:r>
        <w:rPr>
          <w:sz w:val="22"/>
        </w:rPr>
        <w:t>assess</w:t>
      </w:r>
      <w:r>
        <w:rPr>
          <w:spacing w:val="-1"/>
          <w:sz w:val="22"/>
        </w:rPr>
        <w:t> </w:t>
      </w:r>
      <w:r>
        <w:rPr>
          <w:sz w:val="22"/>
        </w:rPr>
        <w:t>risks</w:t>
      </w:r>
      <w:r>
        <w:rPr>
          <w:spacing w:val="-1"/>
          <w:sz w:val="22"/>
        </w:rPr>
        <w:t> </w:t>
      </w:r>
      <w:r>
        <w:rPr>
          <w:sz w:val="22"/>
        </w:rPr>
        <w:t>from</w:t>
      </w:r>
      <w:r>
        <w:rPr>
          <w:spacing w:val="-1"/>
          <w:sz w:val="22"/>
        </w:rPr>
        <w:t> </w:t>
      </w:r>
      <w:r>
        <w:rPr>
          <w:sz w:val="22"/>
        </w:rPr>
        <w:t>methane, carbon dioxide and volatile organic compounds.</w:t>
      </w:r>
    </w:p>
    <w:p>
      <w:pPr>
        <w:pStyle w:val="ListParagraph"/>
        <w:numPr>
          <w:ilvl w:val="3"/>
          <w:numId w:val="1"/>
        </w:numPr>
        <w:tabs>
          <w:tab w:pos="1196" w:val="left" w:leader="none"/>
        </w:tabs>
        <w:spacing w:line="266" w:lineRule="auto" w:before="119" w:after="0"/>
        <w:ind w:left="840" w:right="119" w:firstLine="0"/>
        <w:jc w:val="left"/>
        <w:rPr>
          <w:sz w:val="22"/>
        </w:rPr>
      </w:pPr>
      <w:r>
        <w:rPr>
          <w:sz w:val="22"/>
        </w:rPr>
        <w:t>Geophysical</w:t>
      </w:r>
      <w:r>
        <w:rPr>
          <w:spacing w:val="40"/>
          <w:sz w:val="22"/>
        </w:rPr>
        <w:t> </w:t>
      </w:r>
      <w:r>
        <w:rPr>
          <w:sz w:val="22"/>
        </w:rPr>
        <w:t>survey</w:t>
      </w:r>
      <w:r>
        <w:rPr>
          <w:spacing w:val="40"/>
          <w:sz w:val="22"/>
        </w:rPr>
        <w:t> </w:t>
      </w:r>
      <w:r>
        <w:rPr>
          <w:sz w:val="22"/>
        </w:rPr>
        <w:t>(ground</w:t>
      </w:r>
      <w:r>
        <w:rPr>
          <w:spacing w:val="40"/>
          <w:sz w:val="22"/>
        </w:rPr>
        <w:t> </w:t>
      </w:r>
      <w:r>
        <w:rPr>
          <w:sz w:val="22"/>
        </w:rPr>
        <w:t>penetrating</w:t>
      </w:r>
      <w:r>
        <w:rPr>
          <w:spacing w:val="40"/>
          <w:sz w:val="22"/>
        </w:rPr>
        <w:t> </w:t>
      </w:r>
      <w:r>
        <w:rPr>
          <w:sz w:val="22"/>
        </w:rPr>
        <w:t>radar)</w:t>
      </w:r>
      <w:r>
        <w:rPr>
          <w:spacing w:val="40"/>
          <w:sz w:val="22"/>
        </w:rPr>
        <w:t> </w:t>
      </w:r>
      <w:r>
        <w:rPr>
          <w:sz w:val="22"/>
        </w:rPr>
        <w:t>in</w:t>
      </w:r>
      <w:r>
        <w:rPr>
          <w:spacing w:val="40"/>
          <w:sz w:val="22"/>
        </w:rPr>
        <w:t> </w:t>
      </w:r>
      <w:r>
        <w:rPr>
          <w:sz w:val="22"/>
        </w:rPr>
        <w:t>the</w:t>
      </w:r>
      <w:r>
        <w:rPr>
          <w:spacing w:val="40"/>
          <w:sz w:val="22"/>
        </w:rPr>
        <w:t> </w:t>
      </w:r>
      <w:r>
        <w:rPr>
          <w:sz w:val="22"/>
        </w:rPr>
        <w:t>rear</w:t>
      </w:r>
      <w:r>
        <w:rPr>
          <w:spacing w:val="40"/>
          <w:sz w:val="22"/>
        </w:rPr>
        <w:t> </w:t>
      </w:r>
      <w:r>
        <w:rPr>
          <w:sz w:val="22"/>
        </w:rPr>
        <w:t>yard</w:t>
      </w:r>
      <w:r>
        <w:rPr>
          <w:spacing w:val="40"/>
          <w:sz w:val="22"/>
        </w:rPr>
        <w:t> </w:t>
      </w:r>
      <w:r>
        <w:rPr>
          <w:sz w:val="22"/>
        </w:rPr>
        <w:t>area</w:t>
      </w:r>
      <w:r>
        <w:rPr>
          <w:spacing w:val="40"/>
          <w:sz w:val="22"/>
        </w:rPr>
        <w:t> </w:t>
      </w:r>
      <w:r>
        <w:rPr>
          <w:sz w:val="22"/>
        </w:rPr>
        <w:t>to</w:t>
      </w:r>
      <w:r>
        <w:rPr>
          <w:spacing w:val="40"/>
          <w:sz w:val="22"/>
        </w:rPr>
        <w:t> </w:t>
      </w:r>
      <w:r>
        <w:rPr>
          <w:sz w:val="22"/>
        </w:rPr>
        <w:t>locate</w:t>
      </w:r>
      <w:r>
        <w:rPr>
          <w:spacing w:val="40"/>
          <w:sz w:val="22"/>
        </w:rPr>
        <w:t> </w:t>
      </w:r>
      <w:r>
        <w:rPr>
          <w:sz w:val="22"/>
        </w:rPr>
        <w:t>the underground storage tank.</w:t>
      </w:r>
    </w:p>
    <w:p>
      <w:pPr>
        <w:pStyle w:val="Heading3"/>
        <w:numPr>
          <w:ilvl w:val="1"/>
          <w:numId w:val="1"/>
        </w:numPr>
        <w:tabs>
          <w:tab w:pos="760" w:val="left" w:leader="none"/>
        </w:tabs>
        <w:spacing w:line="240" w:lineRule="auto" w:before="238" w:after="0"/>
        <w:ind w:left="760" w:right="0" w:hanging="400"/>
        <w:jc w:val="left"/>
      </w:pPr>
      <w:r>
        <w:rPr/>
        <w:t>Estimated Cost of Phase II </w:t>
      </w:r>
      <w:r>
        <w:rPr>
          <w:spacing w:val="-2"/>
        </w:rPr>
        <w:t>Investigation</w:t>
      </w:r>
    </w:p>
    <w:p>
      <w:pPr>
        <w:pStyle w:val="ListParagraph"/>
        <w:numPr>
          <w:ilvl w:val="2"/>
          <w:numId w:val="1"/>
        </w:numPr>
        <w:tabs>
          <w:tab w:pos="1127" w:val="left" w:leader="none"/>
        </w:tabs>
        <w:spacing w:line="266" w:lineRule="auto" w:before="144" w:after="0"/>
        <w:ind w:left="600" w:right="118" w:firstLine="0"/>
        <w:jc w:val="both"/>
        <w:rPr>
          <w:sz w:val="22"/>
        </w:rPr>
      </w:pPr>
      <w:r>
        <w:rPr>
          <w:sz w:val="22"/>
        </w:rPr>
        <w:t>The estimated cost of the Phase II intrusive investigation as described in Section </w:t>
      </w:r>
      <w:r>
        <w:rPr>
          <w:sz w:val="22"/>
        </w:rPr>
        <w:t>6.3 above is in the range of </w:t>
      </w:r>
      <w:r>
        <w:rPr>
          <w:b/>
          <w:sz w:val="22"/>
        </w:rPr>
        <w:t>£15,000 to £25,000 </w:t>
      </w:r>
      <w:r>
        <w:rPr>
          <w:sz w:val="22"/>
        </w:rPr>
        <w:t>(exclusive of VAT). This estimate is based on current market rates and includes: site investigation works (drilling, sampling, well installation), laboratory analysis, ground gas monitoring, geophysical survey, and the preparation of a Phase II investigation report with quantitative risk assessment.</w:t>
      </w:r>
    </w:p>
    <w:p>
      <w:pPr>
        <w:pStyle w:val="ListParagraph"/>
        <w:numPr>
          <w:ilvl w:val="2"/>
          <w:numId w:val="1"/>
        </w:numPr>
        <w:tabs>
          <w:tab w:pos="1180" w:val="left" w:leader="none"/>
        </w:tabs>
        <w:spacing w:line="266" w:lineRule="auto" w:before="116" w:after="0"/>
        <w:ind w:left="600" w:right="119" w:firstLine="0"/>
        <w:jc w:val="both"/>
        <w:rPr>
          <w:sz w:val="22"/>
        </w:rPr>
      </w:pPr>
      <w:r>
        <w:rPr>
          <w:sz w:val="22"/>
        </w:rPr>
        <w:t>The estimate does not include any costs associated with further assessment or remediation which may be required depending on the findings of the Phase II investigation.</w:t>
      </w:r>
    </w:p>
    <w:p>
      <w:pPr>
        <w:pStyle w:val="Heading3"/>
        <w:numPr>
          <w:ilvl w:val="1"/>
          <w:numId w:val="1"/>
        </w:numPr>
        <w:tabs>
          <w:tab w:pos="760" w:val="left" w:leader="none"/>
        </w:tabs>
        <w:spacing w:line="240" w:lineRule="auto" w:before="239" w:after="0"/>
        <w:ind w:left="760" w:right="0" w:hanging="400"/>
        <w:jc w:val="left"/>
      </w:pPr>
      <w:r>
        <w:rPr/>
        <w:t>Estimated Remediation </w:t>
      </w:r>
      <w:r>
        <w:rPr>
          <w:spacing w:val="-2"/>
        </w:rPr>
        <w:t>Costs</w:t>
      </w:r>
    </w:p>
    <w:p>
      <w:pPr>
        <w:pStyle w:val="ListParagraph"/>
        <w:numPr>
          <w:ilvl w:val="2"/>
          <w:numId w:val="1"/>
        </w:numPr>
        <w:tabs>
          <w:tab w:pos="1167" w:val="left" w:leader="none"/>
        </w:tabs>
        <w:spacing w:line="266" w:lineRule="auto" w:before="144" w:after="0"/>
        <w:ind w:left="600" w:right="119" w:firstLine="0"/>
        <w:jc w:val="both"/>
        <w:rPr>
          <w:sz w:val="22"/>
        </w:rPr>
      </w:pPr>
      <w:r>
        <w:rPr>
          <w:sz w:val="22"/>
        </w:rPr>
        <w:t>In the event that the Phase II investigation confirms the presence of </w:t>
      </w:r>
      <w:r>
        <w:rPr>
          <w:sz w:val="22"/>
        </w:rPr>
        <w:t>significant contamination, remediation works are likely to be required prior to any redevelopment of the Site. Based on the nature and scale of potential contamination identified in this Phase I assessment, remediation costs are estimated in the range of </w:t>
      </w:r>
      <w:r>
        <w:rPr>
          <w:b/>
          <w:sz w:val="22"/>
        </w:rPr>
        <w:t>£50,000 to £200,000 </w:t>
      </w:r>
      <w:r>
        <w:rPr>
          <w:sz w:val="22"/>
        </w:rPr>
        <w:t>(exclusive of VAT), depending on the extent and severity of contamination.</w:t>
      </w:r>
    </w:p>
    <w:p>
      <w:pPr>
        <w:pStyle w:val="ListParagraph"/>
        <w:numPr>
          <w:ilvl w:val="2"/>
          <w:numId w:val="1"/>
        </w:numPr>
        <w:tabs>
          <w:tab w:pos="1148" w:val="left" w:leader="none"/>
        </w:tabs>
        <w:spacing w:line="266" w:lineRule="auto" w:before="116" w:after="0"/>
        <w:ind w:left="600" w:right="118" w:firstLine="0"/>
        <w:jc w:val="both"/>
        <w:rPr>
          <w:sz w:val="22"/>
        </w:rPr>
      </w:pPr>
      <w:r>
        <w:rPr>
          <w:sz w:val="22"/>
        </w:rPr>
        <w:t>The lower end of this range (£50,000) would apply if contamination is limited to localised hotspots (e.g., around the underground storage tank) and can be addressed by</w:t>
      </w:r>
      <w:r>
        <w:rPr>
          <w:spacing w:val="40"/>
          <w:sz w:val="22"/>
        </w:rPr>
        <w:t> </w:t>
      </w:r>
      <w:r>
        <w:rPr>
          <w:sz w:val="22"/>
        </w:rPr>
        <w:t>targeted excavation and off-site disposal. The upper end (£200,000) would apply if </w:t>
      </w:r>
      <w:r>
        <w:rPr>
          <w:sz w:val="22"/>
        </w:rPr>
        <w:t>more widespread contamination is identified requiring extensive soil remediation (e.g., in situ treatment or large-scale excavation) and/or groundwater remediation.</w:t>
      </w:r>
    </w:p>
    <w:p>
      <w:pPr>
        <w:pStyle w:val="ListParagraph"/>
        <w:numPr>
          <w:ilvl w:val="2"/>
          <w:numId w:val="1"/>
        </w:numPr>
        <w:tabs>
          <w:tab w:pos="1104" w:val="left" w:leader="none"/>
        </w:tabs>
        <w:spacing w:line="266" w:lineRule="auto" w:before="115" w:after="0"/>
        <w:ind w:left="600" w:right="119" w:firstLine="0"/>
        <w:jc w:val="both"/>
        <w:rPr>
          <w:sz w:val="22"/>
        </w:rPr>
      </w:pPr>
      <w:r>
        <w:rPr>
          <w:sz w:val="22"/>
        </w:rPr>
        <w:t>These cost estimates are indicative only and should be refined following the </w:t>
      </w:r>
      <w:r>
        <w:rPr>
          <w:sz w:val="22"/>
        </w:rPr>
        <w:t>completion of the Phase II intrusive investigation.</w:t>
      </w:r>
    </w:p>
    <w:p>
      <w:pPr>
        <w:pStyle w:val="BodyText"/>
      </w:pPr>
    </w:p>
    <w:p>
      <w:pPr>
        <w:pStyle w:val="BodyText"/>
      </w:pPr>
    </w:p>
    <w:p>
      <w:pPr>
        <w:pStyle w:val="BodyText"/>
      </w:pPr>
    </w:p>
    <w:p>
      <w:pPr>
        <w:pStyle w:val="BodyText"/>
        <w:spacing w:before="82"/>
      </w:pPr>
    </w:p>
    <w:p>
      <w:pPr>
        <w:pStyle w:val="BodyText"/>
        <w:spacing w:line="266" w:lineRule="auto"/>
        <w:ind w:left="360" w:right="119"/>
        <w:jc w:val="both"/>
      </w:pPr>
      <w:r>
        <w:rPr/>
        <mc:AlternateContent>
          <mc:Choice Requires="wps">
            <w:drawing>
              <wp:anchor distT="0" distB="0" distL="0" distR="0" allowOverlap="1" layoutInCell="1" locked="0" behindDoc="0" simplePos="0" relativeHeight="15728640">
                <wp:simplePos x="0" y="0"/>
                <wp:positionH relativeFrom="page">
                  <wp:posOffset>900000</wp:posOffset>
                </wp:positionH>
                <wp:positionV relativeFrom="paragraph">
                  <wp:posOffset>-268245</wp:posOffset>
                </wp:positionV>
                <wp:extent cx="576008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60085" cy="1270"/>
                        </a:xfrm>
                        <a:custGeom>
                          <a:avLst/>
                          <a:gdLst/>
                          <a:ahLst/>
                          <a:cxnLst/>
                          <a:rect l="l" t="t" r="r" b="b"/>
                          <a:pathLst>
                            <a:path w="5760085" h="0">
                              <a:moveTo>
                                <a:pt x="0" y="0"/>
                              </a:moveTo>
                              <a:lnTo>
                                <a:pt x="57599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70.866142pt,-21.121712pt" to="524.409442pt,-21.121712pt" stroked="true" strokeweight="1pt" strokecolor="#000000">
                <v:stroke dashstyle="solid"/>
                <w10:wrap type="none"/>
              </v:line>
            </w:pict>
          </mc:Fallback>
        </mc:AlternateContent>
      </w:r>
      <w:r>
        <w:rPr/>
        <w:t>This report has been prepared by Greenfield Environmental Consultants Ltd for the sole use </w:t>
      </w:r>
      <w:r>
        <w:rPr/>
        <w:t>of Manchester Property Holdings Ltd in connection with the proposed acquisition and redevelopment of the Site. No liability is accepted to any third party for the whole or any part of the contents of this report.</w:t>
      </w:r>
    </w:p>
    <w:p>
      <w:pPr>
        <w:pStyle w:val="BodyText"/>
      </w:pPr>
    </w:p>
    <w:p>
      <w:pPr>
        <w:pStyle w:val="BodyText"/>
        <w:spacing w:before="105"/>
      </w:pPr>
    </w:p>
    <w:p>
      <w:pPr>
        <w:pStyle w:val="BodyText"/>
        <w:spacing w:line="266" w:lineRule="auto"/>
        <w:ind w:left="360" w:right="1375"/>
      </w:pPr>
      <w:r>
        <w:rPr>
          <w:b/>
        </w:rPr>
        <w:t>Prepared</w:t>
      </w:r>
      <w:r>
        <w:rPr>
          <w:b/>
          <w:spacing w:val="-3"/>
        </w:rPr>
        <w:t> </w:t>
      </w:r>
      <w:r>
        <w:rPr>
          <w:b/>
        </w:rPr>
        <w:t>by:</w:t>
      </w:r>
      <w:r>
        <w:rPr>
          <w:b/>
          <w:spacing w:val="-3"/>
        </w:rPr>
        <w:t> </w:t>
      </w:r>
      <w:r>
        <w:rPr/>
        <w:t>Dr.</w:t>
      </w:r>
      <w:r>
        <w:rPr>
          <w:spacing w:val="-3"/>
        </w:rPr>
        <w:t> </w:t>
      </w:r>
      <w:r>
        <w:rPr/>
        <w:t>Sarah</w:t>
      </w:r>
      <w:r>
        <w:rPr>
          <w:spacing w:val="-3"/>
        </w:rPr>
        <w:t> </w:t>
      </w:r>
      <w:r>
        <w:rPr/>
        <w:t>J.</w:t>
      </w:r>
      <w:r>
        <w:rPr>
          <w:spacing w:val="-3"/>
        </w:rPr>
        <w:t> </w:t>
      </w:r>
      <w:r>
        <w:rPr/>
        <w:t>Whitmore,</w:t>
      </w:r>
      <w:r>
        <w:rPr>
          <w:spacing w:val="-3"/>
        </w:rPr>
        <w:t> </w:t>
      </w:r>
      <w:r>
        <w:rPr/>
        <w:t>BSc</w:t>
      </w:r>
      <w:r>
        <w:rPr>
          <w:spacing w:val="-3"/>
        </w:rPr>
        <w:t> </w:t>
      </w:r>
      <w:r>
        <w:rPr/>
        <w:t>(Hons),</w:t>
      </w:r>
      <w:r>
        <w:rPr>
          <w:spacing w:val="-3"/>
        </w:rPr>
        <w:t> </w:t>
      </w:r>
      <w:r>
        <w:rPr/>
        <w:t>MSc,</w:t>
      </w:r>
      <w:r>
        <w:rPr>
          <w:spacing w:val="-3"/>
        </w:rPr>
        <w:t> </w:t>
      </w:r>
      <w:r>
        <w:rPr/>
        <w:t>PhD,</w:t>
      </w:r>
      <w:r>
        <w:rPr>
          <w:spacing w:val="-3"/>
        </w:rPr>
        <w:t> </w:t>
      </w:r>
      <w:r>
        <w:rPr/>
        <w:t>CEnv,</w:t>
      </w:r>
      <w:r>
        <w:rPr>
          <w:spacing w:val="-3"/>
        </w:rPr>
        <w:t> </w:t>
      </w:r>
      <w:r>
        <w:rPr/>
        <w:t>CSci Principal Environmental Consultant</w:t>
      </w:r>
    </w:p>
    <w:p>
      <w:pPr>
        <w:pStyle w:val="BodyText"/>
        <w:spacing w:line="251" w:lineRule="exact"/>
        <w:ind w:left="360"/>
      </w:pPr>
      <w:r>
        <w:rPr/>
        <w:t>Greenfield Environmental Consultants </w:t>
      </w:r>
      <w:r>
        <w:rPr>
          <w:spacing w:val="-5"/>
        </w:rPr>
        <w:t>Ltd</w:t>
      </w:r>
    </w:p>
    <w:p>
      <w:pPr>
        <w:pStyle w:val="BodyText"/>
      </w:pPr>
    </w:p>
    <w:p>
      <w:pPr>
        <w:pStyle w:val="BodyText"/>
        <w:spacing w:before="21"/>
      </w:pPr>
    </w:p>
    <w:p>
      <w:pPr>
        <w:pStyle w:val="BodyText"/>
        <w:spacing w:line="266" w:lineRule="auto"/>
        <w:ind w:left="360" w:right="1785"/>
      </w:pPr>
      <w:r>
        <w:rPr>
          <w:b/>
        </w:rPr>
        <w:t>Reviewed</w:t>
      </w:r>
      <w:r>
        <w:rPr>
          <w:b/>
          <w:spacing w:val="-4"/>
        </w:rPr>
        <w:t> </w:t>
      </w:r>
      <w:r>
        <w:rPr>
          <w:b/>
        </w:rPr>
        <w:t>by:</w:t>
      </w:r>
      <w:r>
        <w:rPr>
          <w:b/>
          <w:spacing w:val="-4"/>
        </w:rPr>
        <w:t> </w:t>
      </w:r>
      <w:r>
        <w:rPr/>
        <w:t>Mr.</w:t>
      </w:r>
      <w:r>
        <w:rPr>
          <w:spacing w:val="-4"/>
        </w:rPr>
        <w:t> </w:t>
      </w:r>
      <w:r>
        <w:rPr/>
        <w:t>James</w:t>
      </w:r>
      <w:r>
        <w:rPr>
          <w:spacing w:val="-4"/>
        </w:rPr>
        <w:t> </w:t>
      </w:r>
      <w:r>
        <w:rPr/>
        <w:t>R.</w:t>
      </w:r>
      <w:r>
        <w:rPr>
          <w:spacing w:val="-4"/>
        </w:rPr>
        <w:t> </w:t>
      </w:r>
      <w:r>
        <w:rPr/>
        <w:t>Thornton,</w:t>
      </w:r>
      <w:r>
        <w:rPr>
          <w:spacing w:val="-4"/>
        </w:rPr>
        <w:t> </w:t>
      </w:r>
      <w:r>
        <w:rPr/>
        <w:t>BSc</w:t>
      </w:r>
      <w:r>
        <w:rPr>
          <w:spacing w:val="-4"/>
        </w:rPr>
        <w:t> </w:t>
      </w:r>
      <w:r>
        <w:rPr/>
        <w:t>(Hons),</w:t>
      </w:r>
      <w:r>
        <w:rPr>
          <w:spacing w:val="-4"/>
        </w:rPr>
        <w:t> </w:t>
      </w:r>
      <w:r>
        <w:rPr/>
        <w:t>MSc,</w:t>
      </w:r>
      <w:r>
        <w:rPr>
          <w:spacing w:val="-4"/>
        </w:rPr>
        <w:t> </w:t>
      </w:r>
      <w:r>
        <w:rPr/>
        <w:t>FGS,</w:t>
      </w:r>
      <w:r>
        <w:rPr>
          <w:spacing w:val="-4"/>
        </w:rPr>
        <w:t> </w:t>
      </w:r>
      <w:r>
        <w:rPr/>
        <w:t>SiLC Technical Director</w:t>
      </w:r>
    </w:p>
    <w:p>
      <w:pPr>
        <w:pStyle w:val="BodyText"/>
        <w:spacing w:line="251" w:lineRule="exact"/>
        <w:ind w:left="360"/>
      </w:pPr>
      <w:r>
        <w:rPr/>
        <w:t>Greenfield Environmental Consultants </w:t>
      </w:r>
      <w:r>
        <w:rPr>
          <w:spacing w:val="-5"/>
        </w:rPr>
        <w:t>Ltd</w:t>
      </w:r>
    </w:p>
    <w:p>
      <w:pPr>
        <w:pStyle w:val="BodyText"/>
        <w:spacing w:after="0" w:line="251" w:lineRule="exact"/>
        <w:sectPr>
          <w:pgSz w:w="11910" w:h="16840"/>
          <w:pgMar w:header="762" w:footer="745" w:top="1640" w:bottom="940" w:left="1417" w:right="1417"/>
        </w:sectPr>
      </w:pPr>
    </w:p>
    <w:p>
      <w:pPr>
        <w:pStyle w:val="BodyText"/>
      </w:pPr>
    </w:p>
    <w:p>
      <w:pPr>
        <w:pStyle w:val="BodyText"/>
        <w:spacing w:before="68"/>
      </w:pPr>
    </w:p>
    <w:p>
      <w:pPr>
        <w:pStyle w:val="BodyText"/>
        <w:ind w:left="360"/>
      </w:pPr>
      <w:r>
        <w:rPr/>
        <w:t>Date: 15 January </w:t>
      </w:r>
      <w:r>
        <w:rPr>
          <w:spacing w:val="-4"/>
        </w:rPr>
        <w:t>2024</w:t>
      </w:r>
    </w:p>
    <w:sectPr>
      <w:pgSz w:w="11910" w:h="16840"/>
      <w:pgMar w:header="762" w:footer="745" w:top="1640" w:bottom="94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5680">
              <wp:simplePos x="0" y="0"/>
              <wp:positionH relativeFrom="page">
                <wp:posOffset>719999</wp:posOffset>
              </wp:positionH>
              <wp:positionV relativeFrom="page">
                <wp:posOffset>10044000</wp:posOffset>
              </wp:positionV>
              <wp:extent cx="612013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120130" cy="1270"/>
                      </a:xfrm>
                      <a:custGeom>
                        <a:avLst/>
                        <a:gdLst/>
                        <a:ahLst/>
                        <a:cxnLst/>
                        <a:rect l="l" t="t" r="r" b="b"/>
                        <a:pathLst>
                          <a:path w="6120130" h="0">
                            <a:moveTo>
                              <a:pt x="0" y="0"/>
                            </a:moveTo>
                            <a:lnTo>
                              <a:pt x="6120000" y="0"/>
                            </a:lnTo>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0800" from="56.692909pt,790.86615pt" to="538.582699pt,790.86615pt" stroked="true" strokeweight=".5pt" strokecolor="#333333">
              <v:stroke dashstyle="solid"/>
              <w10:wrap type="none"/>
            </v:line>
          </w:pict>
        </mc:Fallback>
      </mc:AlternateContent>
    </w:r>
    <w:r>
      <w:rPr>
        <w:sz w:val="20"/>
      </w:rPr>
      <mc:AlternateContent>
        <mc:Choice Requires="wps">
          <w:drawing>
            <wp:anchor distT="0" distB="0" distL="0" distR="0" allowOverlap="1" layoutInCell="1" locked="0" behindDoc="1" simplePos="0" relativeHeight="487496192">
              <wp:simplePos x="0" y="0"/>
              <wp:positionH relativeFrom="page">
                <wp:posOffset>3606314</wp:posOffset>
              </wp:positionH>
              <wp:positionV relativeFrom="page">
                <wp:posOffset>10155324</wp:posOffset>
              </wp:positionV>
              <wp:extent cx="38608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86080" cy="139065"/>
                      </a:xfrm>
                      <a:prstGeom prst="rect">
                        <a:avLst/>
                      </a:prstGeom>
                    </wps:spPr>
                    <wps:txbx>
                      <w:txbxContent>
                        <w:p>
                          <w:pPr>
                            <w:spacing w:before="14"/>
                            <w:ind w:left="20" w:right="0" w:firstLine="0"/>
                            <w:jc w:val="left"/>
                            <w:rPr>
                              <w:rFonts w:ascii="Arial"/>
                              <w:sz w:val="16"/>
                            </w:rPr>
                          </w:pPr>
                          <w:r>
                            <w:rPr>
                              <w:rFonts w:ascii="Arial"/>
                              <w:color w:val="666666"/>
                              <w:sz w:val="16"/>
                            </w:rPr>
                            <w:t>Page </w:t>
                          </w:r>
                          <w:r>
                            <w:rPr>
                              <w:rFonts w:ascii="Arial"/>
                              <w:color w:val="666666"/>
                              <w:spacing w:val="-10"/>
                              <w:sz w:val="16"/>
                            </w:rPr>
                            <w:fldChar w:fldCharType="begin"/>
                          </w:r>
                          <w:r>
                            <w:rPr>
                              <w:rFonts w:ascii="Arial"/>
                              <w:color w:val="666666"/>
                              <w:spacing w:val="-10"/>
                              <w:sz w:val="16"/>
                            </w:rPr>
                            <w:instrText> PAGE </w:instrText>
                          </w:r>
                          <w:r>
                            <w:rPr>
                              <w:rFonts w:ascii="Arial"/>
                              <w:color w:val="666666"/>
                              <w:spacing w:val="-10"/>
                              <w:sz w:val="16"/>
                            </w:rPr>
                            <w:fldChar w:fldCharType="separate"/>
                          </w:r>
                          <w:r>
                            <w:rPr>
                              <w:rFonts w:ascii="Arial"/>
                              <w:color w:val="666666"/>
                              <w:spacing w:val="-10"/>
                              <w:sz w:val="16"/>
                            </w:rPr>
                            <w:t>1</w:t>
                          </w:r>
                          <w:r>
                            <w:rPr>
                              <w:rFonts w:ascii="Arial"/>
                              <w:color w:val="666666"/>
                              <w:spacing w:val="-10"/>
                              <w:sz w:val="16"/>
                            </w:rPr>
                            <w:fldChar w:fldCharType="end"/>
                          </w:r>
                        </w:p>
                      </w:txbxContent>
                    </wps:txbx>
                    <wps:bodyPr wrap="square" lIns="0" tIns="0" rIns="0" bIns="0" rtlCol="0">
                      <a:noAutofit/>
                    </wps:bodyPr>
                  </wps:wsp>
                </a:graphicData>
              </a:graphic>
            </wp:anchor>
          </w:drawing>
        </mc:Choice>
        <mc:Fallback>
          <w:pict>
            <v:shape style="position:absolute;margin-left:283.961792pt;margin-top:799.631836pt;width:30.4pt;height:10.95pt;mso-position-horizontal-relative:page;mso-position-vertical-relative:page;z-index:-15820288" type="#_x0000_t202" id="docshape2" filled="false" stroked="false">
              <v:textbox inset="0,0,0,0">
                <w:txbxContent>
                  <w:p>
                    <w:pPr>
                      <w:spacing w:before="14"/>
                      <w:ind w:left="20" w:right="0" w:firstLine="0"/>
                      <w:jc w:val="left"/>
                      <w:rPr>
                        <w:rFonts w:ascii="Arial"/>
                        <w:sz w:val="16"/>
                      </w:rPr>
                    </w:pPr>
                    <w:r>
                      <w:rPr>
                        <w:rFonts w:ascii="Arial"/>
                        <w:color w:val="666666"/>
                        <w:sz w:val="16"/>
                      </w:rPr>
                      <w:t>Page </w:t>
                    </w:r>
                    <w:r>
                      <w:rPr>
                        <w:rFonts w:ascii="Arial"/>
                        <w:color w:val="666666"/>
                        <w:spacing w:val="-10"/>
                        <w:sz w:val="16"/>
                      </w:rPr>
                      <w:fldChar w:fldCharType="begin"/>
                    </w:r>
                    <w:r>
                      <w:rPr>
                        <w:rFonts w:ascii="Arial"/>
                        <w:color w:val="666666"/>
                        <w:spacing w:val="-10"/>
                        <w:sz w:val="16"/>
                      </w:rPr>
                      <w:instrText> PAGE </w:instrText>
                    </w:r>
                    <w:r>
                      <w:rPr>
                        <w:rFonts w:ascii="Arial"/>
                        <w:color w:val="666666"/>
                        <w:spacing w:val="-10"/>
                        <w:sz w:val="16"/>
                      </w:rPr>
                      <w:fldChar w:fldCharType="separate"/>
                    </w:r>
                    <w:r>
                      <w:rPr>
                        <w:rFonts w:ascii="Arial"/>
                        <w:color w:val="666666"/>
                        <w:spacing w:val="-10"/>
                        <w:sz w:val="16"/>
                      </w:rPr>
                      <w:t>1</w:t>
                    </w:r>
                    <w:r>
                      <w:rPr>
                        <w:rFonts w:ascii="Arial"/>
                        <w:color w:val="666666"/>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4656">
              <wp:simplePos x="0" y="0"/>
              <wp:positionH relativeFrom="page">
                <wp:posOffset>719999</wp:posOffset>
              </wp:positionH>
              <wp:positionV relativeFrom="page">
                <wp:posOffset>648000</wp:posOffset>
              </wp:positionV>
              <wp:extent cx="612013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20130" cy="1270"/>
                      </a:xfrm>
                      <a:custGeom>
                        <a:avLst/>
                        <a:gdLst/>
                        <a:ahLst/>
                        <a:cxnLst/>
                        <a:rect l="l" t="t" r="r" b="b"/>
                        <a:pathLst>
                          <a:path w="6120130" h="0">
                            <a:moveTo>
                              <a:pt x="0" y="0"/>
                            </a:moveTo>
                            <a:lnTo>
                              <a:pt x="6120000" y="0"/>
                            </a:lnTo>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1824" from="56.692909pt,51.02367pt" to="538.582699pt,51.02367pt" stroked="true" strokeweight=".5pt" strokecolor="#333333">
              <v:stroke dashstyle="solid"/>
              <w10:wrap type="none"/>
            </v:line>
          </w:pict>
        </mc:Fallback>
      </mc:AlternateContent>
    </w:r>
    <w:r>
      <w:rPr>
        <w:sz w:val="20"/>
      </w:rPr>
      <mc:AlternateContent>
        <mc:Choice Requires="wps">
          <w:drawing>
            <wp:anchor distT="0" distB="0" distL="0" distR="0" allowOverlap="1" layoutInCell="1" locked="0" behindDoc="1" simplePos="0" relativeHeight="487495168">
              <wp:simplePos x="0" y="0"/>
              <wp:positionH relativeFrom="page">
                <wp:posOffset>707299</wp:posOffset>
              </wp:positionH>
              <wp:positionV relativeFrom="page">
                <wp:posOffset>471324</wp:posOffset>
              </wp:positionV>
              <wp:extent cx="3357879"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357879" cy="139065"/>
                      </a:xfrm>
                      <a:prstGeom prst="rect">
                        <a:avLst/>
                      </a:prstGeom>
                    </wps:spPr>
                    <wps:txbx>
                      <w:txbxContent>
                        <w:p>
                          <w:pPr>
                            <w:spacing w:before="14"/>
                            <w:ind w:left="20" w:right="0" w:firstLine="0"/>
                            <w:jc w:val="left"/>
                            <w:rPr>
                              <w:rFonts w:ascii="Arial" w:hAnsi="Arial"/>
                              <w:sz w:val="16"/>
                            </w:rPr>
                          </w:pPr>
                          <w:r>
                            <w:rPr>
                              <w:rFonts w:ascii="Arial" w:hAnsi="Arial"/>
                              <w:color w:val="666666"/>
                              <w:sz w:val="16"/>
                            </w:rPr>
                            <w:t>Phase I Environmental Site Assessment — 15-21 Deansgate, </w:t>
                          </w:r>
                          <w:r>
                            <w:rPr>
                              <w:rFonts w:ascii="Arial" w:hAnsi="Arial"/>
                              <w:color w:val="666666"/>
                              <w:spacing w:val="-2"/>
                              <w:sz w:val="16"/>
                            </w:rPr>
                            <w:t>Manchester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2909pt;margin-top:37.112183pt;width:264.4pt;height:10.95pt;mso-position-horizontal-relative:page;mso-position-vertical-relative:page;z-index:-15821312" type="#_x0000_t202" id="docshape1" filled="false" stroked="false">
              <v:textbox inset="0,0,0,0">
                <w:txbxContent>
                  <w:p>
                    <w:pPr>
                      <w:spacing w:before="14"/>
                      <w:ind w:left="20" w:right="0" w:firstLine="0"/>
                      <w:jc w:val="left"/>
                      <w:rPr>
                        <w:rFonts w:ascii="Arial" w:hAnsi="Arial"/>
                        <w:sz w:val="16"/>
                      </w:rPr>
                    </w:pPr>
                    <w:r>
                      <w:rPr>
                        <w:rFonts w:ascii="Arial" w:hAnsi="Arial"/>
                        <w:color w:val="666666"/>
                        <w:sz w:val="16"/>
                      </w:rPr>
                      <w:t>Phase I Environmental Site Assessment — 15-21 Deansgate, </w:t>
                    </w:r>
                    <w:r>
                      <w:rPr>
                        <w:rFonts w:ascii="Arial" w:hAnsi="Arial"/>
                        <w:color w:val="666666"/>
                        <w:spacing w:val="-2"/>
                        <w:sz w:val="16"/>
                      </w:rPr>
                      <w:t>Manchester</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40" w:hanging="15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63" w:hanging="153"/>
      </w:pPr>
      <w:rPr>
        <w:rFonts w:hint="default"/>
        <w:lang w:val="en-US" w:eastAsia="en-US" w:bidi="ar-SA"/>
      </w:rPr>
    </w:lvl>
    <w:lvl w:ilvl="2">
      <w:start w:val="0"/>
      <w:numFmt w:val="bullet"/>
      <w:lvlText w:val="•"/>
      <w:lvlJc w:val="left"/>
      <w:pPr>
        <w:ind w:left="2486" w:hanging="153"/>
      </w:pPr>
      <w:rPr>
        <w:rFonts w:hint="default"/>
        <w:lang w:val="en-US" w:eastAsia="en-US" w:bidi="ar-SA"/>
      </w:rPr>
    </w:lvl>
    <w:lvl w:ilvl="3">
      <w:start w:val="0"/>
      <w:numFmt w:val="bullet"/>
      <w:lvlText w:val="•"/>
      <w:lvlJc w:val="left"/>
      <w:pPr>
        <w:ind w:left="3309" w:hanging="153"/>
      </w:pPr>
      <w:rPr>
        <w:rFonts w:hint="default"/>
        <w:lang w:val="en-US" w:eastAsia="en-US" w:bidi="ar-SA"/>
      </w:rPr>
    </w:lvl>
    <w:lvl w:ilvl="4">
      <w:start w:val="0"/>
      <w:numFmt w:val="bullet"/>
      <w:lvlText w:val="•"/>
      <w:lvlJc w:val="left"/>
      <w:pPr>
        <w:ind w:left="4132" w:hanging="153"/>
      </w:pPr>
      <w:rPr>
        <w:rFonts w:hint="default"/>
        <w:lang w:val="en-US" w:eastAsia="en-US" w:bidi="ar-SA"/>
      </w:rPr>
    </w:lvl>
    <w:lvl w:ilvl="5">
      <w:start w:val="0"/>
      <w:numFmt w:val="bullet"/>
      <w:lvlText w:val="•"/>
      <w:lvlJc w:val="left"/>
      <w:pPr>
        <w:ind w:left="4955" w:hanging="153"/>
      </w:pPr>
      <w:rPr>
        <w:rFonts w:hint="default"/>
        <w:lang w:val="en-US" w:eastAsia="en-US" w:bidi="ar-SA"/>
      </w:rPr>
    </w:lvl>
    <w:lvl w:ilvl="6">
      <w:start w:val="0"/>
      <w:numFmt w:val="bullet"/>
      <w:lvlText w:val="•"/>
      <w:lvlJc w:val="left"/>
      <w:pPr>
        <w:ind w:left="5778" w:hanging="153"/>
      </w:pPr>
      <w:rPr>
        <w:rFonts w:hint="default"/>
        <w:lang w:val="en-US" w:eastAsia="en-US" w:bidi="ar-SA"/>
      </w:rPr>
    </w:lvl>
    <w:lvl w:ilvl="7">
      <w:start w:val="0"/>
      <w:numFmt w:val="bullet"/>
      <w:lvlText w:val="•"/>
      <w:lvlJc w:val="left"/>
      <w:pPr>
        <w:ind w:left="6602" w:hanging="153"/>
      </w:pPr>
      <w:rPr>
        <w:rFonts w:hint="default"/>
        <w:lang w:val="en-US" w:eastAsia="en-US" w:bidi="ar-SA"/>
      </w:rPr>
    </w:lvl>
    <w:lvl w:ilvl="8">
      <w:start w:val="0"/>
      <w:numFmt w:val="bullet"/>
      <w:lvlText w:val="•"/>
      <w:lvlJc w:val="left"/>
      <w:pPr>
        <w:ind w:left="7425" w:hanging="153"/>
      </w:pPr>
      <w:rPr>
        <w:rFonts w:hint="default"/>
        <w:lang w:val="en-US" w:eastAsia="en-US" w:bidi="ar-SA"/>
      </w:rPr>
    </w:lvl>
  </w:abstractNum>
  <w:abstractNum w:abstractNumId="2">
    <w:multiLevelType w:val="hybridMultilevel"/>
    <w:lvl w:ilvl="0">
      <w:start w:val="0"/>
      <w:numFmt w:val="bullet"/>
      <w:lvlText w:val="•"/>
      <w:lvlJc w:val="left"/>
      <w:pPr>
        <w:ind w:left="840" w:hanging="219"/>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63" w:hanging="219"/>
      </w:pPr>
      <w:rPr>
        <w:rFonts w:hint="default"/>
        <w:lang w:val="en-US" w:eastAsia="en-US" w:bidi="ar-SA"/>
      </w:rPr>
    </w:lvl>
    <w:lvl w:ilvl="2">
      <w:start w:val="0"/>
      <w:numFmt w:val="bullet"/>
      <w:lvlText w:val="•"/>
      <w:lvlJc w:val="left"/>
      <w:pPr>
        <w:ind w:left="2486" w:hanging="219"/>
      </w:pPr>
      <w:rPr>
        <w:rFonts w:hint="default"/>
        <w:lang w:val="en-US" w:eastAsia="en-US" w:bidi="ar-SA"/>
      </w:rPr>
    </w:lvl>
    <w:lvl w:ilvl="3">
      <w:start w:val="0"/>
      <w:numFmt w:val="bullet"/>
      <w:lvlText w:val="•"/>
      <w:lvlJc w:val="left"/>
      <w:pPr>
        <w:ind w:left="3309" w:hanging="219"/>
      </w:pPr>
      <w:rPr>
        <w:rFonts w:hint="default"/>
        <w:lang w:val="en-US" w:eastAsia="en-US" w:bidi="ar-SA"/>
      </w:rPr>
    </w:lvl>
    <w:lvl w:ilvl="4">
      <w:start w:val="0"/>
      <w:numFmt w:val="bullet"/>
      <w:lvlText w:val="•"/>
      <w:lvlJc w:val="left"/>
      <w:pPr>
        <w:ind w:left="4132" w:hanging="219"/>
      </w:pPr>
      <w:rPr>
        <w:rFonts w:hint="default"/>
        <w:lang w:val="en-US" w:eastAsia="en-US" w:bidi="ar-SA"/>
      </w:rPr>
    </w:lvl>
    <w:lvl w:ilvl="5">
      <w:start w:val="0"/>
      <w:numFmt w:val="bullet"/>
      <w:lvlText w:val="•"/>
      <w:lvlJc w:val="left"/>
      <w:pPr>
        <w:ind w:left="4955" w:hanging="219"/>
      </w:pPr>
      <w:rPr>
        <w:rFonts w:hint="default"/>
        <w:lang w:val="en-US" w:eastAsia="en-US" w:bidi="ar-SA"/>
      </w:rPr>
    </w:lvl>
    <w:lvl w:ilvl="6">
      <w:start w:val="0"/>
      <w:numFmt w:val="bullet"/>
      <w:lvlText w:val="•"/>
      <w:lvlJc w:val="left"/>
      <w:pPr>
        <w:ind w:left="5778" w:hanging="219"/>
      </w:pPr>
      <w:rPr>
        <w:rFonts w:hint="default"/>
        <w:lang w:val="en-US" w:eastAsia="en-US" w:bidi="ar-SA"/>
      </w:rPr>
    </w:lvl>
    <w:lvl w:ilvl="7">
      <w:start w:val="0"/>
      <w:numFmt w:val="bullet"/>
      <w:lvlText w:val="•"/>
      <w:lvlJc w:val="left"/>
      <w:pPr>
        <w:ind w:left="6602" w:hanging="219"/>
      </w:pPr>
      <w:rPr>
        <w:rFonts w:hint="default"/>
        <w:lang w:val="en-US" w:eastAsia="en-US" w:bidi="ar-SA"/>
      </w:rPr>
    </w:lvl>
    <w:lvl w:ilvl="8">
      <w:start w:val="0"/>
      <w:numFmt w:val="bullet"/>
      <w:lvlText w:val="•"/>
      <w:lvlJc w:val="left"/>
      <w:pPr>
        <w:ind w:left="7425" w:hanging="219"/>
      </w:pPr>
      <w:rPr>
        <w:rFonts w:hint="default"/>
        <w:lang w:val="en-US" w:eastAsia="en-US" w:bidi="ar-SA"/>
      </w:rPr>
    </w:lvl>
  </w:abstractNum>
  <w:abstractNum w:abstractNumId="1">
    <w:multiLevelType w:val="hybridMultilevel"/>
    <w:lvl w:ilvl="0">
      <w:start w:val="0"/>
      <w:numFmt w:val="bullet"/>
      <w:lvlText w:val="•"/>
      <w:lvlJc w:val="left"/>
      <w:pPr>
        <w:ind w:left="732"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73" w:hanging="133"/>
      </w:pPr>
      <w:rPr>
        <w:rFonts w:hint="default"/>
        <w:lang w:val="en-US" w:eastAsia="en-US" w:bidi="ar-SA"/>
      </w:rPr>
    </w:lvl>
    <w:lvl w:ilvl="2">
      <w:start w:val="0"/>
      <w:numFmt w:val="bullet"/>
      <w:lvlText w:val="•"/>
      <w:lvlJc w:val="left"/>
      <w:pPr>
        <w:ind w:left="2406" w:hanging="133"/>
      </w:pPr>
      <w:rPr>
        <w:rFonts w:hint="default"/>
        <w:lang w:val="en-US" w:eastAsia="en-US" w:bidi="ar-SA"/>
      </w:rPr>
    </w:lvl>
    <w:lvl w:ilvl="3">
      <w:start w:val="0"/>
      <w:numFmt w:val="bullet"/>
      <w:lvlText w:val="•"/>
      <w:lvlJc w:val="left"/>
      <w:pPr>
        <w:ind w:left="3239" w:hanging="133"/>
      </w:pPr>
      <w:rPr>
        <w:rFonts w:hint="default"/>
        <w:lang w:val="en-US" w:eastAsia="en-US" w:bidi="ar-SA"/>
      </w:rPr>
    </w:lvl>
    <w:lvl w:ilvl="4">
      <w:start w:val="0"/>
      <w:numFmt w:val="bullet"/>
      <w:lvlText w:val="•"/>
      <w:lvlJc w:val="left"/>
      <w:pPr>
        <w:ind w:left="4072" w:hanging="133"/>
      </w:pPr>
      <w:rPr>
        <w:rFonts w:hint="default"/>
        <w:lang w:val="en-US" w:eastAsia="en-US" w:bidi="ar-SA"/>
      </w:rPr>
    </w:lvl>
    <w:lvl w:ilvl="5">
      <w:start w:val="0"/>
      <w:numFmt w:val="bullet"/>
      <w:lvlText w:val="•"/>
      <w:lvlJc w:val="left"/>
      <w:pPr>
        <w:ind w:left="4905" w:hanging="133"/>
      </w:pPr>
      <w:rPr>
        <w:rFonts w:hint="default"/>
        <w:lang w:val="en-US" w:eastAsia="en-US" w:bidi="ar-SA"/>
      </w:rPr>
    </w:lvl>
    <w:lvl w:ilvl="6">
      <w:start w:val="0"/>
      <w:numFmt w:val="bullet"/>
      <w:lvlText w:val="•"/>
      <w:lvlJc w:val="left"/>
      <w:pPr>
        <w:ind w:left="5738" w:hanging="133"/>
      </w:pPr>
      <w:rPr>
        <w:rFonts w:hint="default"/>
        <w:lang w:val="en-US" w:eastAsia="en-US" w:bidi="ar-SA"/>
      </w:rPr>
    </w:lvl>
    <w:lvl w:ilvl="7">
      <w:start w:val="0"/>
      <w:numFmt w:val="bullet"/>
      <w:lvlText w:val="•"/>
      <w:lvlJc w:val="left"/>
      <w:pPr>
        <w:ind w:left="6572" w:hanging="133"/>
      </w:pPr>
      <w:rPr>
        <w:rFonts w:hint="default"/>
        <w:lang w:val="en-US" w:eastAsia="en-US" w:bidi="ar-SA"/>
      </w:rPr>
    </w:lvl>
    <w:lvl w:ilvl="8">
      <w:start w:val="0"/>
      <w:numFmt w:val="bullet"/>
      <w:lvlText w:val="•"/>
      <w:lvlJc w:val="left"/>
      <w:pPr>
        <w:ind w:left="7405" w:hanging="133"/>
      </w:pPr>
      <w:rPr>
        <w:rFonts w:hint="default"/>
        <w:lang w:val="en-US" w:eastAsia="en-US" w:bidi="ar-SA"/>
      </w:rPr>
    </w:lvl>
  </w:abstractNum>
  <w:abstractNum w:abstractNumId="0">
    <w:multiLevelType w:val="hybridMultilevel"/>
    <w:lvl w:ilvl="0">
      <w:start w:val="1"/>
      <w:numFmt w:val="decimal"/>
      <w:lvlText w:val="%1."/>
      <w:lvlJc w:val="left"/>
      <w:pPr>
        <w:ind w:left="431" w:hanging="312"/>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760" w:hanging="401"/>
        <w:jc w:val="left"/>
      </w:pPr>
      <w:rPr>
        <w:rFonts w:hint="default"/>
        <w:spacing w:val="0"/>
        <w:w w:val="100"/>
        <w:lang w:val="en-US" w:eastAsia="en-US" w:bidi="ar-SA"/>
      </w:rPr>
    </w:lvl>
    <w:lvl w:ilvl="2">
      <w:start w:val="1"/>
      <w:numFmt w:val="decimal"/>
      <w:lvlText w:val="%1.%2.%3"/>
      <w:lvlJc w:val="left"/>
      <w:pPr>
        <w:ind w:left="600" w:hanging="40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1"/>
      <w:numFmt w:val="lowerLetter"/>
      <w:lvlText w:val="(%4)"/>
      <w:lvlJc w:val="left"/>
      <w:pPr>
        <w:ind w:left="840" w:hanging="40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840" w:hanging="401"/>
      </w:pPr>
      <w:rPr>
        <w:rFonts w:hint="default"/>
        <w:lang w:val="en-US" w:eastAsia="en-US" w:bidi="ar-SA"/>
      </w:rPr>
    </w:lvl>
    <w:lvl w:ilvl="5">
      <w:start w:val="0"/>
      <w:numFmt w:val="bullet"/>
      <w:lvlText w:val="•"/>
      <w:lvlJc w:val="left"/>
      <w:pPr>
        <w:ind w:left="2211" w:hanging="401"/>
      </w:pPr>
      <w:rPr>
        <w:rFonts w:hint="default"/>
        <w:lang w:val="en-US" w:eastAsia="en-US" w:bidi="ar-SA"/>
      </w:rPr>
    </w:lvl>
    <w:lvl w:ilvl="6">
      <w:start w:val="0"/>
      <w:numFmt w:val="bullet"/>
      <w:lvlText w:val="•"/>
      <w:lvlJc w:val="left"/>
      <w:pPr>
        <w:ind w:left="3583" w:hanging="401"/>
      </w:pPr>
      <w:rPr>
        <w:rFonts w:hint="default"/>
        <w:lang w:val="en-US" w:eastAsia="en-US" w:bidi="ar-SA"/>
      </w:rPr>
    </w:lvl>
    <w:lvl w:ilvl="7">
      <w:start w:val="0"/>
      <w:numFmt w:val="bullet"/>
      <w:lvlText w:val="•"/>
      <w:lvlJc w:val="left"/>
      <w:pPr>
        <w:ind w:left="4955" w:hanging="401"/>
      </w:pPr>
      <w:rPr>
        <w:rFonts w:hint="default"/>
        <w:lang w:val="en-US" w:eastAsia="en-US" w:bidi="ar-SA"/>
      </w:rPr>
    </w:lvl>
    <w:lvl w:ilvl="8">
      <w:start w:val="0"/>
      <w:numFmt w:val="bullet"/>
      <w:lvlText w:val="•"/>
      <w:lvlJc w:val="left"/>
      <w:pPr>
        <w:ind w:left="6327" w:hanging="40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04" w:right="201"/>
      <w:jc w:val="center"/>
      <w:outlineLvl w:val="1"/>
    </w:pPr>
    <w:rPr>
      <w:rFonts w:ascii="Times New Roman" w:hAnsi="Times New Roman" w:eastAsia="Times New Roman" w:cs="Times New Roman"/>
      <w:b/>
      <w:bCs/>
      <w:sz w:val="56"/>
      <w:szCs w:val="56"/>
      <w:lang w:val="en-US" w:eastAsia="en-US" w:bidi="ar-SA"/>
    </w:rPr>
  </w:style>
  <w:style w:styleId="Heading2" w:type="paragraph">
    <w:name w:val="Heading 2"/>
    <w:basedOn w:val="Normal"/>
    <w:uiPriority w:val="1"/>
    <w:qFormat/>
    <w:pPr>
      <w:ind w:left="431" w:hanging="311"/>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spacing w:before="236"/>
      <w:ind w:left="760" w:hanging="400"/>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jc w:val="center"/>
      <w:outlineLvl w:val="4"/>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144"/>
      <w:ind w:left="600" w:right="1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2026-05-08T21:09:44Z</dcterms:created>
  <dcterms:modified xsi:type="dcterms:W3CDTF">2026-05-08T21:09:44Z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(unspecified)</vt:lpwstr>
  </property>
  <property fmtid="{D5CDD505-2E9C-101B-9397-08002B2CF9AE}" pid="4" name="LastSaved">
    <vt:filetime>2026-05-08T00:00:00Z</vt:filetime>
  </property>
  <property fmtid="{D5CDD505-2E9C-101B-9397-08002B2CF9AE}" pid="5" name="Producer">
    <vt:lpwstr>ReportLab PDF Library - (opensource)</vt:lpwstr>
  </property>
</Properties>
</file>